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jc w:val="center"/>
      </w:pPr>
    </w:p>
    <w:p>
      <w:pPr>
        <w:pStyle w:val="2"/>
        <w:spacing w:before="11"/>
        <w:jc w:val="center"/>
      </w:pPr>
    </w:p>
    <w:p>
      <w:pPr>
        <w:pStyle w:val="2"/>
        <w:spacing w:before="11"/>
        <w:jc w:val="center"/>
      </w:pPr>
    </w:p>
    <w:p>
      <w:pPr>
        <w:pStyle w:val="2"/>
        <w:spacing w:before="11"/>
        <w:jc w:val="center"/>
      </w:pPr>
    </w:p>
    <w:p>
      <w:pPr>
        <w:pStyle w:val="2"/>
        <w:spacing w:before="11"/>
        <w:jc w:val="center"/>
      </w:pPr>
    </w:p>
    <w:p>
      <w:pPr>
        <w:pStyle w:val="2"/>
        <w:spacing w:before="11"/>
        <w:jc w:val="center"/>
      </w:pPr>
    </w:p>
    <w:p>
      <w:pPr>
        <w:pStyle w:val="5"/>
        <w:widowControl/>
        <w:spacing w:line="480" w:lineRule="atLeast"/>
        <w:jc w:val="center"/>
        <w:rPr>
          <w:rFonts w:ascii="Times New Roman" w:hAnsi="Times New Roman" w:eastAsia="仿宋_GB2312"/>
          <w:color w:val="222222"/>
          <w:sz w:val="32"/>
          <w:szCs w:val="32"/>
        </w:rPr>
      </w:pPr>
      <w:r>
        <w:rPr>
          <w:rFonts w:hint="eastAsia" w:ascii="Times New Roman" w:hAnsi="Times New Roman" w:eastAsia="仿宋_GB2312"/>
          <w:color w:val="222222"/>
          <w:sz w:val="32"/>
          <w:szCs w:val="32"/>
        </w:rPr>
        <w:t>源</w:t>
      </w:r>
      <w:r>
        <w:rPr>
          <w:rFonts w:hint="eastAsia" w:ascii="Times New Roman" w:hAnsi="Times New Roman" w:eastAsia="仿宋_GB2312"/>
          <w:color w:val="222222"/>
          <w:sz w:val="32"/>
          <w:szCs w:val="32"/>
          <w:lang w:eastAsia="zh-CN"/>
        </w:rPr>
        <w:t>财法</w:t>
      </w:r>
      <w:r>
        <w:rPr>
          <w:rFonts w:hint="eastAsia" w:ascii="Times New Roman" w:hAnsi="Times New Roman" w:eastAsia="仿宋_GB2312"/>
          <w:color w:val="222222"/>
          <w:sz w:val="32"/>
          <w:szCs w:val="32"/>
        </w:rPr>
        <w:t>〔</w:t>
      </w:r>
      <w:r>
        <w:rPr>
          <w:rFonts w:ascii="Times New Roman" w:hAnsi="Times New Roman" w:eastAsia="仿宋_GB2312"/>
          <w:color w:val="222222"/>
          <w:sz w:val="32"/>
          <w:szCs w:val="32"/>
        </w:rPr>
        <w:t>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w:t>
      </w:r>
      <w:r>
        <w:rPr>
          <w:rFonts w:hint="eastAsia" w:ascii="Times New Roman" w:hAnsi="Times New Roman" w:eastAsia="仿宋_GB2312"/>
          <w:color w:val="222222"/>
          <w:sz w:val="32"/>
          <w:szCs w:val="32"/>
          <w:lang w:val="en-US" w:eastAsia="zh-CN"/>
        </w:rPr>
        <w:t>1</w:t>
      </w:r>
      <w:r>
        <w:rPr>
          <w:rFonts w:hint="eastAsia" w:ascii="Times New Roman" w:hAnsi="Times New Roman" w:eastAsia="仿宋_GB2312"/>
          <w:color w:val="222222"/>
          <w:sz w:val="32"/>
          <w:szCs w:val="32"/>
        </w:rPr>
        <w:t>号</w:t>
      </w:r>
    </w:p>
    <w:p>
      <w:pPr>
        <w:pStyle w:val="2"/>
        <w:spacing w:before="12"/>
        <w:rPr>
          <w:rFonts w:ascii="Times New Roman" w:hAnsi="Times New Roman"/>
          <w:sz w:val="35"/>
        </w:rPr>
      </w:pPr>
    </w:p>
    <w:p>
      <w:pPr>
        <w:pStyle w:val="2"/>
        <w:spacing w:before="12"/>
        <w:rPr>
          <w:rFonts w:ascii="Times New Roman" w:hAnsi="Times New Roman"/>
          <w:sz w:val="35"/>
        </w:rPr>
      </w:pPr>
    </w:p>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关于印发《沂源县</w:t>
      </w:r>
      <w:r>
        <w:rPr>
          <w:rFonts w:hint="eastAsia" w:ascii="Times New Roman" w:hAnsi="Times New Roman" w:eastAsia="方正小标宋简体"/>
          <w:sz w:val="44"/>
          <w:szCs w:val="44"/>
          <w:lang w:eastAsia="zh-CN"/>
        </w:rPr>
        <w:t>财政系统</w:t>
      </w: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3</w:t>
      </w:r>
      <w:r>
        <w:rPr>
          <w:rFonts w:hint="eastAsia" w:ascii="Times New Roman" w:hAnsi="Times New Roman" w:eastAsia="方正小标宋简体"/>
          <w:sz w:val="44"/>
          <w:szCs w:val="44"/>
        </w:rPr>
        <w:t>年</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监管工作实施方案》的通知</w:t>
      </w:r>
    </w:p>
    <w:p>
      <w:pPr>
        <w:pStyle w:val="5"/>
        <w:widowControl/>
        <w:rPr>
          <w:rFonts w:ascii="Times New Roman" w:hAnsi="Times New Roman" w:eastAsia="仿宋_GB2312"/>
          <w:color w:val="222222"/>
          <w:sz w:val="32"/>
          <w:szCs w:val="32"/>
        </w:rPr>
      </w:pPr>
    </w:p>
    <w:p>
      <w:pPr>
        <w:pStyle w:val="5"/>
        <w:widowControl/>
        <w:rPr>
          <w:rFonts w:ascii="Times New Roman" w:hAnsi="Times New Roman"/>
        </w:rPr>
      </w:pPr>
      <w:r>
        <w:rPr>
          <w:rFonts w:hint="eastAsia" w:ascii="Times New Roman" w:hAnsi="Times New Roman" w:eastAsia="仿宋_GB2312"/>
          <w:color w:val="222222"/>
          <w:sz w:val="32"/>
          <w:szCs w:val="32"/>
        </w:rPr>
        <w:t>各</w:t>
      </w:r>
      <w:r>
        <w:rPr>
          <w:rFonts w:hint="eastAsia" w:ascii="Times New Roman" w:hAnsi="Times New Roman" w:eastAsia="仿宋_GB2312"/>
          <w:color w:val="222222"/>
          <w:sz w:val="32"/>
          <w:szCs w:val="32"/>
          <w:lang w:eastAsia="zh-CN"/>
        </w:rPr>
        <w:t>财政所</w:t>
      </w:r>
      <w:r>
        <w:rPr>
          <w:rFonts w:hint="eastAsia" w:ascii="Times New Roman" w:hAnsi="Times New Roman" w:eastAsia="仿宋_GB2312"/>
          <w:color w:val="222222"/>
          <w:sz w:val="32"/>
          <w:szCs w:val="32"/>
        </w:rPr>
        <w:t>、各科室：</w:t>
      </w:r>
      <w:r>
        <w:rPr>
          <w:rFonts w:ascii="Times New Roman" w:hAnsi="Times New Roman"/>
          <w:color w:val="222222"/>
        </w:rPr>
        <w:t xml:space="preserve"> </w:t>
      </w:r>
    </w:p>
    <w:p>
      <w:pPr>
        <w:pStyle w:val="5"/>
        <w:widowControl/>
        <w:ind w:firstLine="640"/>
        <w:rPr>
          <w:rFonts w:ascii="Times New Roman" w:hAnsi="Times New Roman"/>
        </w:rPr>
      </w:pPr>
      <w:r>
        <w:rPr>
          <w:rFonts w:hint="eastAsia" w:ascii="Times New Roman" w:hAnsi="Times New Roman" w:eastAsia="仿宋_GB2312"/>
          <w:color w:val="222222"/>
          <w:sz w:val="32"/>
          <w:szCs w:val="32"/>
        </w:rPr>
        <w:t>现将《沂源县</w:t>
      </w:r>
      <w:r>
        <w:rPr>
          <w:rFonts w:hint="eastAsia" w:ascii="Times New Roman" w:hAnsi="Times New Roman" w:eastAsia="仿宋_GB2312"/>
          <w:color w:val="222222"/>
          <w:sz w:val="32"/>
          <w:szCs w:val="32"/>
          <w:lang w:eastAsia="zh-CN"/>
        </w:rPr>
        <w:t>财政</w:t>
      </w:r>
      <w:r>
        <w:rPr>
          <w:rFonts w:hint="eastAsia" w:ascii="Times New Roman" w:hAnsi="Times New Roman" w:eastAsia="仿宋_GB2312"/>
          <w:color w:val="222222"/>
          <w:sz w:val="32"/>
          <w:szCs w:val="32"/>
        </w:rPr>
        <w:t>系统</w:t>
      </w:r>
      <w:r>
        <w:rPr>
          <w:rFonts w:ascii="Times New Roman" w:hAnsi="Times New Roman" w:eastAsia="仿宋_GB2312"/>
          <w:color w:val="222222"/>
          <w:sz w:val="32"/>
          <w:szCs w:val="32"/>
        </w:rPr>
        <w:t>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双随机、一公开</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监管工作实施方案》印发给你们，请结合本地本单位实际，认真贯彻落实。</w:t>
      </w:r>
    </w:p>
    <w:p>
      <w:pPr>
        <w:pStyle w:val="5"/>
        <w:widowControl/>
        <w:jc w:val="center"/>
        <w:rPr>
          <w:rFonts w:ascii="Times New Roman" w:hAnsi="Times New Roman"/>
        </w:rPr>
      </w:pPr>
      <w:r>
        <w:rPr>
          <w:rFonts w:ascii="Times New Roman" w:hAnsi="Times New Roman" w:eastAsia="仿宋_GB2312"/>
          <w:color w:val="222222"/>
          <w:sz w:val="32"/>
          <w:szCs w:val="32"/>
        </w:rPr>
        <w:t xml:space="preserve">                                  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2</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2</w:t>
      </w:r>
      <w:bookmarkStart w:id="0" w:name="_GoBack"/>
      <w:bookmarkEnd w:id="0"/>
      <w:r>
        <w:rPr>
          <w:rFonts w:hint="eastAsia" w:ascii="Times New Roman" w:hAnsi="Times New Roman" w:eastAsia="仿宋_GB2312"/>
          <w:color w:val="222222"/>
          <w:sz w:val="32"/>
          <w:szCs w:val="32"/>
          <w:lang w:val="en-US" w:eastAsia="zh-CN"/>
        </w:rPr>
        <w:t>7</w:t>
      </w:r>
      <w:r>
        <w:rPr>
          <w:rFonts w:hint="eastAsia" w:ascii="Times New Roman" w:hAnsi="Times New Roman" w:eastAsia="仿宋_GB2312"/>
          <w:color w:val="222222"/>
          <w:sz w:val="32"/>
          <w:szCs w:val="32"/>
        </w:rPr>
        <w:t>日</w:t>
      </w:r>
      <w:r>
        <w:rPr>
          <w:rFonts w:ascii="Times New Roman" w:hAnsi="Times New Roman"/>
          <w:color w:val="222222"/>
        </w:rPr>
        <w:t xml:space="preserve"> </w:t>
      </w: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rPr>
      </w:pPr>
      <w:r>
        <w:rPr>
          <w:rFonts w:hint="eastAsia" w:ascii="Times New Roman" w:hAnsi="Times New Roman" w:eastAsia="仿宋_GB2312"/>
          <w:color w:val="222222"/>
          <w:sz w:val="32"/>
          <w:szCs w:val="32"/>
        </w:rPr>
        <w:t>（信息公开类型：主动公开）</w:t>
      </w:r>
    </w:p>
    <w:p>
      <w:pPr>
        <w:pStyle w:val="5"/>
        <w:widowControl/>
        <w:shd w:val="clear" w:color="auto" w:fill="FFFFFF"/>
        <w:jc w:val="center"/>
        <w:rPr>
          <w:rFonts w:ascii="Times New Roman" w:hAnsi="Times New Roman"/>
          <w:b/>
        </w:rPr>
      </w:pPr>
      <w:r>
        <w:rPr>
          <w:rStyle w:val="8"/>
          <w:rFonts w:hint="eastAsia" w:ascii="Times New Roman" w:hAnsi="方正小标宋简体" w:eastAsia="方正小标宋简体"/>
          <w:b w:val="0"/>
          <w:color w:val="333333"/>
          <w:sz w:val="44"/>
          <w:szCs w:val="44"/>
          <w:shd w:val="clear" w:color="auto" w:fill="FFFFFF"/>
        </w:rPr>
        <w:t>沂源县</w:t>
      </w:r>
      <w:r>
        <w:rPr>
          <w:rStyle w:val="8"/>
          <w:rFonts w:hint="eastAsia" w:ascii="Times New Roman" w:hAnsi="方正小标宋简体" w:eastAsia="方正小标宋简体"/>
          <w:b w:val="0"/>
          <w:color w:val="333333"/>
          <w:sz w:val="44"/>
          <w:szCs w:val="44"/>
          <w:shd w:val="clear" w:color="auto" w:fill="FFFFFF"/>
          <w:lang w:eastAsia="zh-CN"/>
        </w:rPr>
        <w:t>财政</w:t>
      </w:r>
      <w:r>
        <w:rPr>
          <w:rStyle w:val="8"/>
          <w:rFonts w:hint="eastAsia" w:ascii="Times New Roman" w:hAnsi="方正小标宋简体" w:eastAsia="方正小标宋简体"/>
          <w:b w:val="0"/>
          <w:color w:val="333333"/>
          <w:sz w:val="44"/>
          <w:szCs w:val="44"/>
          <w:shd w:val="clear" w:color="auto" w:fill="FFFFFF"/>
        </w:rPr>
        <w:t>系统</w:t>
      </w:r>
      <w:r>
        <w:rPr>
          <w:rStyle w:val="8"/>
          <w:rFonts w:ascii="Times New Roman" w:hAnsi="Times New Roman" w:eastAsia="方正小标宋简体"/>
          <w:b w:val="0"/>
          <w:color w:val="333333"/>
          <w:sz w:val="44"/>
          <w:szCs w:val="44"/>
          <w:shd w:val="clear" w:color="auto" w:fill="FFFFFF"/>
        </w:rPr>
        <w:t>202</w:t>
      </w:r>
      <w:r>
        <w:rPr>
          <w:rStyle w:val="8"/>
          <w:rFonts w:hint="eastAsia" w:ascii="Times New Roman" w:hAnsi="Times New Roman" w:eastAsia="方正小标宋简体"/>
          <w:b w:val="0"/>
          <w:color w:val="333333"/>
          <w:sz w:val="44"/>
          <w:szCs w:val="44"/>
          <w:shd w:val="clear" w:color="auto" w:fill="FFFFFF"/>
          <w:lang w:val="en-US" w:eastAsia="zh-CN"/>
        </w:rPr>
        <w:t>3</w:t>
      </w:r>
      <w:r>
        <w:rPr>
          <w:rStyle w:val="8"/>
          <w:rFonts w:hint="eastAsia" w:ascii="Times New Roman" w:hAnsi="方正小标宋简体" w:eastAsia="方正小标宋简体"/>
          <w:b w:val="0"/>
          <w:color w:val="333333"/>
          <w:sz w:val="44"/>
          <w:szCs w:val="44"/>
          <w:shd w:val="clear" w:color="auto" w:fill="FFFFFF"/>
        </w:rPr>
        <w:t>年</w:t>
      </w:r>
      <w:r>
        <w:rPr>
          <w:rFonts w:ascii="Times New Roman" w:hAnsi="Times New Roman"/>
          <w:b/>
          <w:color w:val="222222"/>
          <w:shd w:val="clear" w:color="auto" w:fill="FFFFFF"/>
        </w:rPr>
        <w:t xml:space="preserve"> </w:t>
      </w:r>
    </w:p>
    <w:p>
      <w:pPr>
        <w:pStyle w:val="5"/>
        <w:widowControl/>
        <w:shd w:val="clear" w:color="auto" w:fill="FFFFFF"/>
        <w:jc w:val="center"/>
        <w:rPr>
          <w:rFonts w:ascii="Times New Roman" w:hAnsi="Times New Roman"/>
          <w:color w:val="222222"/>
          <w:shd w:val="clear" w:color="auto" w:fill="FFFFFF"/>
        </w:rPr>
      </w:pP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双随机、一公开</w:t>
      </w: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监管工作实施方案</w:t>
      </w:r>
      <w:r>
        <w:rPr>
          <w:rFonts w:ascii="Times New Roman" w:hAnsi="Times New Roman"/>
          <w:color w:val="222222"/>
          <w:shd w:val="clear" w:color="auto" w:fill="FFFFFF"/>
        </w:rPr>
        <w:t xml:space="preserve"> </w:t>
      </w:r>
    </w:p>
    <w:p>
      <w:pPr>
        <w:pStyle w:val="5"/>
        <w:widowControl/>
        <w:shd w:val="clear" w:color="auto" w:fill="FFFFFF"/>
        <w:jc w:val="center"/>
        <w:rPr>
          <w:rFonts w:ascii="Times New Roman" w:hAnsi="Times New Roman"/>
          <w:color w:val="222222"/>
          <w:shd w:val="clear" w:color="auto" w:fill="FFFFFF"/>
        </w:rPr>
      </w:pPr>
    </w:p>
    <w:p>
      <w:pPr>
        <w:pStyle w:val="5"/>
        <w:widowControl/>
        <w:shd w:val="clear" w:color="auto" w:fill="FFFFFF"/>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Times New Roman" w:hAnsi="Times New Roman" w:eastAsia="仿宋_GB2312"/>
          <w:color w:val="222222"/>
          <w:shd w:val="clear" w:color="auto" w:fill="FFFFFF"/>
          <w:lang w:val="en-US" w:eastAsia="zh-CN"/>
        </w:rPr>
        <w:t xml:space="preserve">     </w:t>
      </w:r>
      <w:r>
        <w:rPr>
          <w:rFonts w:ascii="仿宋_GB2312" w:hAnsi="微软雅黑" w:eastAsia="仿宋_GB2312" w:cs="仿宋_GB2312"/>
          <w:i w:val="0"/>
          <w:iCs w:val="0"/>
          <w:caps w:val="0"/>
          <w:color w:val="000000"/>
          <w:spacing w:val="0"/>
          <w:sz w:val="32"/>
          <w:szCs w:val="32"/>
          <w:shd w:val="clear" w:fill="FFFFFF"/>
        </w:rPr>
        <w:t>为认真贯彻落实</w:t>
      </w:r>
      <w:r>
        <w:rPr>
          <w:rFonts w:hint="eastAsia" w:ascii="仿宋_GB2312" w:hAnsi="微软雅黑" w:eastAsia="仿宋_GB2312" w:cs="仿宋_GB2312"/>
          <w:i w:val="0"/>
          <w:iCs w:val="0"/>
          <w:caps w:val="0"/>
          <w:color w:val="000000"/>
          <w:spacing w:val="0"/>
          <w:sz w:val="32"/>
          <w:szCs w:val="32"/>
          <w:shd w:val="clear" w:fill="FFFFFF"/>
        </w:rPr>
        <w:t>上级关于“双随机、一公开”监管工作的决策部署，深入推进全县财政系统内部“双随机、一公开”监管工作开展，实现财政部门内部联合“双随机、一公开”监管抽查事项全覆盖、监管方式常态化，结合我县实际，制定本方案。</w:t>
      </w:r>
    </w:p>
    <w:p>
      <w:pPr>
        <w:pStyle w:val="5"/>
        <w:widowControl/>
        <w:shd w:val="clear" w:color="auto" w:fill="FFFFFF"/>
        <w:ind w:firstLine="640" w:firstLineChars="200"/>
        <w:jc w:val="left"/>
        <w:rPr>
          <w:rFonts w:ascii="黑体" w:hAnsi="宋体" w:eastAsia="黑体" w:cs="黑体"/>
          <w:i w:val="0"/>
          <w:iCs w:val="0"/>
          <w:caps w:val="0"/>
          <w:color w:val="000000"/>
          <w:spacing w:val="0"/>
          <w:sz w:val="32"/>
          <w:szCs w:val="32"/>
          <w:shd w:val="clear" w:fill="FFFFFF"/>
        </w:rPr>
      </w:pPr>
      <w:r>
        <w:rPr>
          <w:rFonts w:ascii="黑体" w:hAnsi="宋体" w:eastAsia="黑体" w:cs="黑体"/>
          <w:i w:val="0"/>
          <w:iCs w:val="0"/>
          <w:caps w:val="0"/>
          <w:color w:val="000000"/>
          <w:spacing w:val="0"/>
          <w:sz w:val="32"/>
          <w:szCs w:val="32"/>
          <w:shd w:val="clear" w:fill="FFFFFF"/>
        </w:rPr>
        <w:t>一、工作目标</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完善全县财政系统内部“双随机、一公开”监管工作机制，进一步全流程整合卫生健康系统内部各业务条线双随机抽查工作，做到“应联尽联”，实现财政系统内部随机抽查全覆盖、常态化、规范化，全系统年度抽查被监管对象占比不低于4%，抽查结果公示率达到100%。</w:t>
      </w:r>
    </w:p>
    <w:p>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二、主要工作任务</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ascii="楷体" w:hAnsi="楷体" w:eastAsia="楷体" w:cs="楷体"/>
          <w:i w:val="0"/>
          <w:iCs w:val="0"/>
          <w:caps w:val="0"/>
          <w:color w:val="000000"/>
          <w:spacing w:val="0"/>
          <w:sz w:val="32"/>
          <w:szCs w:val="32"/>
          <w:shd w:val="clear" w:fill="FFFFFF"/>
        </w:rPr>
        <w:t>（一）完善</w:t>
      </w:r>
      <w:r>
        <w:rPr>
          <w:rFonts w:hint="eastAsia" w:ascii="楷体" w:hAnsi="楷体" w:eastAsia="楷体" w:cs="楷体"/>
          <w:i w:val="0"/>
          <w:iCs w:val="0"/>
          <w:caps w:val="0"/>
          <w:color w:val="000000"/>
          <w:spacing w:val="0"/>
          <w:sz w:val="32"/>
          <w:szCs w:val="32"/>
          <w:shd w:val="clear" w:fill="FFFFFF"/>
        </w:rPr>
        <w:t>“一单两库”。根据</w:t>
      </w:r>
      <w:r>
        <w:rPr>
          <w:rFonts w:hint="eastAsia" w:ascii="仿宋_GB2312" w:hAnsi="微软雅黑" w:eastAsia="仿宋_GB2312" w:cs="仿宋_GB2312"/>
          <w:i w:val="0"/>
          <w:iCs w:val="0"/>
          <w:caps w:val="0"/>
          <w:color w:val="000000"/>
          <w:spacing w:val="0"/>
          <w:sz w:val="32"/>
          <w:szCs w:val="32"/>
          <w:shd w:val="clear" w:fill="FFFFFF"/>
        </w:rPr>
        <w:t>《山东省“双随机、一公开”监管随机抽查事项清单（2021 年版）》和《淄博市财政局202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年度“双随机、一公开”抽查事项清单》，编制了《沂源县财政局202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度“双随机、一公开”抽查事项清单》，并及时通过县政府网站向社会公布。要在省市各业务条线监管对象的基础上，结合本地区监管特点和需求，在山东省双随机监管工作平台上进一步细化检查对象名录库，做到监管对象“应纳尽纳”。要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谁建立、谁管理”的原则，对“两库”实施动态管理。</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（二）统筹制定年度抽查工作计划。</w:t>
      </w:r>
      <w:r>
        <w:rPr>
          <w:rFonts w:hint="eastAsia" w:ascii="仿宋_GB2312" w:hAnsi="微软雅黑" w:eastAsia="仿宋_GB2312" w:cs="仿宋_GB2312"/>
          <w:i w:val="0"/>
          <w:iCs w:val="0"/>
          <w:caps w:val="0"/>
          <w:color w:val="000000"/>
          <w:spacing w:val="0"/>
          <w:sz w:val="32"/>
          <w:szCs w:val="32"/>
          <w:shd w:val="clear" w:fill="FFFFFF"/>
        </w:rPr>
        <w:t>依据上级的工作安排，结合本地实际与工作需求，统筹制定本地202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年度随机抽查工作计划，抽查工作计划既要保证必要的抽查覆盖面和监管效果，确保符合各业务条线上级工作的要求，还要符合监管重心下移的要求，合理统筹省、市、县（区）的任务占比。202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2月底前，完成抽查工作计划的制定、上报和公示，以确保严格按照计划组织开展抽查检查。需调整年度抽查计划的，要严格按照规范化要求，履行相关工作程序，调整后的年度抽查工作计划要及时向社会公开。</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（三）严格按照程序实施随机抽查检查。</w:t>
      </w:r>
      <w:r>
        <w:rPr>
          <w:rFonts w:hint="eastAsia" w:ascii="仿宋_GB2312" w:hAnsi="微软雅黑" w:eastAsia="仿宋_GB2312" w:cs="仿宋_GB2312"/>
          <w:i w:val="0"/>
          <w:iCs w:val="0"/>
          <w:caps w:val="0"/>
          <w:color w:val="000000"/>
          <w:spacing w:val="0"/>
          <w:sz w:val="32"/>
          <w:szCs w:val="32"/>
          <w:shd w:val="clear" w:fill="FFFFFF"/>
        </w:rPr>
        <w:t>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涉及专业领域的，可以委托有资质的机构开展检验检测、财务审计、调查咨询等工作，或依法采用相关机构作出的鉴定结论。</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（四）提高抽查检查的精准性和结果的公示与运用。</w:t>
      </w:r>
      <w:r>
        <w:rPr>
          <w:rFonts w:hint="eastAsia" w:ascii="仿宋_GB2312" w:hAnsi="微软雅黑" w:eastAsia="仿宋_GB2312" w:cs="仿宋_GB2312"/>
          <w:i w:val="0"/>
          <w:iCs w:val="0"/>
          <w:caps w:val="0"/>
          <w:color w:val="000000"/>
          <w:spacing w:val="0"/>
          <w:sz w:val="32"/>
          <w:szCs w:val="32"/>
          <w:shd w:val="clear" w:fill="FFFFFF"/>
        </w:rPr>
        <w:t>坚持目标导向与问题导向相结合，以大数据分析和信用分类监管为手段，积极探索提高随机抽查问题发现率的有效途径和工作机制，提升“双随机、一公开”监管工作的精准性和震慑力。要按照“谁检查、谁录入、谁公开”的原则，将抽查检查结果通过政府网站进行公示，接受社会监督，增强市场主体守法的自觉性。</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（五）做好随机抽查的后续处置工作。</w:t>
      </w:r>
      <w:r>
        <w:rPr>
          <w:rFonts w:hint="eastAsia" w:ascii="仿宋_GB2312" w:hAnsi="微软雅黑" w:eastAsia="仿宋_GB2312" w:cs="仿宋_GB2312"/>
          <w:i w:val="0"/>
          <w:iCs w:val="0"/>
          <w:caps w:val="0"/>
          <w:color w:val="000000"/>
          <w:spacing w:val="0"/>
          <w:sz w:val="32"/>
          <w:szCs w:val="32"/>
          <w:shd w:val="clear" w:fill="FFFFFF"/>
        </w:rPr>
        <w:t>加大随机抽查工作后续处置力度，对抽查中发现的问题，要建立工作台帐，限期整改落实。涉及相关部门的要及时抄告、移送，交由相关部门处理，涉嫌犯罪的移送司法机关，防止监管脱节。县局各执法科室要在每次抽查结果录入完成后，将抽查中发现的问题及处理结果，及时以书面形式报送局监督评价科。</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（六）加强宣传和业务培训，提高随机抽查工作规范化标准化水平。</w:t>
      </w:r>
      <w:r>
        <w:rPr>
          <w:rFonts w:hint="eastAsia" w:ascii="仿宋_GB2312" w:hAnsi="微软雅黑" w:eastAsia="仿宋_GB2312" w:cs="仿宋_GB2312"/>
          <w:i w:val="0"/>
          <w:iCs w:val="0"/>
          <w:caps w:val="0"/>
          <w:color w:val="000000"/>
          <w:spacing w:val="0"/>
          <w:sz w:val="32"/>
          <w:szCs w:val="32"/>
          <w:shd w:val="clear" w:fill="FFFFFF"/>
        </w:rPr>
        <w:t>监督评价科要加强对“双随机、一公开”监管的舆论宣传，及时总结推广上报先进经验做法，采取多种形式向社会展示财政部门公正、廉洁、依法、审慎监管的良好形象，提升“双随机、一公开”监管的社会影响力和公众知晓度，形成良好的社会氛围。</w:t>
      </w:r>
      <w:r>
        <w:rPr>
          <w:rFonts w:hint="eastAsia" w:ascii="仿宋_GB2312" w:hAnsi="微软雅黑" w:eastAsia="仿宋_GB2312" w:cs="仿宋_GB2312"/>
          <w:i w:val="0"/>
          <w:iCs w:val="0"/>
          <w:caps w:val="0"/>
          <w:color w:val="000000"/>
          <w:spacing w:val="0"/>
          <w:sz w:val="32"/>
          <w:szCs w:val="32"/>
          <w:shd w:val="clear" w:fill="FFFFFF"/>
          <w:lang w:eastAsia="zh-CN"/>
        </w:rPr>
        <w:t>法规税政科</w:t>
      </w:r>
      <w:r>
        <w:rPr>
          <w:rFonts w:hint="eastAsia" w:ascii="仿宋_GB2312" w:hAnsi="微软雅黑" w:eastAsia="仿宋_GB2312" w:cs="仿宋_GB2312"/>
          <w:i w:val="0"/>
          <w:iCs w:val="0"/>
          <w:caps w:val="0"/>
          <w:color w:val="000000"/>
          <w:spacing w:val="0"/>
          <w:sz w:val="32"/>
          <w:szCs w:val="32"/>
          <w:shd w:val="clear" w:fill="FFFFFF"/>
        </w:rPr>
        <w:t>要下大力加强执法队伍建设，在年度培训计划中安排好随机抽查业务培训，提升一线执法检查人员综合执法能力和水平，不断强化工作流程，真正做到依法行政、阳光执法。</w:t>
      </w:r>
    </w:p>
    <w:p>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三、工作要求</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（一）加强组织领导。</w:t>
      </w:r>
      <w:r>
        <w:rPr>
          <w:rFonts w:hint="eastAsia" w:ascii="仿宋_GB2312" w:hAnsi="微软雅黑" w:eastAsia="仿宋_GB2312" w:cs="仿宋_GB2312"/>
          <w:i w:val="0"/>
          <w:iCs w:val="0"/>
          <w:caps w:val="0"/>
          <w:color w:val="000000"/>
          <w:spacing w:val="0"/>
          <w:sz w:val="32"/>
          <w:szCs w:val="32"/>
          <w:shd w:val="clear" w:fill="FFFFFF"/>
        </w:rPr>
        <w:t>加强对全县财政系统“双随机、一公开”监管工作的组织领导，进一步增强责任意识，结合本地实际制定抽查计划和具体实施方案，细化工作目标任务，完善工作机制，扎实推进全县“双随机、一公开”监管工作，确保工作取得实效。</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（二）搞好统筹协调。</w:t>
      </w:r>
      <w:r>
        <w:rPr>
          <w:rFonts w:hint="eastAsia" w:ascii="仿宋_GB2312" w:hAnsi="微软雅黑" w:eastAsia="仿宋_GB2312" w:cs="仿宋_GB2312"/>
          <w:i w:val="0"/>
          <w:iCs w:val="0"/>
          <w:caps w:val="0"/>
          <w:color w:val="000000"/>
          <w:spacing w:val="0"/>
          <w:sz w:val="32"/>
          <w:szCs w:val="32"/>
          <w:shd w:val="clear" w:fill="FFFFFF"/>
        </w:rPr>
        <w:t>充分发挥机构改革的整体效应，强化工作融合，完善条线监管，做好对本部门“双随机、一公开”监管工作的整体推进，真正形成工作推进合力。</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（三）强化督导检查。</w:t>
      </w:r>
      <w:r>
        <w:rPr>
          <w:rFonts w:hint="eastAsia" w:ascii="仿宋_GB2312" w:hAnsi="微软雅黑" w:eastAsia="仿宋_GB2312" w:cs="仿宋_GB2312"/>
          <w:i w:val="0"/>
          <w:iCs w:val="0"/>
          <w:caps w:val="0"/>
          <w:color w:val="000000"/>
          <w:spacing w:val="0"/>
          <w:sz w:val="32"/>
          <w:szCs w:val="32"/>
          <w:shd w:val="clear" w:fill="FFFFFF"/>
        </w:rPr>
        <w:t>加大对“双随机、一公开”监管工作的督导检查力度，通过召开会议调度、定期深入基层督导调研，查找问题不足，督促整改落实，确保工作扎实推进，并将督查情况在一定范围内通报。</w:t>
      </w:r>
    </w:p>
    <w:p>
      <w:pPr>
        <w:pStyle w:val="5"/>
        <w:widowControl/>
        <w:shd w:val="clear" w:color="auto" w:fill="FFFFFF"/>
        <w:ind w:firstLine="640" w:firstLineChars="200"/>
        <w:jc w:val="left"/>
        <w:rPr>
          <w:sz w:val="24"/>
          <w:szCs w:val="24"/>
        </w:rPr>
      </w:pPr>
      <w:r>
        <w:rPr>
          <w:rFonts w:hint="eastAsia" w:ascii="楷体" w:hAnsi="楷体" w:eastAsia="楷体" w:cs="楷体"/>
          <w:i w:val="0"/>
          <w:iCs w:val="0"/>
          <w:caps w:val="0"/>
          <w:color w:val="000000"/>
          <w:spacing w:val="0"/>
          <w:sz w:val="32"/>
          <w:szCs w:val="32"/>
          <w:shd w:val="clear" w:fill="FFFFFF"/>
        </w:rPr>
        <w:t>（四）注重情况反馈。</w:t>
      </w:r>
      <w:r>
        <w:rPr>
          <w:rFonts w:hint="eastAsia" w:ascii="仿宋_GB2312" w:hAnsi="微软雅黑" w:eastAsia="仿宋_GB2312" w:cs="仿宋_GB2312"/>
          <w:i w:val="0"/>
          <w:iCs w:val="0"/>
          <w:caps w:val="0"/>
          <w:color w:val="000000"/>
          <w:spacing w:val="0"/>
          <w:sz w:val="32"/>
          <w:szCs w:val="32"/>
          <w:shd w:val="clear" w:fill="FFFFFF"/>
        </w:rPr>
        <w:t>要根据信息报送制度要求，及时报送“双随机、一公开”工作进展情况，对抽查中遇到的问题及工作中好的经验做法，应及时反馈。</w:t>
      </w:r>
    </w:p>
    <w:p>
      <w:pPr>
        <w:pStyle w:val="5"/>
        <w:widowControl/>
        <w:shd w:val="clear" w:color="auto" w:fill="FFFFFF"/>
        <w:ind w:firstLine="640" w:firstLineChars="200"/>
        <w:jc w:val="both"/>
        <w:rPr>
          <w:rFonts w:hint="eastAsia" w:ascii="Times New Roman" w:hAnsi="Times New Roman" w:eastAsia="仿宋_GB2312"/>
          <w:color w:val="333333"/>
          <w:sz w:val="32"/>
          <w:szCs w:val="32"/>
          <w:shd w:val="clear" w:color="auto" w:fill="FFFFFF"/>
        </w:rPr>
      </w:pPr>
    </w:p>
    <w:p>
      <w:pPr>
        <w:pStyle w:val="5"/>
        <w:widowControl/>
        <w:shd w:val="clear" w:color="auto" w:fill="FFFFFF"/>
        <w:ind w:firstLine="640" w:firstLineChars="200"/>
        <w:jc w:val="both"/>
        <w:rPr>
          <w:rFonts w:ascii="Times New Roman" w:hAnsi="Times New Roman"/>
        </w:rPr>
      </w:pPr>
      <w:r>
        <w:rPr>
          <w:rFonts w:hint="eastAsia" w:ascii="Times New Roman" w:hAnsi="Times New Roman" w:eastAsia="仿宋_GB2312"/>
          <w:color w:val="333333"/>
          <w:sz w:val="32"/>
          <w:szCs w:val="32"/>
          <w:shd w:val="clear" w:color="auto" w:fill="FFFFFF"/>
        </w:rPr>
        <w:t>联</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系</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人：</w:t>
      </w:r>
      <w:r>
        <w:rPr>
          <w:rFonts w:hint="eastAsia" w:ascii="Times New Roman" w:hAnsi="Times New Roman" w:eastAsia="仿宋_GB2312"/>
          <w:color w:val="333333"/>
          <w:sz w:val="32"/>
          <w:szCs w:val="32"/>
          <w:shd w:val="clear" w:color="auto" w:fill="FFFFFF"/>
          <w:lang w:eastAsia="zh-CN"/>
        </w:rPr>
        <w:t>齐海蓉</w:t>
      </w:r>
      <w:r>
        <w:rPr>
          <w:rFonts w:ascii="Times New Roman" w:hAnsi="Times New Roman"/>
          <w:color w:val="222222"/>
          <w:shd w:val="clear" w:color="auto" w:fill="FFFFFF"/>
        </w:rPr>
        <w:t xml:space="preserve"> </w:t>
      </w:r>
    </w:p>
    <w:p>
      <w:pPr>
        <w:pStyle w:val="5"/>
        <w:widowControl/>
        <w:shd w:val="clear" w:color="auto" w:fill="FFFFFF"/>
        <w:ind w:firstLine="640" w:firstLineChars="200"/>
        <w:jc w:val="both"/>
        <w:rPr>
          <w:rFonts w:hint="default" w:ascii="Times New Roman" w:hAnsi="Times New Roman" w:eastAsia="仿宋_GB2312"/>
          <w:lang w:val="en-US" w:eastAsia="zh-CN"/>
        </w:rPr>
      </w:pPr>
      <w:r>
        <w:rPr>
          <w:rFonts w:hint="eastAsia" w:ascii="Times New Roman" w:hAnsi="Times New Roman" w:eastAsia="仿宋_GB2312"/>
          <w:color w:val="333333"/>
          <w:sz w:val="32"/>
          <w:szCs w:val="32"/>
          <w:shd w:val="clear" w:color="auto" w:fill="FFFFFF"/>
        </w:rPr>
        <w:t>联系电话：</w:t>
      </w:r>
      <w:r>
        <w:rPr>
          <w:rFonts w:hint="eastAsia" w:ascii="Times New Roman" w:hAnsi="Times New Roman" w:eastAsia="仿宋_GB2312"/>
          <w:color w:val="333333"/>
          <w:sz w:val="32"/>
          <w:szCs w:val="32"/>
          <w:shd w:val="clear" w:color="auto" w:fill="FFFFFF"/>
          <w:lang w:val="en-US" w:eastAsia="zh-CN"/>
        </w:rPr>
        <w:t>2950578</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EC870E3"/>
    <w:rsid w:val="13D447A0"/>
    <w:rsid w:val="18AF0CD4"/>
    <w:rsid w:val="1D2F2792"/>
    <w:rsid w:val="1EA83D70"/>
    <w:rsid w:val="1FC713E4"/>
    <w:rsid w:val="291307C3"/>
    <w:rsid w:val="4290339F"/>
    <w:rsid w:val="5C787AB7"/>
    <w:rsid w:val="5D787085"/>
    <w:rsid w:val="72E75C65"/>
    <w:rsid w:val="7CAD007D"/>
    <w:rsid w:val="7D812622"/>
    <w:rsid w:val="7DE66607"/>
    <w:rsid w:val="7E8853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qFormat/>
    <w:uiPriority w:val="99"/>
    <w:rPr>
      <w:rFonts w:ascii="monospace" w:hAnsi="monospace" w:cs="monospace"/>
      <w:sz w:val="21"/>
      <w:szCs w:val="21"/>
    </w:rPr>
  </w:style>
  <w:style w:type="character" w:styleId="14">
    <w:name w:val="HTML Keyboard"/>
    <w:basedOn w:val="7"/>
    <w:qFormat/>
    <w:uiPriority w:val="99"/>
    <w:rPr>
      <w:rFonts w:ascii="monospace" w:hAnsi="monospace" w:cs="monospace"/>
      <w:sz w:val="21"/>
      <w:szCs w:val="21"/>
    </w:rPr>
  </w:style>
  <w:style w:type="character" w:styleId="15">
    <w:name w:val="HTML Sample"/>
    <w:basedOn w:val="7"/>
    <w:qFormat/>
    <w:uiPriority w:val="99"/>
    <w:rPr>
      <w:rFonts w:ascii="monospace" w:hAnsi="monospace" w:cs="monospace"/>
      <w:sz w:val="21"/>
      <w:szCs w:val="21"/>
    </w:rPr>
  </w:style>
  <w:style w:type="character" w:customStyle="1" w:styleId="16">
    <w:name w:val="Body Text Char"/>
    <w:basedOn w:val="7"/>
    <w:link w:val="2"/>
    <w:semiHidden/>
    <w:qFormat/>
    <w:locked/>
    <w:uiPriority w:val="99"/>
    <w:rPr>
      <w:rFonts w:ascii="Calibri" w:hAnsi="Calibri" w:cs="Times New Roman"/>
      <w:sz w:val="24"/>
      <w:szCs w:val="24"/>
    </w:rPr>
  </w:style>
  <w:style w:type="character" w:customStyle="1" w:styleId="17">
    <w:name w:val="frm-item-span"/>
    <w:basedOn w:val="7"/>
    <w:qFormat/>
    <w:uiPriority w:val="99"/>
    <w:rPr>
      <w:rFonts w:cs="Times New Roman"/>
      <w:sz w:val="19"/>
      <w:szCs w:val="19"/>
      <w:bdr w:val="single" w:color="D51B00" w:sz="6" w:space="0"/>
      <w:shd w:val="clear" w:color="auto" w:fill="D51B00"/>
    </w:rPr>
  </w:style>
  <w:style w:type="character" w:customStyle="1" w:styleId="18">
    <w:name w:val="reply-time"/>
    <w:basedOn w:val="7"/>
    <w:qFormat/>
    <w:uiPriority w:val="99"/>
    <w:rPr>
      <w:rFonts w:cs="Times New Roman"/>
      <w:color w:val="CA0007"/>
      <w:sz w:val="19"/>
      <w:szCs w:val="19"/>
    </w:rPr>
  </w:style>
  <w:style w:type="character" w:customStyle="1" w:styleId="19">
    <w:name w:val="fl-l2"/>
    <w:basedOn w:val="7"/>
    <w:qFormat/>
    <w:uiPriority w:val="99"/>
    <w:rPr>
      <w:rFonts w:cs="Times New Roman"/>
      <w:sz w:val="27"/>
      <w:szCs w:val="27"/>
    </w:rPr>
  </w:style>
  <w:style w:type="character" w:customStyle="1" w:styleId="20">
    <w:name w:val="fl-l3"/>
    <w:basedOn w:val="7"/>
    <w:qFormat/>
    <w:uiPriority w:val="99"/>
    <w:rPr>
      <w:rFonts w:cs="Times New Roman"/>
      <w:b/>
      <w:bCs/>
    </w:rPr>
  </w:style>
  <w:style w:type="character" w:customStyle="1" w:styleId="21">
    <w:name w:val="fl-r2"/>
    <w:basedOn w:val="7"/>
    <w:qFormat/>
    <w:uiPriority w:val="99"/>
    <w:rPr>
      <w:rFonts w:cs="Times New Roman"/>
      <w:color w:val="666666"/>
      <w:sz w:val="19"/>
      <w:szCs w:val="19"/>
    </w:rPr>
  </w:style>
  <w:style w:type="character" w:customStyle="1" w:styleId="22">
    <w:name w:val="Footer Char"/>
    <w:basedOn w:val="7"/>
    <w:link w:val="3"/>
    <w:semiHidden/>
    <w:qFormat/>
    <w:locked/>
    <w:uiPriority w:val="99"/>
    <w:rPr>
      <w:rFonts w:ascii="Calibri" w:hAnsi="Calibri" w:cs="Times New Roman"/>
      <w:sz w:val="18"/>
      <w:szCs w:val="18"/>
    </w:rPr>
  </w:style>
  <w:style w:type="character" w:customStyle="1" w:styleId="23">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2054</Words>
  <Characters>2095</Characters>
  <Lines>0</Lines>
  <Paragraphs>0</Paragraphs>
  <TotalTime>73</TotalTime>
  <ScaleCrop>false</ScaleCrop>
  <LinksUpToDate>false</LinksUpToDate>
  <CharactersWithSpaces>2142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昊昊</cp:lastModifiedBy>
  <cp:lastPrinted>2022-02-18T00:54:00Z</cp:lastPrinted>
  <dcterms:modified xsi:type="dcterms:W3CDTF">2023-03-09T01:11:37Z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F5E4F54FC7FC4B5D98D184CFDB72DC7B</vt:lpwstr>
  </property>
</Properties>
</file>