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沂源县2019年政府信息公开工作年度报告</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报告按照新修订的《中华人民共和国政府信息公开条例》（以下简称《条例》）和《山东省政府信息公开办法》（以下简称《办法》）规定，由沂源县人民政府办公室综合各镇人民政府、街道办事处、开发区管委会和县政府各部门、单位政府信息公开工作情况编制。</w:t>
      </w:r>
    </w:p>
    <w:p>
      <w:pPr>
        <w:pStyle w:val="2"/>
        <w:widowControl/>
        <w:shd w:val="clear" w:color="auto" w:fill="FFFFFF"/>
        <w:spacing w:beforeAutospacing="0" w:afterAutospacing="0" w:line="560" w:lineRule="exact"/>
        <w:ind w:firstLine="640" w:firstLineChars="200"/>
        <w:jc w:val="both"/>
        <w:rPr>
          <w:rFonts w:ascii="仿宋" w:hAnsi="仿宋" w:eastAsia="仿宋" w:cs="仿宋_GB2312"/>
          <w:color w:val="333333"/>
          <w:sz w:val="32"/>
          <w:szCs w:val="32"/>
        </w:rPr>
      </w:pPr>
      <w:r>
        <w:rPr>
          <w:rFonts w:hint="eastAsia" w:ascii="仿宋" w:hAnsi="仿宋" w:eastAsia="仿宋" w:cs="仿宋_GB2312"/>
          <w:sz w:val="32"/>
          <w:szCs w:val="32"/>
        </w:rPr>
        <w:t>报告全文由总体情况、主动公开政府信息情况、收到和处理政府信息公开申请情况、因政府信息公开工作被申请行政复议与提起行政诉讼情况、政府信息公开工作存在的主要问题及改进情况、其他需要报告的事项等六个部分组成。</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报告中所列数据统计期限自2019年1月1日始，至2019年12月31日止。报告电子版可从沂源县人民政府门户网站（www.yiyuan.gov.cn）下载。如对报告内容有疑问，请与沂源县大数据发展服务中心联系（地址：沂源县振兴路61号；邮编：256100；电话：0533-3241369；邮箱:yyxdsjzx@zb.shandong.cn）。</w:t>
      </w:r>
    </w:p>
    <w:p>
      <w:pPr>
        <w:pStyle w:val="2"/>
        <w:widowControl/>
        <w:shd w:val="clear" w:color="auto" w:fill="FFFFFF"/>
        <w:spacing w:beforeAutospacing="0" w:afterAutospacing="0" w:line="560" w:lineRule="exact"/>
        <w:ind w:firstLine="645"/>
        <w:rPr>
          <w:rFonts w:ascii="微软雅黑" w:hAnsi="微软雅黑" w:eastAsia="微软雅黑" w:cs="微软雅黑"/>
          <w:bCs/>
          <w:color w:val="3D3D3D"/>
          <w:sz w:val="32"/>
          <w:szCs w:val="32"/>
        </w:rPr>
      </w:pPr>
      <w:r>
        <w:rPr>
          <w:rStyle w:val="5"/>
          <w:rFonts w:ascii="黑体" w:hAnsi="宋体" w:eastAsia="黑体" w:cs="黑体"/>
          <w:b w:val="0"/>
          <w:bCs/>
          <w:color w:val="3D3D3D"/>
          <w:sz w:val="32"/>
          <w:szCs w:val="32"/>
          <w:shd w:val="clear" w:color="auto" w:fill="FFFFFF"/>
        </w:rPr>
        <w:t>一、</w:t>
      </w:r>
      <w:r>
        <w:rPr>
          <w:rStyle w:val="5"/>
          <w:rFonts w:hint="eastAsia" w:ascii="黑体" w:hAnsi="宋体" w:eastAsia="黑体" w:cs="黑体"/>
          <w:b w:val="0"/>
          <w:bCs/>
          <w:color w:val="3D3D3D"/>
          <w:sz w:val="32"/>
          <w:szCs w:val="32"/>
          <w:shd w:val="clear" w:color="auto" w:fill="FFFFFF"/>
        </w:rPr>
        <w:t>总体情况</w:t>
      </w:r>
    </w:p>
    <w:p>
      <w:pPr>
        <w:pStyle w:val="2"/>
        <w:widowControl/>
        <w:shd w:val="clear" w:color="auto" w:fill="FFFFFF"/>
        <w:spacing w:beforeAutospacing="0" w:afterAutospacing="0" w:line="560" w:lineRule="exact"/>
        <w:ind w:firstLine="640" w:firstLineChars="200"/>
        <w:jc w:val="both"/>
        <w:rPr>
          <w:rFonts w:ascii="仿宋" w:hAnsi="仿宋" w:eastAsia="仿宋" w:cs="仿宋_GB2312"/>
          <w:kern w:val="2"/>
          <w:sz w:val="32"/>
          <w:szCs w:val="32"/>
        </w:rPr>
      </w:pPr>
      <w:r>
        <w:rPr>
          <w:rFonts w:hint="eastAsia" w:ascii="仿宋" w:hAnsi="仿宋" w:eastAsia="仿宋" w:cs="仿宋_GB2312"/>
          <w:kern w:val="2"/>
          <w:sz w:val="32"/>
          <w:szCs w:val="32"/>
        </w:rPr>
        <w:t>2019年，沂源县坚持以习近平新时代中国特色社会主义思想为指导，深入学习贯彻党的十九大和十九届二中、三中、四中全会以及习近平总书记视察山东重要讲话、重要指示批示精神，认真落实党中央、国务院，省委、省政府，市委、市政府，县委、县政府关于全面推进政务公开工作的系列部署，深入贯彻落实新修订的《条例》和《办法》，紧紧围绕县委、县政府中心工作和社会关切，着力推动行政权力全过程公开、公共服务全流程公开、社会关切全方位回应，持续做好信息发布、解读回应、政民互动、平台建设，切实提升政务公开质量，以公开稳预期、强监督、促落实、优服务，进一步提高政府治理能力，切实增强人民群众满意度、获得感。</w:t>
      </w:r>
    </w:p>
    <w:p>
      <w:pPr>
        <w:pStyle w:val="2"/>
        <w:widowControl/>
        <w:shd w:val="clear" w:color="auto" w:fill="FFFFFF"/>
        <w:spacing w:beforeAutospacing="0" w:afterAutospacing="0" w:line="560" w:lineRule="exact"/>
        <w:ind w:left="640"/>
        <w:jc w:val="both"/>
        <w:rPr>
          <w:rFonts w:ascii="仿宋_GB2312" w:hAnsi="黑体" w:eastAsia="仿宋_GB2312" w:cs="黑体"/>
          <w:b/>
          <w:sz w:val="32"/>
          <w:szCs w:val="32"/>
        </w:rPr>
      </w:pPr>
      <w:r>
        <w:rPr>
          <w:rFonts w:hint="eastAsia" w:ascii="黑体" w:hAnsi="黑体" w:eastAsia="黑体" w:cs="仿宋_GB2312"/>
          <w:b/>
          <w:color w:val="333333"/>
          <w:sz w:val="32"/>
          <w:szCs w:val="32"/>
          <w:shd w:val="clear" w:color="auto" w:fill="FFFFFF"/>
        </w:rPr>
        <w:t>（一）主动公开信息情况</w:t>
      </w:r>
    </w:p>
    <w:p>
      <w:pPr>
        <w:pStyle w:val="2"/>
        <w:shd w:val="clear" w:color="auto" w:fill="FFFFFF"/>
        <w:spacing w:beforeAutospacing="0" w:afterAutospacing="0" w:line="560" w:lineRule="exact"/>
        <w:ind w:firstLine="640" w:firstLineChars="200"/>
        <w:rPr>
          <w:rFonts w:hint="default" w:ascii="仿宋" w:hAnsi="仿宋" w:eastAsia="仿宋" w:cs="仿宋_GB2312"/>
          <w:kern w:val="2"/>
          <w:sz w:val="32"/>
          <w:szCs w:val="32"/>
          <w:lang w:val="en-US" w:eastAsia="zh-CN"/>
        </w:rPr>
      </w:pPr>
      <w:r>
        <w:rPr>
          <w:rFonts w:hint="eastAsia" w:ascii="仿宋" w:hAnsi="仿宋" w:eastAsia="仿宋" w:cs="仿宋_GB2312"/>
          <w:kern w:val="2"/>
          <w:sz w:val="32"/>
          <w:szCs w:val="32"/>
        </w:rPr>
        <w:t>2019年各镇政府、街道办事处和县政府各部门、单位共主动公开政府信息12021条。其中，政府网站公开信息7482条，</w:t>
      </w:r>
      <w:r>
        <w:rPr>
          <w:rFonts w:hint="eastAsia" w:ascii="仿宋" w:hAnsi="仿宋" w:eastAsia="仿宋" w:cs="仿宋_GB2312"/>
          <w:kern w:val="2"/>
          <w:sz w:val="32"/>
          <w:szCs w:val="32"/>
          <w:lang w:eastAsia="zh-CN"/>
        </w:rPr>
        <w:t>比上年增长</w:t>
      </w:r>
      <w:r>
        <w:rPr>
          <w:rFonts w:hint="eastAsia" w:ascii="仿宋" w:hAnsi="仿宋" w:eastAsia="仿宋" w:cs="仿宋_GB2312"/>
          <w:kern w:val="2"/>
          <w:sz w:val="32"/>
          <w:szCs w:val="32"/>
          <w:lang w:val="en-US" w:eastAsia="zh-CN"/>
        </w:rPr>
        <w:t>35.74%，</w:t>
      </w:r>
      <w:r>
        <w:rPr>
          <w:rFonts w:hint="eastAsia" w:ascii="仿宋" w:hAnsi="仿宋" w:eastAsia="仿宋" w:cs="仿宋_GB2312"/>
          <w:kern w:val="2"/>
          <w:sz w:val="32"/>
          <w:szCs w:val="32"/>
        </w:rPr>
        <w:t>政务微博公开信息648条，</w:t>
      </w:r>
      <w:r>
        <w:rPr>
          <w:rFonts w:hint="eastAsia" w:ascii="仿宋" w:hAnsi="仿宋" w:eastAsia="仿宋" w:cs="仿宋_GB2312"/>
          <w:kern w:val="2"/>
          <w:sz w:val="32"/>
          <w:szCs w:val="32"/>
          <w:lang w:eastAsia="zh-CN"/>
        </w:rPr>
        <w:t>比上年增长</w:t>
      </w:r>
      <w:r>
        <w:rPr>
          <w:rFonts w:hint="eastAsia" w:ascii="仿宋" w:hAnsi="仿宋" w:eastAsia="仿宋" w:cs="仿宋_GB2312"/>
          <w:kern w:val="2"/>
          <w:sz w:val="32"/>
          <w:szCs w:val="32"/>
          <w:lang w:val="en-US" w:eastAsia="zh-CN"/>
        </w:rPr>
        <w:t>18.67%，</w:t>
      </w:r>
      <w:r>
        <w:rPr>
          <w:rFonts w:hint="eastAsia" w:ascii="仿宋" w:hAnsi="仿宋" w:eastAsia="仿宋" w:cs="仿宋_GB2312"/>
          <w:kern w:val="2"/>
          <w:sz w:val="32"/>
          <w:szCs w:val="32"/>
        </w:rPr>
        <w:t>政务微信公开信息3535条，政府公报公开信息58条，其他方式公开信息298条。</w:t>
      </w:r>
      <w:r>
        <w:rPr>
          <w:rFonts w:hint="eastAsia" w:ascii="仿宋" w:hAnsi="仿宋" w:eastAsia="仿宋" w:cs="仿宋_GB2312"/>
          <w:kern w:val="2"/>
          <w:sz w:val="32"/>
          <w:szCs w:val="32"/>
          <w:lang w:val="en-US" w:eastAsia="zh-CN"/>
        </w:rPr>
        <w:t>2019年比去年政府信息公开范围不断扩大，信息公开数量进一步增长，公开水平进一步提升。</w:t>
      </w:r>
    </w:p>
    <w:p>
      <w:pPr>
        <w:numPr>
          <w:ilvl w:val="0"/>
          <w:numId w:val="1"/>
        </w:num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围绕重大部署着力推进公开</w:t>
      </w:r>
    </w:p>
    <w:p>
      <w:pPr>
        <w:spacing w:line="560" w:lineRule="exact"/>
        <w:ind w:firstLine="643" w:firstLineChars="200"/>
        <w:rPr>
          <w:rFonts w:ascii="仿宋" w:hAnsi="仿宋" w:eastAsia="仿宋" w:cs="仿宋_GB2312"/>
          <w:b/>
          <w:sz w:val="32"/>
          <w:szCs w:val="32"/>
        </w:rPr>
      </w:pPr>
      <w:r>
        <w:rPr>
          <w:rFonts w:hint="eastAsia" w:ascii="仿宋" w:hAnsi="仿宋" w:eastAsia="仿宋" w:cs="仿宋_GB2312"/>
          <w:b/>
          <w:sz w:val="32"/>
          <w:szCs w:val="32"/>
        </w:rPr>
        <w:t>（1）推进新旧动能转换重大工程信息公开</w:t>
      </w:r>
    </w:p>
    <w:p>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bCs/>
          <w:sz w:val="32"/>
          <w:szCs w:val="32"/>
        </w:rPr>
        <w:t>围绕新旧动能转换重大工程相关政策，深入贯彻落实《山东省新旧动能转换促进条例》、《淄博市推进新旧动能转换改革实施方案》、《沂源县新旧动能转换重大工程实施规划》精神，依托县政府网站新旧动能转换栏目全方位动态公开政策落实情况、工作动态、重大工程项目审批等方面配套制度措施。</w:t>
      </w:r>
      <w:r>
        <w:rPr>
          <w:rFonts w:hint="eastAsia" w:ascii="仿宋" w:hAnsi="仿宋" w:eastAsia="仿宋" w:cs="仿宋_GB2312"/>
          <w:sz w:val="32"/>
          <w:szCs w:val="32"/>
        </w:rPr>
        <w:t>依托县政府网站公开了《沂源县人民政府关于支持新旧动能转换的若干政策意见》。</w:t>
      </w:r>
    </w:p>
    <w:p>
      <w:pPr>
        <w:spacing w:line="560" w:lineRule="exact"/>
        <w:ind w:firstLine="640" w:firstLineChars="200"/>
        <w:rPr>
          <w:rFonts w:hint="eastAsia" w:ascii="仿宋" w:hAnsi="仿宋" w:eastAsia="仿宋" w:cs="仿宋_GB2312"/>
          <w:sz w:val="32"/>
          <w:szCs w:val="32"/>
          <w:lang w:eastAsia="zh-CN"/>
        </w:rPr>
      </w:pPr>
    </w:p>
    <w:p>
      <w:pPr>
        <w:spacing w:line="560" w:lineRule="exact"/>
        <w:ind w:firstLine="640" w:firstLineChars="200"/>
        <w:rPr>
          <w:rFonts w:hint="eastAsia" w:ascii="仿宋" w:hAnsi="仿宋" w:eastAsia="仿宋" w:cs="仿宋_GB2312"/>
          <w:b/>
          <w:sz w:val="32"/>
          <w:szCs w:val="32"/>
        </w:rPr>
      </w:pPr>
      <w:r>
        <w:rPr>
          <w:rFonts w:hint="eastAsia" w:ascii="仿宋" w:hAnsi="仿宋" w:eastAsia="仿宋" w:cs="仿宋_GB2312"/>
          <w:sz w:val="32"/>
          <w:szCs w:val="32"/>
          <w:lang w:eastAsia="zh-CN"/>
        </w:rPr>
        <w:drawing>
          <wp:anchor distT="0" distB="0" distL="114300" distR="114300" simplePos="0" relativeHeight="251659264" behindDoc="0" locked="0" layoutInCell="1" allowOverlap="1">
            <wp:simplePos x="0" y="0"/>
            <wp:positionH relativeFrom="column">
              <wp:posOffset>254000</wp:posOffset>
            </wp:positionH>
            <wp:positionV relativeFrom="paragraph">
              <wp:posOffset>-19050</wp:posOffset>
            </wp:positionV>
            <wp:extent cx="5099685" cy="2966085"/>
            <wp:effectExtent l="0" t="0" r="5715" b="5715"/>
            <wp:wrapSquare wrapText="bothSides"/>
            <wp:docPr id="1" name="图片 1" descr="1591240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1240172(1)"/>
                    <pic:cNvPicPr>
                      <a:picLocks noChangeAspect="1"/>
                    </pic:cNvPicPr>
                  </pic:nvPicPr>
                  <pic:blipFill>
                    <a:blip r:embed="rId4"/>
                    <a:stretch>
                      <a:fillRect/>
                    </a:stretch>
                  </pic:blipFill>
                  <pic:spPr>
                    <a:xfrm>
                      <a:off x="0" y="0"/>
                      <a:ext cx="5099685" cy="2966085"/>
                    </a:xfrm>
                    <a:prstGeom prst="rect">
                      <a:avLst/>
                    </a:prstGeom>
                  </pic:spPr>
                </pic:pic>
              </a:graphicData>
            </a:graphic>
          </wp:anchor>
        </w:drawing>
      </w:r>
    </w:p>
    <w:p>
      <w:pPr>
        <w:spacing w:line="560" w:lineRule="exact"/>
        <w:ind w:firstLine="643" w:firstLineChars="200"/>
        <w:rPr>
          <w:rFonts w:ascii="仿宋" w:hAnsi="仿宋" w:eastAsia="仿宋" w:cs="仿宋_GB2312"/>
          <w:b/>
          <w:sz w:val="32"/>
          <w:szCs w:val="32"/>
        </w:rPr>
      </w:pPr>
      <w:r>
        <w:rPr>
          <w:rFonts w:hint="eastAsia" w:ascii="仿宋" w:hAnsi="仿宋" w:eastAsia="仿宋" w:cs="仿宋_GB2312"/>
          <w:b/>
          <w:sz w:val="32"/>
          <w:szCs w:val="32"/>
        </w:rPr>
        <w:t>（2）推进乡村振兴信息公开</w:t>
      </w:r>
    </w:p>
    <w:p>
      <w:pPr>
        <w:spacing w:line="560" w:lineRule="exact"/>
        <w:ind w:firstLine="640" w:firstLineChars="200"/>
        <w:rPr>
          <w:rFonts w:ascii="仿宋" w:hAnsi="仿宋" w:eastAsia="仿宋" w:cs="楷体_GB2312"/>
          <w:b/>
          <w:bCs/>
          <w:sz w:val="32"/>
          <w:szCs w:val="32"/>
        </w:rPr>
      </w:pPr>
      <w:r>
        <w:rPr>
          <w:rFonts w:hint="eastAsia" w:ascii="仿宋" w:hAnsi="仿宋" w:eastAsia="仿宋" w:cs="仿宋_GB2312"/>
          <w:sz w:val="32"/>
          <w:szCs w:val="32"/>
        </w:rPr>
        <w:t>围绕省委、省政府关于贯彻落实中央决策部署实施乡村振兴战略的要求以及《山东省乡村振兴战略规划（2018-2022年）》精神，推进</w:t>
      </w:r>
      <w:r>
        <w:rPr>
          <w:rFonts w:hint="eastAsia" w:ascii="仿宋" w:hAnsi="仿宋" w:eastAsia="仿宋" w:cs="仿宋_GB2312"/>
          <w:color w:val="3D3D3D"/>
          <w:sz w:val="32"/>
          <w:szCs w:val="32"/>
          <w:shd w:val="clear" w:color="auto" w:fill="FFFFFF"/>
        </w:rPr>
        <w:t>《</w:t>
      </w:r>
      <w:r>
        <w:rPr>
          <w:rFonts w:hint="eastAsia" w:ascii="仿宋" w:hAnsi="仿宋" w:eastAsia="仿宋" w:cs="仿宋_GB2312"/>
          <w:sz w:val="32"/>
          <w:szCs w:val="32"/>
        </w:rPr>
        <w:t>沂源县创建山东省乡村振兴“十百千”工程示范县暨2019年乡村振兴工作实施方案》落实情况公开，深入解读“三农”政策和强农惠农富农举措，县政府成立了沂源县财政金融政策融合支持乡村振兴战略制度创新试点工作领导小组，服务和保障全县乡村振兴战略实施。就业和社会保障、时政要闻、基层动态等栏目向社会公开实施乡村振兴战略的政策和规划、农村集体产权制度改革、农民返乡创业、农民职业教育等信息。</w:t>
      </w:r>
    </w:p>
    <w:p>
      <w:pPr>
        <w:spacing w:line="560" w:lineRule="exact"/>
        <w:ind w:firstLine="643" w:firstLineChars="200"/>
        <w:rPr>
          <w:rFonts w:ascii="仿宋" w:hAnsi="仿宋" w:eastAsia="仿宋" w:cs="仿宋_GB2312"/>
          <w:b/>
          <w:sz w:val="32"/>
          <w:szCs w:val="32"/>
        </w:rPr>
      </w:pPr>
      <w:r>
        <w:rPr>
          <w:rFonts w:hint="eastAsia" w:ascii="仿宋" w:hAnsi="仿宋" w:eastAsia="仿宋" w:cs="仿宋_GB2312"/>
          <w:b/>
          <w:sz w:val="32"/>
          <w:szCs w:val="32"/>
        </w:rPr>
        <w:t>（3）做好打好打赢“三大攻坚战”信息公开</w:t>
      </w:r>
    </w:p>
    <w:p>
      <w:pPr>
        <w:spacing w:line="560" w:lineRule="exact"/>
        <w:ind w:firstLine="640" w:firstLineChars="200"/>
        <w:rPr>
          <w:rFonts w:hint="eastAsia" w:ascii="仿宋" w:hAnsi="仿宋" w:eastAsia="仿宋" w:cs="仿宋_GB2312"/>
          <w:sz w:val="32"/>
          <w:szCs w:val="32"/>
        </w:rPr>
      </w:pPr>
      <w:r>
        <w:rPr>
          <w:rFonts w:hint="eastAsia" w:ascii="仿宋" w:hAnsi="仿宋" w:eastAsia="仿宋" w:cs="楷体_GB2312"/>
          <w:sz w:val="32"/>
          <w:szCs w:val="32"/>
        </w:rPr>
        <w:t>围绕防范化解重大风险。</w:t>
      </w:r>
      <w:r>
        <w:rPr>
          <w:rFonts w:hint="eastAsia" w:ascii="仿宋" w:hAnsi="仿宋" w:eastAsia="仿宋" w:cs="仿宋_GB2312"/>
          <w:sz w:val="32"/>
          <w:szCs w:val="32"/>
        </w:rPr>
        <w:t>依托县政府网站的防范化解重大风险栏目，加大公开力度，形成有利于经济平衡健康发展、社会大局和谐稳定的良好氛围。</w:t>
      </w:r>
    </w:p>
    <w:p>
      <w:pPr>
        <w:spacing w:line="560" w:lineRule="exact"/>
        <w:ind w:firstLine="420" w:firstLineChars="200"/>
        <w:rPr>
          <w:rFonts w:ascii="仿宋" w:hAnsi="仿宋" w:eastAsia="仿宋" w:cs="仿宋_GB2312"/>
          <w:sz w:val="32"/>
          <w:szCs w:val="32"/>
          <w:shd w:val="clear" w:color="auto" w:fill="FFFFFF"/>
        </w:rPr>
      </w:pPr>
      <w:r>
        <w:rPr>
          <w:rFonts w:hint="eastAsia" w:ascii="楷体_GB2312" w:hAnsi="楷体_GB2312" w:eastAsia="楷体_GB2312" w:cs="楷体_GB2312"/>
        </w:rPr>
        <w:drawing>
          <wp:anchor distT="0" distB="0" distL="114300" distR="114300" simplePos="0" relativeHeight="251660288" behindDoc="0" locked="0" layoutInCell="1" allowOverlap="1">
            <wp:simplePos x="0" y="0"/>
            <wp:positionH relativeFrom="column">
              <wp:posOffset>190500</wp:posOffset>
            </wp:positionH>
            <wp:positionV relativeFrom="paragraph">
              <wp:posOffset>80010</wp:posOffset>
            </wp:positionV>
            <wp:extent cx="5271770" cy="1832610"/>
            <wp:effectExtent l="0" t="0" r="5080" b="15240"/>
            <wp:wrapSquare wrapText="bothSides"/>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5"/>
                    <a:stretch>
                      <a:fillRect/>
                    </a:stretch>
                  </pic:blipFill>
                  <pic:spPr>
                    <a:xfrm>
                      <a:off x="0" y="0"/>
                      <a:ext cx="5271770" cy="1832610"/>
                    </a:xfrm>
                    <a:prstGeom prst="rect">
                      <a:avLst/>
                    </a:prstGeom>
                    <a:noFill/>
                    <a:ln>
                      <a:noFill/>
                    </a:ln>
                  </pic:spPr>
                </pic:pic>
              </a:graphicData>
            </a:graphic>
          </wp:anchor>
        </w:drawing>
      </w:r>
      <w:r>
        <w:rPr>
          <w:rFonts w:hint="eastAsia" w:ascii="楷体_GB2312" w:hAnsi="楷体_GB2312" w:eastAsia="楷体_GB2312" w:cs="楷体_GB2312"/>
          <w:lang w:val="en-US" w:eastAsia="zh-CN"/>
        </w:rPr>
        <w:t xml:space="preserve">  </w:t>
      </w:r>
      <w:r>
        <w:rPr>
          <w:rFonts w:hint="eastAsia" w:ascii="仿宋" w:hAnsi="仿宋" w:eastAsia="仿宋" w:cs="楷体_GB2312"/>
          <w:sz w:val="32"/>
          <w:szCs w:val="32"/>
        </w:rPr>
        <w:t>围绕精准脱贫。</w:t>
      </w:r>
      <w:r>
        <w:rPr>
          <w:rFonts w:hint="eastAsia" w:ascii="仿宋" w:hAnsi="仿宋" w:eastAsia="仿宋" w:cs="仿宋_GB2312"/>
          <w:sz w:val="32"/>
          <w:szCs w:val="32"/>
        </w:rPr>
        <w:t>围绕解决“两不愁三保障”面临的突出问题和脱贫攻坚扶持措施等方面，通过县政府网站扶贫信息栏目全面公开脱贫攻坚相关信息。重点公开了扶贫资金分配使用情况、扶贫产业项目情况、扶贫工作成效等内容,并接受群众和社会监督。2019年通过县政府网站扶贫信息栏目共公开</w:t>
      </w:r>
      <w:r>
        <w:rPr>
          <w:rFonts w:hint="eastAsia" w:ascii="仿宋" w:hAnsi="仿宋" w:eastAsia="仿宋" w:cs="仿宋_GB2312"/>
          <w:sz w:val="32"/>
          <w:szCs w:val="32"/>
          <w:shd w:val="clear" w:color="auto" w:fill="FFFFFF"/>
        </w:rPr>
        <w:t>相关信息35条。</w:t>
      </w:r>
    </w:p>
    <w:p>
      <w:pPr>
        <w:spacing w:line="560" w:lineRule="exact"/>
        <w:ind w:firstLine="643" w:firstLineChars="200"/>
        <w:rPr>
          <w:rFonts w:ascii="仿宋" w:hAnsi="仿宋" w:eastAsia="仿宋" w:cs="仿宋_GB2312"/>
          <w:b/>
          <w:bCs/>
          <w:sz w:val="32"/>
          <w:szCs w:val="32"/>
        </w:rPr>
      </w:pPr>
      <w:r>
        <w:rPr>
          <w:rFonts w:hint="eastAsia" w:ascii="楷体" w:hAnsi="楷体" w:eastAsia="楷体" w:cs="仿宋_GB2312"/>
          <w:b/>
          <w:bCs/>
          <w:sz w:val="32"/>
          <w:szCs w:val="32"/>
          <w:lang w:eastAsia="zh-CN"/>
        </w:rPr>
        <w:drawing>
          <wp:anchor distT="0" distB="0" distL="114300" distR="114300" simplePos="0" relativeHeight="251661312" behindDoc="0" locked="0" layoutInCell="1" allowOverlap="1">
            <wp:simplePos x="0" y="0"/>
            <wp:positionH relativeFrom="column">
              <wp:posOffset>-88900</wp:posOffset>
            </wp:positionH>
            <wp:positionV relativeFrom="paragraph">
              <wp:posOffset>2007870</wp:posOffset>
            </wp:positionV>
            <wp:extent cx="5272405" cy="2693670"/>
            <wp:effectExtent l="0" t="0" r="4445" b="11430"/>
            <wp:wrapSquare wrapText="bothSides"/>
            <wp:docPr id="11" name="图片 11" descr="1580865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0865896(1)"/>
                    <pic:cNvPicPr>
                      <a:picLocks noChangeAspect="1"/>
                    </pic:cNvPicPr>
                  </pic:nvPicPr>
                  <pic:blipFill>
                    <a:blip r:embed="rId6"/>
                    <a:stretch>
                      <a:fillRect/>
                    </a:stretch>
                  </pic:blipFill>
                  <pic:spPr>
                    <a:xfrm>
                      <a:off x="0" y="0"/>
                      <a:ext cx="5272405" cy="2693670"/>
                    </a:xfrm>
                    <a:prstGeom prst="rect">
                      <a:avLst/>
                    </a:prstGeom>
                  </pic:spPr>
                </pic:pic>
              </a:graphicData>
            </a:graphic>
          </wp:anchor>
        </w:drawing>
      </w:r>
      <w:r>
        <w:rPr>
          <w:rFonts w:hint="eastAsia" w:ascii="仿宋" w:hAnsi="仿宋" w:eastAsia="仿宋" w:cs="楷体_GB2312"/>
          <w:sz w:val="32"/>
          <w:szCs w:val="32"/>
        </w:rPr>
        <w:t>围绕污染防治。</w:t>
      </w:r>
      <w:r>
        <w:rPr>
          <w:rFonts w:hint="eastAsia" w:ascii="仿宋" w:hAnsi="仿宋" w:eastAsia="仿宋" w:cs="仿宋_GB2312"/>
          <w:sz w:val="32"/>
          <w:szCs w:val="32"/>
        </w:rPr>
        <w:t>推进环境空气质量信息公开，按月发布全县环境空气质量状况等信息。持续推进每月在县政府网站饮用水水质公告栏目向社会公开供水厂出水、管末水等饮水安全状况。建立重点排污单位和企业事业单位公开制度，公开重点排污单位。</w:t>
      </w:r>
    </w:p>
    <w:p>
      <w:p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2、做好优化营商环境信息公开</w:t>
      </w:r>
    </w:p>
    <w:p>
      <w:pPr>
        <w:spacing w:line="560" w:lineRule="exact"/>
        <w:ind w:firstLine="643" w:firstLineChars="200"/>
        <w:rPr>
          <w:rFonts w:ascii="仿宋" w:hAnsi="仿宋" w:eastAsia="仿宋" w:cs="仿宋_GB2312"/>
          <w:b/>
          <w:sz w:val="32"/>
          <w:szCs w:val="32"/>
        </w:rPr>
      </w:pPr>
      <w:r>
        <w:rPr>
          <w:rFonts w:hint="eastAsia" w:ascii="仿宋" w:hAnsi="仿宋" w:eastAsia="仿宋" w:cs="仿宋_GB2312"/>
          <w:b/>
          <w:sz w:val="32"/>
          <w:szCs w:val="32"/>
        </w:rPr>
        <w:t>（1）优化涉企服务信息公开</w:t>
      </w:r>
    </w:p>
    <w:p>
      <w:pPr>
        <w:spacing w:line="560" w:lineRule="exact"/>
        <w:ind w:firstLine="640" w:firstLineChars="200"/>
        <w:rPr>
          <w:rFonts w:ascii="仿宋" w:hAnsi="仿宋" w:eastAsia="仿宋" w:cs="仿宋_GB2312"/>
          <w:b/>
          <w:sz w:val="32"/>
          <w:szCs w:val="32"/>
        </w:rPr>
      </w:pPr>
      <w:r>
        <w:rPr>
          <w:rFonts w:hint="eastAsia" w:ascii="仿宋" w:hAnsi="仿宋" w:eastAsia="仿宋" w:cs="仿宋_GB2312"/>
          <w:sz w:val="32"/>
          <w:szCs w:val="32"/>
        </w:rPr>
        <w:t>围绕“放管服”改革新任务新举措，着力做好减税降费、建设项目审批制度改革、优化企业注销办理流程等方面的信息公开，助力打造法治化、便利化的营商环境。在价格收费栏目公布并动态调整政府性基金、政府定价的涉企经营服务性收费目录清单、行政事业性收费项目取消清单等信息。同时加大各类证明事项清理减并力度，证明事项实行清单管理并在政务服务栏目向社会公开。</w:t>
      </w:r>
    </w:p>
    <w:p>
      <w:pPr>
        <w:spacing w:line="560" w:lineRule="exact"/>
        <w:ind w:firstLine="640" w:firstLineChars="200"/>
        <w:rPr>
          <w:rFonts w:hint="eastAsia" w:ascii="仿宋" w:hAnsi="仿宋" w:eastAsia="仿宋" w:cs="仿宋_GB2312"/>
          <w:b/>
          <w:sz w:val="32"/>
          <w:szCs w:val="32"/>
        </w:rPr>
      </w:pPr>
      <w:r>
        <w:rPr>
          <w:rFonts w:hint="eastAsia" w:ascii="仿宋_GB2312" w:hAnsi="仿宋_GB2312" w:eastAsia="仿宋_GB2312" w:cs="仿宋_GB2312"/>
          <w:b w:val="0"/>
          <w:bCs w:val="0"/>
          <w:sz w:val="32"/>
          <w:szCs w:val="32"/>
          <w:lang w:eastAsia="zh-CN"/>
        </w:rPr>
        <w:drawing>
          <wp:anchor distT="0" distB="0" distL="114300" distR="114300" simplePos="0" relativeHeight="251662336" behindDoc="0" locked="0" layoutInCell="1" allowOverlap="1">
            <wp:simplePos x="0" y="0"/>
            <wp:positionH relativeFrom="column">
              <wp:posOffset>73660</wp:posOffset>
            </wp:positionH>
            <wp:positionV relativeFrom="paragraph">
              <wp:posOffset>104775</wp:posOffset>
            </wp:positionV>
            <wp:extent cx="5262880" cy="3217545"/>
            <wp:effectExtent l="0" t="0" r="13970" b="1905"/>
            <wp:wrapSquare wrapText="bothSides"/>
            <wp:docPr id="16" name="图片 16" descr="1580866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0866790(1)"/>
                    <pic:cNvPicPr>
                      <a:picLocks noChangeAspect="1"/>
                    </pic:cNvPicPr>
                  </pic:nvPicPr>
                  <pic:blipFill>
                    <a:blip r:embed="rId7"/>
                    <a:stretch>
                      <a:fillRect/>
                    </a:stretch>
                  </pic:blipFill>
                  <pic:spPr>
                    <a:xfrm>
                      <a:off x="0" y="0"/>
                      <a:ext cx="5262880" cy="3217545"/>
                    </a:xfrm>
                    <a:prstGeom prst="rect">
                      <a:avLst/>
                    </a:prstGeom>
                  </pic:spPr>
                </pic:pic>
              </a:graphicData>
            </a:graphic>
          </wp:anchor>
        </w:drawing>
      </w:r>
    </w:p>
    <w:p>
      <w:pPr>
        <w:spacing w:line="560" w:lineRule="exact"/>
        <w:ind w:firstLine="643" w:firstLineChars="200"/>
        <w:rPr>
          <w:rFonts w:ascii="仿宋" w:hAnsi="仿宋" w:eastAsia="仿宋" w:cs="仿宋_GB2312"/>
          <w:b/>
          <w:sz w:val="32"/>
          <w:szCs w:val="32"/>
        </w:rPr>
      </w:pPr>
      <w:r>
        <w:rPr>
          <w:rFonts w:hint="eastAsia" w:ascii="仿宋" w:hAnsi="仿宋" w:eastAsia="仿宋" w:cs="仿宋_GB2312"/>
          <w:b/>
          <w:sz w:val="32"/>
          <w:szCs w:val="32"/>
        </w:rPr>
        <w:t>（2）加强权责清单管理信息公开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深化简政放权，结合政府机构改革和职能优化，动态调整政府部门权责清单，进一步加强权责清单规范化建设，规范和约束行政权力运行。县级部门权责清单在政务服务栏目向社会公开。</w:t>
      </w:r>
    </w:p>
    <w:p>
      <w:pPr>
        <w:spacing w:line="56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（3）推进政府规范性文件清理结果信息公开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建立规范性文件公开台账，确保公开的政府信息底数清晰。建立规范性文件定期清理制度，清理结果要向社会公布。</w:t>
      </w:r>
    </w:p>
    <w:p>
      <w:pPr>
        <w:spacing w:line="56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（4）全面推进“双随机、一公开”监管信息公开</w:t>
      </w:r>
    </w:p>
    <w:p>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按照“双随机、一公开”工作要求，及时、准确、规范向社会公开随机抽查事项、抽查结果，并根据法律、法规和工作实际情况等进行动态调整。检查结果及时通过国家企业信用信息公示系统(山东)（http://sd.gsxt.gov.cn/index.html）及“信用中国（山东淄博）（http://credit.zibo.gov.cn）”网站公开。2019年通过县政府网站“双随机、一公开”栏目公开“双随机、一公开”类信息53条。</w:t>
      </w:r>
    </w:p>
    <w:p>
      <w:pPr>
        <w:spacing w:line="560" w:lineRule="exact"/>
        <w:ind w:firstLine="643" w:firstLineChars="200"/>
        <w:rPr>
          <w:rFonts w:hint="eastAsia" w:ascii="仿宋" w:hAnsi="仿宋" w:eastAsia="仿宋" w:cs="仿宋_GB2312"/>
          <w:sz w:val="32"/>
          <w:szCs w:val="32"/>
        </w:rPr>
      </w:pPr>
      <w:r>
        <w:rPr>
          <w:rFonts w:hint="eastAsia" w:ascii="楷体_GB2312" w:hAnsi="楷体_GB2312" w:eastAsia="楷体_GB2312" w:cs="楷体_GB2312"/>
          <w:b/>
          <w:bCs/>
          <w:i w:val="0"/>
          <w:caps w:val="0"/>
          <w:color w:val="000000"/>
          <w:spacing w:val="0"/>
          <w:sz w:val="32"/>
          <w:szCs w:val="32"/>
          <w:shd w:val="clear" w:fill="FFFFFF"/>
          <w:lang w:val="en-US" w:eastAsia="zh-CN"/>
        </w:rPr>
        <w:drawing>
          <wp:anchor distT="0" distB="0" distL="114300" distR="114300" simplePos="0" relativeHeight="251663360" behindDoc="0" locked="0" layoutInCell="1" allowOverlap="1">
            <wp:simplePos x="0" y="0"/>
            <wp:positionH relativeFrom="column">
              <wp:posOffset>-90805</wp:posOffset>
            </wp:positionH>
            <wp:positionV relativeFrom="paragraph">
              <wp:posOffset>87630</wp:posOffset>
            </wp:positionV>
            <wp:extent cx="5264785" cy="3404235"/>
            <wp:effectExtent l="0" t="0" r="12065" b="5715"/>
            <wp:wrapSquare wrapText="bothSides"/>
            <wp:docPr id="22" name="图片 22" descr="158086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0869224(1)"/>
                    <pic:cNvPicPr>
                      <a:picLocks noChangeAspect="1"/>
                    </pic:cNvPicPr>
                  </pic:nvPicPr>
                  <pic:blipFill>
                    <a:blip r:embed="rId8"/>
                    <a:stretch>
                      <a:fillRect/>
                    </a:stretch>
                  </pic:blipFill>
                  <pic:spPr>
                    <a:xfrm>
                      <a:off x="0" y="0"/>
                      <a:ext cx="5264785" cy="3404235"/>
                    </a:xfrm>
                    <a:prstGeom prst="rect">
                      <a:avLst/>
                    </a:prstGeom>
                  </pic:spPr>
                </pic:pic>
              </a:graphicData>
            </a:graphic>
          </wp:anchor>
        </w:drawing>
      </w:r>
    </w:p>
    <w:p>
      <w:pPr>
        <w:spacing w:line="56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（5）推进社会信用体系建设信息公开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全面开展行政许可和行政处罚信用信息“双公示”工作，“双公示”结果通过信用中国（山东淄博）（http://credit.zibo.gov.cn）”网站的行政许可和行政处罚栏目公开。建立信用“红黑名单”制度，“红黑名单”结果通过信用中国（山东淄博）（http://credit.zibo.gov.cn）”网站的守信红名单和失信黑名单栏目公开。2019年在县政府网站行政许可和行政处罚双公示栏目公开相关“双公示”信息303条。</w:t>
      </w:r>
    </w:p>
    <w:p>
      <w:p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3、做好重点领域信息公开</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（1）推进重要部署执行公开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围绕政府工作报告、年度重点工作、民生实事项目等，按照职责分工，加大政策措施的执行和落实情况公开力度，进一步加强督查和审计发现问题及整改落实情况公开。在重大行政决策执行过程中，及时通过县政府网站重大决策公开栏目向社会公开利益相关方和社会公众对决策实施的意见和建议等相关情况。</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（2）推进人大代表建议和政协委员提案办理结果公开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对涉及公共利益、公众权益、社会关切及需要社会广泛知晓的建议和提案，在县政府网站公开答复全文。2019年全县政府系统共承办人大代表建议94件，办复率100%；承办政协提案144件，办复率100%。</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（3）推进重大建设项目和公共资源配置领域信息公开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楷体_GB2312"/>
          <w:sz w:val="32"/>
          <w:szCs w:val="32"/>
        </w:rPr>
        <w:t>继续加大重大建设项目和公共资源配置领域信息公开力度。</w:t>
      </w:r>
      <w:r>
        <w:rPr>
          <w:rFonts w:hint="eastAsia" w:ascii="仿宋" w:hAnsi="仿宋" w:eastAsia="仿宋" w:cs="仿宋_GB2312"/>
          <w:sz w:val="32"/>
          <w:szCs w:val="32"/>
        </w:rPr>
        <w:t>在县政府网站的重大建设项目栏目公开建设项目的基本情况。依托淄博市公共资源交易网（http://ggzyjy.zibo.gov.cn）及时公开公共资源交易公告、交易过程等信息，推动实现公共资源交易全流程透明化。</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（4）推进财政信息细化公开</w:t>
      </w:r>
    </w:p>
    <w:p>
      <w:pPr>
        <w:pStyle w:val="2"/>
        <w:widowControl/>
        <w:shd w:val="clear" w:color="auto" w:fill="FFFFFF"/>
        <w:spacing w:beforeAutospacing="0" w:afterAutospacing="0"/>
        <w:ind w:firstLine="640" w:firstLineChars="200"/>
        <w:jc w:val="both"/>
        <w:rPr>
          <w:rFonts w:hint="eastAsia" w:ascii="仿宋" w:hAnsi="仿宋" w:eastAsia="仿宋" w:cs="仿宋_GB2312"/>
          <w:sz w:val="32"/>
          <w:szCs w:val="32"/>
        </w:rPr>
      </w:pPr>
      <w:r>
        <w:rPr>
          <w:rFonts w:hint="eastAsia" w:ascii="仿宋" w:hAnsi="仿宋" w:eastAsia="仿宋" w:cs="楷体_GB2312"/>
          <w:sz w:val="32"/>
          <w:szCs w:val="32"/>
        </w:rPr>
        <w:t>继续深化全县政府预决算信息公开工作。</w:t>
      </w:r>
      <w:r>
        <w:rPr>
          <w:rFonts w:hint="eastAsia" w:ascii="仿宋" w:hAnsi="仿宋" w:eastAsia="仿宋" w:cs="仿宋_GB2312"/>
          <w:sz w:val="32"/>
          <w:szCs w:val="32"/>
        </w:rPr>
        <w:t>通过县政府网站设立的财政预决算栏目，链接到淄博市预决算公开统一平台（http://czyjs.zibo.gov.cn），将政府预决算、部门预决算在平台公开，方便公众查阅和监督。加大政府采购信息公开力度，通过县政府网站的政府采购栏目链接到中国山东政府采购网（http://www.ccgp-shandong.gov.cn）及时公开招投标、采购公告等信息。</w:t>
      </w:r>
    </w:p>
    <w:p>
      <w:pPr>
        <w:pStyle w:val="2"/>
        <w:widowControl/>
        <w:shd w:val="clear" w:color="auto" w:fill="FFFFFF"/>
        <w:spacing w:beforeAutospacing="0" w:afterAutospacing="0"/>
        <w:ind w:firstLine="480" w:firstLineChars="200"/>
        <w:jc w:val="both"/>
        <w:rPr>
          <w:rFonts w:hint="eastAsia" w:ascii="仿宋" w:hAnsi="仿宋" w:eastAsia="仿宋" w:cs="仿宋_GB2312"/>
          <w:sz w:val="32"/>
          <w:szCs w:val="32"/>
        </w:rPr>
      </w:pPr>
      <w:r>
        <w:drawing>
          <wp:inline distT="0" distB="0" distL="114300" distR="114300">
            <wp:extent cx="5268595" cy="2411095"/>
            <wp:effectExtent l="0" t="0" r="8255" b="825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68595" cy="2411095"/>
                    </a:xfrm>
                    <a:prstGeom prst="rect">
                      <a:avLst/>
                    </a:prstGeom>
                    <a:noFill/>
                    <a:ln>
                      <a:noFill/>
                    </a:ln>
                  </pic:spPr>
                </pic:pic>
              </a:graphicData>
            </a:graphic>
          </wp:inline>
        </w:drawing>
      </w:r>
    </w:p>
    <w:p>
      <w:pPr>
        <w:pStyle w:val="2"/>
        <w:widowControl/>
        <w:shd w:val="clear" w:color="auto" w:fill="FFFFFF"/>
        <w:spacing w:beforeAutospacing="0" w:afterAutospacing="0"/>
        <w:jc w:val="both"/>
        <w:rPr>
          <w:rFonts w:hint="eastAsia" w:ascii="仿宋" w:hAnsi="仿宋" w:eastAsia="仿宋" w:cs="仿宋_GB2312"/>
          <w:sz w:val="32"/>
          <w:szCs w:val="32"/>
        </w:rPr>
      </w:pP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（5）推进行政执法信息公开</w:t>
      </w:r>
    </w:p>
    <w:p>
      <w:pPr>
        <w:spacing w:line="560" w:lineRule="exact"/>
        <w:ind w:firstLine="640" w:firstLineChars="200"/>
        <w:rPr>
          <w:rFonts w:ascii="仿宋" w:hAnsi="仿宋" w:eastAsia="仿宋" w:cs="楷体_GB2312"/>
          <w:b/>
          <w:bCs/>
          <w:sz w:val="32"/>
          <w:szCs w:val="32"/>
        </w:rPr>
      </w:pPr>
      <w:r>
        <w:rPr>
          <w:rFonts w:hint="eastAsia" w:ascii="仿宋" w:hAnsi="仿宋" w:eastAsia="仿宋" w:cs="仿宋_GB2312"/>
          <w:sz w:val="32"/>
          <w:szCs w:val="32"/>
        </w:rPr>
        <w:t>按照“谁执法谁公示”原则，严格落实行政执法公示制度，规范行政执法行为。通过县政府网站行政执法公示栏目，集中向社会依法公开行政执法职责、执法依据、执法程序、执法结果等信息。</w:t>
      </w:r>
    </w:p>
    <w:p>
      <w:p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4、做好社会公益事业建设领域信息公开</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（1）推进社会救助与社会福利信息公开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重点围绕城乡低保、特困人员救助供养、医疗救助、临时救助等事项，建立社会救助信息公开内容动态更新机制。通过县政府网站社会救助栏目全面公开社会救助政策文件、救助对象认定、救助标准、救助人数、资金支出等相关信息。</w:t>
      </w:r>
      <w:bookmarkStart w:id="0" w:name="OLE_LINK1"/>
      <w:r>
        <w:rPr>
          <w:rFonts w:hint="eastAsia" w:ascii="仿宋" w:hAnsi="仿宋" w:eastAsia="仿宋" w:cs="仿宋_GB2312"/>
          <w:sz w:val="32"/>
          <w:szCs w:val="32"/>
        </w:rPr>
        <w:t>2019年在县政府网站社会救助栏目共发布</w:t>
      </w:r>
      <w:bookmarkEnd w:id="0"/>
      <w:r>
        <w:rPr>
          <w:rFonts w:hint="eastAsia" w:ascii="仿宋" w:hAnsi="仿宋" w:eastAsia="仿宋" w:cs="仿宋_GB2312"/>
          <w:sz w:val="32"/>
          <w:szCs w:val="32"/>
        </w:rPr>
        <w:t>信息28条。围绕老年人福利、残疾人福利、儿童福利等事项，通过县政府网站社会福利栏目全面公开福利补贴对象认定条件、申领范围、福利补贴发放等相关政策。</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（2）推进社会保险信息公开</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建立健全社会保险信息披露制度，主动公开现行有效的社会保险法规、政策、标准等。在县政府网站就业和社会保障栏目公开参保人数、待遇支付情况，及时发布医保定点医院、药店及药品、诊疗项目目录等。</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（3）推进就业创业信息公开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重点公开各项就业创业优惠扶持政策的实施范围、各项补贴政策的申领条件和程序等情况。主动发布岗位供求、创业、职业培训等信息，做好面向高校毕业生、退役军人、下岗职工、农民工等重点群体的就业专项活动和高职院校考试招生信息的公开工作。2019年在就业和社会保障栏目共发布98条信息。</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（4）推进教育和医疗健康领域信息公开</w:t>
      </w:r>
    </w:p>
    <w:p>
      <w:pPr>
        <w:spacing w:line="560" w:lineRule="exact"/>
        <w:ind w:firstLine="640" w:firstLineChars="200"/>
        <w:rPr>
          <w:rFonts w:ascii="仿宋" w:hAnsi="仿宋" w:eastAsia="仿宋" w:cs="仿宋_GB2312"/>
          <w:b/>
          <w:bCs/>
          <w:sz w:val="32"/>
          <w:szCs w:val="32"/>
        </w:rPr>
      </w:pPr>
      <w:r>
        <w:rPr>
          <w:rFonts w:hint="eastAsia" w:ascii="仿宋" w:hAnsi="仿宋" w:eastAsia="仿宋" w:cs="仿宋_GB2312"/>
          <w:sz w:val="32"/>
          <w:szCs w:val="32"/>
        </w:rPr>
        <w:t>通过县政府网站在重点领域信息公开栏目下设立教育栏目，及时公开教育招生方案、招生范围、报名条件、学校情况、录取结果等信息，促进发展更加公平更有质量的教育。围绕保障人民群众身体健康，加大医疗服务、药品安全、医保监管等方面信息公开力度。2019年通过县政府网站</w:t>
      </w:r>
      <w:r>
        <w:rPr>
          <w:rFonts w:hint="eastAsia" w:ascii="仿宋" w:hAnsi="仿宋" w:eastAsia="仿宋" w:cs="仿宋_GB2312"/>
          <w:color w:val="000000"/>
          <w:sz w:val="32"/>
          <w:szCs w:val="32"/>
          <w:shd w:val="clear" w:color="auto" w:fill="FFFFFF"/>
        </w:rPr>
        <w:t>医疗健康栏目共公开信息92条。</w:t>
      </w:r>
    </w:p>
    <w:p>
      <w:pPr>
        <w:spacing w:line="560" w:lineRule="exact"/>
        <w:ind w:left="420" w:leftChars="200"/>
        <w:rPr>
          <w:rFonts w:ascii="仿宋" w:hAnsi="仿宋" w:eastAsia="仿宋" w:cs="仿宋_GB2312"/>
          <w:b/>
          <w:bCs/>
          <w:sz w:val="32"/>
          <w:szCs w:val="32"/>
        </w:rPr>
      </w:pPr>
      <w:r>
        <w:rPr>
          <w:rFonts w:hint="eastAsia" w:ascii="仿宋" w:hAnsi="仿宋" w:eastAsia="仿宋" w:cs="仿宋_GB2312"/>
          <w:b/>
          <w:bCs/>
          <w:sz w:val="32"/>
          <w:szCs w:val="32"/>
        </w:rPr>
        <w:t>（5）推进公共文化体育领域信息公开</w:t>
      </w:r>
    </w:p>
    <w:p>
      <w:pPr>
        <w:pStyle w:val="2"/>
        <w:widowControl/>
        <w:shd w:val="clear" w:color="auto" w:fill="FFFFFF"/>
        <w:spacing w:beforeAutospacing="0" w:afterAutospacing="0"/>
        <w:ind w:firstLine="640" w:firstLineChars="200"/>
        <w:jc w:val="both"/>
        <w:rPr>
          <w:rFonts w:ascii="仿宋" w:hAnsi="仿宋" w:eastAsia="仿宋" w:cs="仿宋_GB2312"/>
          <w:b/>
          <w:bCs/>
          <w:sz w:val="32"/>
          <w:szCs w:val="32"/>
        </w:rPr>
      </w:pPr>
      <w:r>
        <w:rPr>
          <w:rFonts w:hint="eastAsia" w:ascii="仿宋" w:hAnsi="仿宋" w:eastAsia="仿宋" w:cs="仿宋_GB2312"/>
          <w:sz w:val="32"/>
          <w:szCs w:val="32"/>
        </w:rPr>
        <w:t>围绕公共文化体育的服务保障政策、财政资金投入和使用、设施建设和使用等，</w:t>
      </w:r>
      <w:r>
        <w:rPr>
          <w:rFonts w:hint="eastAsia" w:ascii="仿宋" w:hAnsi="仿宋" w:eastAsia="仿宋" w:cs="仿宋_GB2312"/>
          <w:sz w:val="32"/>
          <w:szCs w:val="32"/>
          <w:shd w:val="clear" w:color="auto" w:fill="FFFFFF"/>
        </w:rPr>
        <w:t>及时公开</w:t>
      </w:r>
      <w:r>
        <w:rPr>
          <w:rFonts w:hint="eastAsia" w:ascii="仿宋" w:hAnsi="仿宋" w:eastAsia="仿宋" w:cs="仿宋_GB2312"/>
          <w:sz w:val="32"/>
          <w:szCs w:val="32"/>
        </w:rPr>
        <w:t>非物质文化遗产保护名录、</w:t>
      </w:r>
      <w:r>
        <w:rPr>
          <w:rFonts w:hint="eastAsia" w:ascii="仿宋" w:hAnsi="仿宋" w:eastAsia="仿宋" w:cs="仿宋_GB2312"/>
          <w:sz w:val="32"/>
          <w:szCs w:val="32"/>
          <w:shd w:val="clear" w:color="auto" w:fill="FFFFFF"/>
        </w:rPr>
        <w:t>公共文化体育设施名录</w:t>
      </w:r>
      <w:r>
        <w:rPr>
          <w:rFonts w:hint="eastAsia" w:ascii="仿宋" w:hAnsi="仿宋" w:eastAsia="仿宋" w:cs="仿宋_GB2312"/>
          <w:sz w:val="32"/>
          <w:szCs w:val="32"/>
        </w:rPr>
        <w:t>、</w:t>
      </w:r>
      <w:r>
        <w:rPr>
          <w:rFonts w:hint="eastAsia" w:ascii="仿宋" w:hAnsi="仿宋" w:eastAsia="仿宋" w:cs="仿宋_GB2312"/>
          <w:sz w:val="32"/>
          <w:szCs w:val="32"/>
          <w:shd w:val="clear" w:color="auto" w:fill="FFFFFF"/>
        </w:rPr>
        <w:t>公益性体育赛事和活动等信息。同时</w:t>
      </w:r>
      <w:r>
        <w:rPr>
          <w:rFonts w:hint="eastAsia" w:ascii="仿宋" w:hAnsi="仿宋" w:eastAsia="仿宋" w:cs="仿宋_GB2312"/>
          <w:sz w:val="32"/>
          <w:szCs w:val="32"/>
        </w:rPr>
        <w:t>多渠道及时发布公益性文化服务活动、公益性体育赛事和活动、受捐款物管理使用安排使用等情况。</w:t>
      </w:r>
      <w:r>
        <w:rPr>
          <w:rFonts w:hint="eastAsia" w:ascii="仿宋" w:hAnsi="仿宋" w:eastAsia="仿宋" w:cs="仿宋_GB2312"/>
          <w:sz w:val="32"/>
          <w:szCs w:val="32"/>
          <w:shd w:val="clear" w:color="auto" w:fill="FFFFFF"/>
        </w:rPr>
        <w:t>2019年共公开</w:t>
      </w:r>
      <w:r>
        <w:rPr>
          <w:rFonts w:hint="eastAsia" w:ascii="仿宋" w:hAnsi="仿宋" w:eastAsia="仿宋" w:cs="仿宋_GB2312"/>
          <w:color w:val="000000"/>
          <w:sz w:val="32"/>
          <w:szCs w:val="32"/>
          <w:shd w:val="clear" w:color="auto" w:fill="FFFFFF"/>
        </w:rPr>
        <w:t>文化教育体育类信息108条。</w:t>
      </w:r>
    </w:p>
    <w:p>
      <w:pPr>
        <w:numPr>
          <w:ilvl w:val="0"/>
          <w:numId w:val="2"/>
        </w:num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推进决策会议公开，深入解读政策措施</w:t>
      </w:r>
    </w:p>
    <w:p>
      <w:pPr>
        <w:spacing w:line="56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（1）推进决策会议公开</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在县政府网站设置政府会议专栏，对县政府常务会议议定事项予以及时公开。</w:t>
      </w:r>
    </w:p>
    <w:p>
      <w:pPr>
        <w:spacing w:line="56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（2）深入解读好政策措施</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按照“谁起草谁解读”原则，切实做好政策文件与解读方案、解读材料同步组织、同步审签、同步部署。部门主要负责人履行信息发布、定调把关等“第一解读人”职责，带头解读政策，主动引导预期。同时，对网站的政策文件和解读内容进行了相互链接，方便群众阅读。2019年在县政府网站政策解读栏目共发布政策解读信息111条。</w:t>
      </w:r>
    </w:p>
    <w:p>
      <w:pPr>
        <w:spacing w:line="560" w:lineRule="exact"/>
        <w:ind w:firstLine="643" w:firstLineChars="200"/>
        <w:rPr>
          <w:rFonts w:ascii="黑体" w:hAnsi="黑体" w:eastAsia="黑体" w:cs="仿宋_GB2312"/>
          <w:b/>
          <w:bCs/>
          <w:color w:val="333333"/>
          <w:sz w:val="32"/>
          <w:szCs w:val="32"/>
          <w:shd w:val="clear" w:color="auto" w:fill="FFFFFF"/>
        </w:rPr>
      </w:pPr>
      <w:r>
        <w:rPr>
          <w:rFonts w:hint="eastAsia" w:ascii="黑体" w:hAnsi="黑体" w:eastAsia="黑体" w:cs="仿宋_GB2312"/>
          <w:b/>
          <w:bCs/>
          <w:color w:val="333333"/>
          <w:sz w:val="32"/>
          <w:szCs w:val="32"/>
          <w:shd w:val="clear" w:color="auto" w:fill="FFFFFF"/>
        </w:rPr>
        <w:t>（二）依申请公开情况</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我县在县政府网站开通了政府信息公开申请受理平台，严格执行“工作机构受理，业务部门承办，重大问题会商，法制部门合法性审查”的依申请公开工作程序，依法及时办理公开申请，切实满足公民、法人和其他组织的个性化政府信息需求。</w:t>
      </w:r>
    </w:p>
    <w:p>
      <w:p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1、收到申请情况</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2019年，全县各级各部门共收到政府信息公开申请34件。申请内容主要集中在土地征收、补偿安置、城乡规划等领域。</w:t>
      </w:r>
    </w:p>
    <w:p>
      <w:pPr>
        <w:spacing w:line="560" w:lineRule="exact"/>
        <w:ind w:firstLine="643" w:firstLineChars="200"/>
        <w:rPr>
          <w:rFonts w:ascii="楷体" w:hAnsi="楷体" w:eastAsia="楷体" w:cs="楷体_GB2312"/>
          <w:b/>
          <w:bCs/>
          <w:sz w:val="32"/>
          <w:szCs w:val="32"/>
        </w:rPr>
      </w:pPr>
      <w:r>
        <w:rPr>
          <w:rFonts w:hint="eastAsia" w:ascii="楷体" w:hAnsi="楷体" w:eastAsia="楷体" w:cs="楷体_GB2312"/>
          <w:b/>
          <w:bCs/>
          <w:sz w:val="32"/>
          <w:szCs w:val="32"/>
        </w:rPr>
        <w:t>2、申请处理情况</w:t>
      </w:r>
    </w:p>
    <w:p>
      <w:pPr>
        <w:spacing w:line="560" w:lineRule="exact"/>
        <w:ind w:firstLine="640" w:firstLineChars="200"/>
        <w:jc w:val="left"/>
        <w:rPr>
          <w:rFonts w:ascii="仿宋" w:hAnsi="仿宋" w:eastAsia="仿宋" w:cs="仿宋_GB2312"/>
          <w:b/>
          <w:bCs/>
          <w:color w:val="333333"/>
          <w:sz w:val="32"/>
          <w:szCs w:val="32"/>
          <w:shd w:val="clear" w:color="auto" w:fill="FFFFFF"/>
        </w:rPr>
      </w:pPr>
      <w:r>
        <w:rPr>
          <w:rFonts w:hint="eastAsia" w:ascii="仿宋" w:hAnsi="仿宋" w:eastAsia="仿宋" w:cs="仿宋_GB2312"/>
          <w:sz w:val="32"/>
          <w:szCs w:val="32"/>
        </w:rPr>
        <w:t>2019年共办结信息公开申请34件。其中，予以公开的办件有24件，部分公开的有3件，不予公开的有4件：不予公开的办件中属于国家秘密的有1件、其他法律行政法规禁止公开的有1件、属于三类内部事务信息的有1件、属于四类过程性信息的有1件，无法提供的办件有1件，其他处理的有2件。</w:t>
      </w:r>
    </w:p>
    <w:p>
      <w:pPr>
        <w:pStyle w:val="2"/>
        <w:widowControl/>
        <w:shd w:val="clear" w:color="auto" w:fill="FFFFFF"/>
        <w:spacing w:beforeAutospacing="0" w:afterAutospacing="0" w:line="560" w:lineRule="exact"/>
        <w:ind w:firstLine="643" w:firstLineChars="200"/>
        <w:jc w:val="both"/>
        <w:rPr>
          <w:rFonts w:ascii="黑体" w:hAnsi="黑体" w:eastAsia="黑体" w:cs="仿宋_GB2312"/>
          <w:b/>
          <w:bCs/>
          <w:color w:val="333333"/>
          <w:sz w:val="32"/>
          <w:szCs w:val="32"/>
          <w:shd w:val="clear" w:color="auto" w:fill="FFFFFF"/>
        </w:rPr>
      </w:pPr>
      <w:r>
        <w:rPr>
          <w:rFonts w:hint="eastAsia" w:ascii="黑体" w:hAnsi="黑体" w:eastAsia="黑体" w:cs="仿宋_GB2312"/>
          <w:b/>
          <w:bCs/>
          <w:color w:val="333333"/>
          <w:sz w:val="32"/>
          <w:szCs w:val="32"/>
          <w:shd w:val="clear" w:color="auto" w:fill="FFFFFF"/>
        </w:rPr>
        <w:t>（三）政府信息管理情况</w:t>
      </w:r>
    </w:p>
    <w:p>
      <w:pPr>
        <w:pStyle w:val="2"/>
        <w:widowControl/>
        <w:shd w:val="clear" w:color="auto" w:fill="FFFFFF"/>
        <w:spacing w:beforeAutospacing="0" w:afterAutospacing="0" w:line="560" w:lineRule="exact"/>
        <w:ind w:firstLine="640" w:firstLineChars="200"/>
        <w:jc w:val="both"/>
        <w:rPr>
          <w:rFonts w:ascii="仿宋" w:hAnsi="仿宋" w:eastAsia="仿宋" w:cs="仿宋_GB2312"/>
          <w:kern w:val="2"/>
          <w:sz w:val="32"/>
          <w:szCs w:val="32"/>
        </w:rPr>
      </w:pPr>
      <w:r>
        <w:rPr>
          <w:rFonts w:hint="eastAsia" w:ascii="仿宋" w:hAnsi="仿宋" w:eastAsia="仿宋" w:cs="楷体_GB2312"/>
          <w:kern w:val="2"/>
          <w:sz w:val="32"/>
          <w:szCs w:val="32"/>
        </w:rPr>
        <w:t>一是</w:t>
      </w:r>
      <w:r>
        <w:rPr>
          <w:rFonts w:hint="eastAsia" w:ascii="仿宋" w:hAnsi="仿宋" w:eastAsia="仿宋" w:cs="仿宋_GB2312"/>
          <w:kern w:val="2"/>
          <w:sz w:val="32"/>
          <w:szCs w:val="32"/>
        </w:rPr>
        <w:t>加强政务公开组织领导。为贯彻落实党中央、国务院关于政务公开工作的方针政策和省委、省政府及市委、市政府工作部署，印发了《关于调整沂源县政务公开工作领导小组的通知》，协调指导全县政务公开工作。</w:t>
      </w:r>
      <w:r>
        <w:rPr>
          <w:rFonts w:hint="eastAsia" w:ascii="仿宋" w:hAnsi="仿宋" w:eastAsia="仿宋" w:cs="楷体_GB2312"/>
          <w:kern w:val="2"/>
          <w:sz w:val="32"/>
          <w:szCs w:val="32"/>
        </w:rPr>
        <w:t>二是</w:t>
      </w:r>
      <w:r>
        <w:rPr>
          <w:rFonts w:hint="eastAsia" w:ascii="仿宋" w:hAnsi="仿宋" w:eastAsia="仿宋" w:cs="仿宋_GB2312"/>
          <w:kern w:val="2"/>
          <w:sz w:val="32"/>
          <w:szCs w:val="32"/>
        </w:rPr>
        <w:t>下发了《沂源县人民政府办公室关于印发2019年沂源县政务公开工作方案的通知》（源政办发〔2019〕8号），</w:t>
      </w:r>
      <w:r>
        <w:rPr>
          <w:rFonts w:hint="eastAsia" w:ascii="仿宋" w:hAnsi="仿宋" w:eastAsia="仿宋" w:cs="楷体_GB2312"/>
          <w:sz w:val="32"/>
          <w:szCs w:val="32"/>
          <w:shd w:val="clear" w:color="auto" w:fill="FFFFFF"/>
        </w:rPr>
        <w:t>围绕新旧动能转换重大工程、乡村振兴、“三大攻坚战”、“放管服”改革、社会监督重点和社会公益事业建设等领域做好信息公开工作，包括5项公开重点，细化28个领域的具体任务，明确具体牵头落实单位，为各项任务的落实提供了明确依据。</w:t>
      </w:r>
      <w:r>
        <w:rPr>
          <w:rFonts w:hint="eastAsia" w:ascii="仿宋" w:hAnsi="仿宋" w:eastAsia="仿宋" w:cs="楷体_GB2312"/>
          <w:kern w:val="2"/>
          <w:sz w:val="32"/>
          <w:szCs w:val="32"/>
        </w:rPr>
        <w:t>三是</w:t>
      </w:r>
      <w:r>
        <w:rPr>
          <w:rFonts w:hint="eastAsia" w:ascii="仿宋" w:hAnsi="仿宋" w:eastAsia="仿宋" w:cs="仿宋_GB2312"/>
          <w:kern w:val="2"/>
          <w:sz w:val="32"/>
          <w:szCs w:val="32"/>
        </w:rPr>
        <w:t>下发了《2019年沂源县政务公开主要任务分解表》，将政务公开要点以任务清单模式分解到具体单位，各部门单位按照通知要求，围绕重点领域信息公开、解读回应及公众参与、政务公开制度化规范化建设、组织保障等方面对政务公开工作进行部署安排，推动引领政务公开工作更好开展。确保县政府网站每个栏目有单位更新，不留空档。</w:t>
      </w:r>
      <w:r>
        <w:rPr>
          <w:rFonts w:hint="eastAsia" w:ascii="仿宋" w:hAnsi="仿宋" w:eastAsia="仿宋" w:cs="楷体_GB2312"/>
          <w:kern w:val="2"/>
          <w:sz w:val="32"/>
          <w:szCs w:val="32"/>
        </w:rPr>
        <w:t>四是</w:t>
      </w:r>
      <w:r>
        <w:rPr>
          <w:rFonts w:hint="eastAsia" w:ascii="仿宋" w:hAnsi="仿宋" w:eastAsia="仿宋" w:cs="仿宋_GB2312"/>
          <w:sz w:val="32"/>
          <w:szCs w:val="32"/>
          <w:shd w:val="clear" w:color="auto" w:fill="FFFFFF"/>
        </w:rPr>
        <w:t>加强培训，提高政务公开水平。为提升政府部门工作人员政务公开工作水平，年初制定并发布了《沂源县2019年政务公开培训计划》，采取专题培训、全员培训等方式对全县各部门单位政务公开工作人员进行了培训。12月16日，组织召开了全县政务公开工作培训会，各镇、街道办、经济开发区和63个部门、单位参加了培训会议。各部门、单位也都开展了不同形式的培训工作，全县政务公开工作人员的业务能力得到提升。</w:t>
      </w:r>
    </w:p>
    <w:p>
      <w:pPr>
        <w:pStyle w:val="2"/>
        <w:widowControl/>
        <w:shd w:val="clear" w:color="auto" w:fill="FFFFFF"/>
        <w:spacing w:beforeAutospacing="0" w:afterAutospacing="0" w:line="560" w:lineRule="exact"/>
        <w:ind w:firstLine="643" w:firstLineChars="200"/>
        <w:jc w:val="both"/>
        <w:rPr>
          <w:rFonts w:ascii="楷体_GB2312" w:hAnsi="楷体_GB2312" w:eastAsia="楷体_GB2312" w:cs="楷体_GB2312"/>
          <w:kern w:val="2"/>
          <w:sz w:val="32"/>
          <w:szCs w:val="32"/>
        </w:rPr>
      </w:pPr>
      <w:r>
        <w:rPr>
          <w:rFonts w:hint="eastAsia" w:ascii="黑体" w:hAnsi="黑体" w:eastAsia="黑体" w:cs="仿宋_GB2312"/>
          <w:b/>
          <w:bCs/>
          <w:color w:val="333333"/>
          <w:sz w:val="32"/>
          <w:szCs w:val="32"/>
          <w:shd w:val="clear" w:color="auto" w:fill="FFFFFF"/>
        </w:rPr>
        <w:t>（四）平台建设情况</w:t>
      </w:r>
    </w:p>
    <w:p>
      <w:pPr>
        <w:spacing w:line="560" w:lineRule="exact"/>
        <w:ind w:firstLine="640" w:firstLineChars="200"/>
        <w:rPr>
          <w:rFonts w:hint="eastAsia" w:ascii="仿宋" w:hAnsi="仿宋" w:eastAsia="仿宋" w:cs="仿宋_GB2312"/>
          <w:kern w:val="2"/>
          <w:sz w:val="32"/>
          <w:szCs w:val="32"/>
          <w:lang w:eastAsia="zh-CN"/>
        </w:rPr>
      </w:pPr>
      <w:r>
        <w:rPr>
          <w:rFonts w:hint="eastAsia" w:ascii="仿宋" w:hAnsi="仿宋" w:eastAsia="仿宋" w:cs="楷体_GB2312"/>
          <w:kern w:val="2"/>
          <w:sz w:val="32"/>
          <w:szCs w:val="32"/>
        </w:rPr>
        <w:t>一是</w:t>
      </w:r>
      <w:r>
        <w:rPr>
          <w:rFonts w:hint="eastAsia" w:ascii="仿宋" w:hAnsi="仿宋" w:eastAsia="仿宋" w:cs="仿宋_GB2312"/>
          <w:kern w:val="2"/>
          <w:sz w:val="32"/>
          <w:szCs w:val="32"/>
        </w:rPr>
        <w:t>加快推进政府网站集约化，优化整合网站功能。重新梳理了县级政务公开目录，公开内容大为扩宽，查询检索更加便捷。进一步推动了重点领域信息公开，加大对全县重大建设项目批准和实施、公共资源配置、社会公益事业建设等重点领域的公开力度。新增政府信息主动公开栏目，包括社会信用体系建设、审计与后评估、防范化解重大风险等栏目。</w:t>
      </w:r>
      <w:r>
        <w:rPr>
          <w:rFonts w:hint="eastAsia" w:ascii="仿宋" w:hAnsi="仿宋" w:eastAsia="仿宋" w:cs="楷体_GB2312"/>
          <w:kern w:val="2"/>
          <w:sz w:val="32"/>
          <w:szCs w:val="32"/>
        </w:rPr>
        <w:t>二是</w:t>
      </w:r>
      <w:r>
        <w:rPr>
          <w:rFonts w:hint="eastAsia" w:ascii="仿宋" w:hAnsi="仿宋" w:eastAsia="仿宋" w:cs="仿宋_GB2312"/>
          <w:kern w:val="2"/>
          <w:sz w:val="32"/>
          <w:szCs w:val="32"/>
        </w:rPr>
        <w:t>做好机构改革后机构概况、领导分工、权责清单等信息的更新。</w:t>
      </w:r>
      <w:r>
        <w:rPr>
          <w:rFonts w:hint="eastAsia" w:ascii="仿宋" w:hAnsi="仿宋" w:eastAsia="仿宋" w:cs="楷体_GB2312"/>
          <w:kern w:val="2"/>
          <w:sz w:val="32"/>
          <w:szCs w:val="32"/>
        </w:rPr>
        <w:t>三是</w:t>
      </w:r>
      <w:r>
        <w:rPr>
          <w:rFonts w:hint="eastAsia" w:ascii="仿宋" w:hAnsi="仿宋" w:eastAsia="仿宋" w:cs="仿宋_GB2312"/>
          <w:kern w:val="2"/>
          <w:sz w:val="32"/>
          <w:szCs w:val="32"/>
        </w:rPr>
        <w:t>做好县政府网站栏目维护工作，推动政府网站优质发展。严格落实网络意识形态责任制，加强政府网站内容建设和信息发布审核，把好政治关、政策关、文字关。</w:t>
      </w:r>
      <w:r>
        <w:rPr>
          <w:rFonts w:hint="eastAsia" w:ascii="仿宋" w:hAnsi="仿宋" w:eastAsia="仿宋" w:cs="楷体_GB2312"/>
          <w:kern w:val="2"/>
          <w:sz w:val="32"/>
          <w:szCs w:val="32"/>
        </w:rPr>
        <w:t>四是</w:t>
      </w:r>
      <w:r>
        <w:rPr>
          <w:rFonts w:hint="eastAsia" w:ascii="仿宋" w:hAnsi="仿宋" w:eastAsia="仿宋" w:cs="仿宋_GB2312"/>
          <w:sz w:val="32"/>
          <w:szCs w:val="32"/>
        </w:rPr>
        <w:t>加强新媒体应用。建立健全政务新媒体管理制度和机制，统筹推进政务新媒体与政府网站的协同联动、融合发展。积极加强新媒体应用管理工作，微信公众号“掌上沂源”、微博“沂源发布”等成为本县重要的信息公开载体。各级各部门充分发挥微博、微信等政务新媒体传播速度快、受众面广、互动性强等优势，不断强化发布、传播、互动、引导、办事等功能，为企业和群众提供更加便捷实用的服务。同时</w:t>
      </w:r>
      <w:r>
        <w:rPr>
          <w:rFonts w:hint="eastAsia" w:ascii="仿宋" w:hAnsi="仿宋" w:eastAsia="仿宋" w:cs="仿宋_GB2312"/>
          <w:kern w:val="2"/>
          <w:sz w:val="32"/>
          <w:szCs w:val="32"/>
        </w:rPr>
        <w:t>做好了全县政务新媒体的普查整改工作。对全县各部门单位开设的政务新媒体进行普查，要求部门单位开展自查整改工作，完善互动留言功能，并保障及时更新。</w:t>
      </w:r>
      <w:r>
        <w:rPr>
          <w:rFonts w:hint="eastAsia" w:ascii="仿宋" w:hAnsi="仿宋" w:eastAsia="仿宋" w:cs="楷体_GB2312"/>
          <w:kern w:val="2"/>
          <w:sz w:val="32"/>
          <w:szCs w:val="32"/>
        </w:rPr>
        <w:t>五是</w:t>
      </w:r>
      <w:r>
        <w:rPr>
          <w:rFonts w:hint="eastAsia" w:ascii="仿宋" w:hAnsi="仿宋" w:eastAsia="仿宋" w:cs="仿宋_GB2312"/>
          <w:sz w:val="32"/>
          <w:szCs w:val="32"/>
        </w:rPr>
        <w:t>充分发挥其他公开平台的作用。通过广播、电视频道、报刊、电子显示屏等其他渠道公开政府信息。各部门、单位主要负责人走进沂源人民广播电台《政风行风热线》直播间，解答群众疑问，发布权威信息，全年共播出节目25场。</w:t>
      </w:r>
      <w:r>
        <w:rPr>
          <w:rFonts w:hint="eastAsia" w:ascii="仿宋" w:hAnsi="仿宋" w:eastAsia="仿宋" w:cs="仿宋_GB2312"/>
          <w:sz w:val="32"/>
          <w:szCs w:val="32"/>
          <w:lang w:eastAsia="zh-CN"/>
        </w:rPr>
        <w:t>六是</w:t>
      </w:r>
      <w:r>
        <w:rPr>
          <w:rFonts w:hint="eastAsia" w:ascii="仿宋_GB2312" w:hAnsi="仿宋_GB2312" w:eastAsia="仿宋_GB2312" w:cs="仿宋_GB2312"/>
          <w:color w:val="000000" w:themeColor="text1"/>
          <w:sz w:val="32"/>
          <w:szCs w:val="32"/>
          <w14:textFill>
            <w14:solidFill>
              <w14:schemeClr w14:val="tx1"/>
            </w14:solidFill>
          </w14:textFill>
        </w:rPr>
        <w:t>明确了县政府办公室为全县政务公开工作负责机构，并配备了政务公开工作专职人员3名。</w:t>
      </w:r>
      <w:r>
        <w:rPr>
          <w:rFonts w:hint="eastAsia" w:ascii="仿宋_GB2312" w:hAnsi="仿宋_GB2312" w:eastAsia="仿宋_GB2312" w:cs="仿宋_GB2312"/>
          <w:color w:val="000000" w:themeColor="text1"/>
          <w:sz w:val="32"/>
          <w:szCs w:val="40"/>
          <w14:textFill>
            <w14:solidFill>
              <w14:schemeClr w14:val="tx1"/>
            </w14:solidFill>
          </w14:textFill>
        </w:rPr>
        <w:t>在沂源县政府办公室设立职能转变协调科。负责指导、协调、推进、监督全县政府信息公开和政务公开工作，承办县政府、县政府办公室政府信息主动公开工作，受理向县政府、县政府办公室提出政府信息公开申请，组织协调县政府办公室拟公开政府信息的保密审查工作。沂源县县大数据发展服务中心承担全县政务公开工作的服务工作，由县政府办公室党组成员分管。在沂源县大数据发展服务中心设立政务公开科，负责配合县政府办公室推进、指导、协调全县政府信息公开和政务公开工作，承办县政府、县政府办公室政府信息主动公开工作，受理向县政府、县政府办公室提出的政府信息公开申请。组织协调县直各部门和镇、街道、开发区网站的规划、建设。承担全县政府信息公开、政务公开和政府网站的监督检查和管理考核服务保障工作。组织实施全县政府信息公开、政务公开和政府网站建设等有关方面的培训；负责县政府门户网站的建设、运维、安全保障工作。负责市政府网站内容保障工作。</w:t>
      </w:r>
    </w:p>
    <w:p>
      <w:pPr>
        <w:pStyle w:val="2"/>
        <w:widowControl/>
        <w:shd w:val="clear" w:color="auto" w:fill="FFFFFF"/>
        <w:spacing w:beforeAutospacing="0" w:afterAutospacing="0" w:line="560" w:lineRule="exact"/>
        <w:ind w:firstLine="643" w:firstLineChars="200"/>
        <w:jc w:val="both"/>
        <w:rPr>
          <w:rFonts w:ascii="黑体" w:hAnsi="黑体" w:eastAsia="黑体" w:cs="仿宋_GB2312"/>
          <w:b/>
          <w:bCs/>
          <w:color w:val="333333"/>
          <w:sz w:val="32"/>
          <w:szCs w:val="32"/>
          <w:shd w:val="clear" w:color="auto" w:fill="FFFFFF"/>
        </w:rPr>
      </w:pPr>
      <w:r>
        <w:rPr>
          <w:rFonts w:hint="eastAsia" w:ascii="黑体" w:hAnsi="黑体" w:eastAsia="黑体" w:cs="仿宋_GB2312"/>
          <w:b/>
          <w:bCs/>
          <w:color w:val="333333"/>
          <w:sz w:val="32"/>
          <w:szCs w:val="32"/>
          <w:shd w:val="clear" w:color="auto" w:fill="FFFFFF"/>
        </w:rPr>
        <w:t>（五）监督保障情况</w:t>
      </w:r>
    </w:p>
    <w:p>
      <w:pPr>
        <w:ind w:firstLine="640" w:firstLineChars="200"/>
        <w:rPr>
          <w:rStyle w:val="5"/>
          <w:rFonts w:ascii="仿宋" w:hAnsi="仿宋" w:eastAsia="仿宋" w:cs="仿宋_GB2312"/>
          <w:b w:val="0"/>
          <w:color w:val="3D3D3D"/>
          <w:sz w:val="32"/>
          <w:szCs w:val="32"/>
          <w:shd w:val="clear" w:color="auto" w:fill="FFFFFF"/>
        </w:rPr>
      </w:pPr>
      <w:r>
        <w:rPr>
          <w:rFonts w:hint="eastAsia" w:ascii="仿宋" w:hAnsi="仿宋" w:eastAsia="仿宋" w:cs="楷体_GB2312"/>
          <w:sz w:val="32"/>
          <w:szCs w:val="32"/>
        </w:rPr>
        <w:t>一是</w:t>
      </w:r>
      <w:r>
        <w:rPr>
          <w:rFonts w:hint="eastAsia" w:ascii="仿宋" w:hAnsi="仿宋" w:eastAsia="仿宋" w:cs="仿宋_GB2312"/>
          <w:sz w:val="32"/>
          <w:szCs w:val="32"/>
        </w:rPr>
        <w:t>加强日常监测，通过人工检查等方法，对政府网站的整体运行情况、链接可用情况、栏目更新情况、信息内容质量等进行日常巡检。每日浏览网站内容，对新发布的稿件认真审看核查，发现问题及时纠正错漏并做好记录，保证核查巡检的有效性。</w:t>
      </w:r>
      <w:r>
        <w:rPr>
          <w:rFonts w:hint="eastAsia" w:ascii="仿宋" w:hAnsi="仿宋" w:eastAsia="仿宋" w:cs="楷体_GB2312"/>
          <w:sz w:val="32"/>
          <w:szCs w:val="32"/>
        </w:rPr>
        <w:t>二是</w:t>
      </w:r>
      <w:r>
        <w:rPr>
          <w:rFonts w:hint="eastAsia" w:ascii="仿宋" w:hAnsi="仿宋" w:eastAsia="仿宋" w:cs="仿宋_GB2312"/>
          <w:sz w:val="32"/>
          <w:szCs w:val="32"/>
        </w:rPr>
        <w:t>加强安全防护，严格执行网络安全法等法律法规，提高安全防护能力。强化用户信息安全保护，保障用户权益。完善对政府网站的监控与管理，上网信息严格按程序审批，重要数据资料进行备份，采取严格的防范措施，确保政府网络安全运行。</w:t>
      </w:r>
      <w:r>
        <w:rPr>
          <w:rFonts w:hint="eastAsia" w:ascii="仿宋" w:hAnsi="仿宋" w:eastAsia="仿宋" w:cs="楷体_GB2312"/>
          <w:sz w:val="32"/>
          <w:szCs w:val="32"/>
        </w:rPr>
        <w:t>三是</w:t>
      </w:r>
      <w:r>
        <w:rPr>
          <w:rFonts w:hint="eastAsia" w:ascii="仿宋" w:hAnsi="仿宋" w:eastAsia="仿宋" w:cs="仿宋_GB2312"/>
          <w:sz w:val="32"/>
          <w:szCs w:val="32"/>
        </w:rPr>
        <w:t>建立健全监督制度，</w:t>
      </w:r>
      <w:r>
        <w:rPr>
          <w:rFonts w:hint="eastAsia" w:ascii="仿宋" w:hAnsi="仿宋" w:eastAsia="仿宋" w:cs="仿宋_GB2312"/>
          <w:bCs/>
          <w:sz w:val="32"/>
          <w:szCs w:val="32"/>
        </w:rPr>
        <w:t>强化督导落实。进一步</w:t>
      </w:r>
      <w:r>
        <w:rPr>
          <w:rFonts w:hint="eastAsia" w:ascii="仿宋" w:hAnsi="仿宋" w:eastAsia="仿宋" w:cs="仿宋_GB2312"/>
          <w:sz w:val="32"/>
          <w:szCs w:val="32"/>
        </w:rPr>
        <w:t>完善政府信息公开保密审查制度、政府信息公开责任追究制度和依申请政府信息按时公开制度，并抓好各项制度的督查落实。</w:t>
      </w:r>
      <w:r>
        <w:rPr>
          <w:rFonts w:hint="eastAsia" w:ascii="仿宋" w:hAnsi="仿宋" w:eastAsia="仿宋" w:cs="黑体"/>
          <w:bCs/>
          <w:sz w:val="32"/>
          <w:szCs w:val="32"/>
        </w:rPr>
        <w:t>日常工作中对全县政务公开工作进行现场督查和电话督查，并将政务公开工作情况和存在的问题及时以政务督查通报等方式进行反馈，确保存在的问题能及时整改，保证了工作进度和工作质量。</w:t>
      </w:r>
      <w:r>
        <w:rPr>
          <w:rFonts w:hint="eastAsia" w:ascii="仿宋" w:hAnsi="仿宋" w:eastAsia="仿宋" w:cs="仿宋_GB2312"/>
          <w:bCs/>
          <w:sz w:val="32"/>
          <w:szCs w:val="32"/>
        </w:rPr>
        <w:t>同时，定期对政府信息公开情况进行统计，确保政府信息公开的</w:t>
      </w:r>
      <w:r>
        <w:rPr>
          <w:rFonts w:hint="eastAsia" w:ascii="仿宋" w:hAnsi="仿宋" w:eastAsia="仿宋" w:cs="仿宋_GB2312"/>
          <w:sz w:val="32"/>
          <w:szCs w:val="32"/>
        </w:rPr>
        <w:t>及时、安全、有效</w:t>
      </w:r>
      <w:r>
        <w:rPr>
          <w:rFonts w:hint="eastAsia" w:ascii="仿宋" w:hAnsi="仿宋" w:eastAsia="仿宋" w:cs="仿宋_GB2312"/>
          <w:bCs/>
          <w:color w:val="000000" w:themeColor="text1"/>
          <w:sz w:val="32"/>
          <w:szCs w:val="40"/>
          <w14:textFill>
            <w14:solidFill>
              <w14:schemeClr w14:val="tx1"/>
            </w14:solidFill>
          </w14:textFill>
        </w:rPr>
        <w:t>。</w:t>
      </w:r>
      <w:r>
        <w:rPr>
          <w:rFonts w:hint="eastAsia" w:ascii="仿宋" w:hAnsi="仿宋" w:eastAsia="仿宋" w:cs="楷体_GB2312"/>
          <w:sz w:val="32"/>
          <w:szCs w:val="32"/>
        </w:rPr>
        <w:t>四是</w:t>
      </w:r>
      <w:r>
        <w:rPr>
          <w:rFonts w:hint="eastAsia" w:ascii="仿宋" w:hAnsi="仿宋" w:eastAsia="仿宋" w:cs="仿宋_GB2312"/>
          <w:bCs/>
          <w:color w:val="000000" w:themeColor="text1"/>
          <w:sz w:val="32"/>
          <w:szCs w:val="32"/>
          <w:shd w:val="clear" w:color="auto" w:fill="FFFFFF"/>
          <w14:textFill>
            <w14:solidFill>
              <w14:schemeClr w14:val="tx1"/>
            </w14:solidFill>
          </w14:textFill>
        </w:rPr>
        <w:t>推行政务公开监督员制度，聘请了34名政务公开监督员，创新引入社会力量，对政府行政权力运行全流程、政务服务全过程进行监督，有效提升全县政务公开标准化、规范化水平，实现政务阳光透明。</w:t>
      </w:r>
      <w:r>
        <w:rPr>
          <w:rFonts w:hint="eastAsia" w:ascii="仿宋" w:hAnsi="仿宋" w:eastAsia="仿宋" w:cs="楷体_GB2312"/>
          <w:sz w:val="32"/>
          <w:szCs w:val="32"/>
        </w:rPr>
        <w:t>五是</w:t>
      </w:r>
      <w:r>
        <w:rPr>
          <w:rFonts w:hint="eastAsia" w:ascii="仿宋" w:hAnsi="仿宋" w:eastAsia="仿宋" w:cs="仿宋_GB2312"/>
          <w:bCs/>
          <w:sz w:val="32"/>
          <w:szCs w:val="32"/>
        </w:rPr>
        <w:t>加大考核评估力度。印发《沂源县人民政府办公室关于2019年沂源县政务公开工作评估考核有关事项的通知》（源政办发﹝2019﹞72号），将镇（街道）、经济开发区、县直部门单位等六十余个单位列入考核范围，推动各公开主体将公开工作与其他业务工作同等重视，同步推进</w:t>
      </w:r>
      <w:r>
        <w:rPr>
          <w:rFonts w:hint="eastAsia" w:ascii="仿宋" w:hAnsi="仿宋" w:eastAsia="仿宋" w:cs="仿宋_GB2312"/>
          <w:bCs/>
          <w:color w:val="000000" w:themeColor="text1"/>
          <w:sz w:val="32"/>
          <w:szCs w:val="40"/>
          <w14:textFill>
            <w14:solidFill>
              <w14:schemeClr w14:val="tx1"/>
            </w14:solidFill>
          </w14:textFill>
        </w:rPr>
        <w:t>。</w:t>
      </w:r>
      <w:r>
        <w:rPr>
          <w:rFonts w:hint="eastAsia" w:ascii="仿宋" w:hAnsi="仿宋" w:eastAsia="仿宋" w:cs="仿宋_GB2312"/>
          <w:bCs/>
          <w:sz w:val="32"/>
          <w:szCs w:val="32"/>
        </w:rPr>
        <w:t>对各部门单位政务公开工作中的问题进行统计汇总，形成政府信息公开问题汇总表，逐条与各部门单位对接，确保政务公开评估考核各项工作任务落实到位。</w:t>
      </w:r>
    </w:p>
    <w:p>
      <w:pPr>
        <w:pStyle w:val="2"/>
        <w:widowControl/>
        <w:numPr>
          <w:ilvl w:val="0"/>
          <w:numId w:val="3"/>
        </w:numPr>
        <w:shd w:val="clear" w:color="auto" w:fill="FFFFFF"/>
        <w:spacing w:beforeAutospacing="0" w:afterAutospacing="0" w:line="560" w:lineRule="exact"/>
        <w:ind w:firstLine="640" w:firstLineChars="200"/>
        <w:jc w:val="both"/>
        <w:rPr>
          <w:rFonts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主动公开政府信息情况</w:t>
      </w:r>
    </w:p>
    <w:p>
      <w:pPr>
        <w:pStyle w:val="2"/>
        <w:widowControl/>
        <w:shd w:val="clear" w:color="auto" w:fill="FFFFFF"/>
        <w:spacing w:beforeAutospacing="0" w:afterAutospacing="0" w:line="560" w:lineRule="exact"/>
        <w:jc w:val="both"/>
        <w:rPr>
          <w:rFonts w:ascii="仿宋_GB2312" w:hAnsi="仿宋_GB2312" w:eastAsia="仿宋_GB2312" w:cs="仿宋_GB2312"/>
          <w:kern w:val="2"/>
          <w:sz w:val="32"/>
          <w:szCs w:val="32"/>
        </w:rPr>
      </w:pPr>
    </w:p>
    <w:tbl>
      <w:tblPr>
        <w:tblStyle w:val="3"/>
        <w:tblW w:w="8708" w:type="dxa"/>
        <w:jc w:val="center"/>
        <w:shd w:val="clear" w:color="auto" w:fill="FFFFFF" w:themeFill="background1"/>
        <w:tblLayout w:type="fixed"/>
        <w:tblCellMar>
          <w:top w:w="0" w:type="dxa"/>
          <w:left w:w="0" w:type="dxa"/>
          <w:bottom w:w="0" w:type="dxa"/>
          <w:right w:w="0" w:type="dxa"/>
        </w:tblCellMar>
      </w:tblPr>
      <w:tblGrid>
        <w:gridCol w:w="3073"/>
        <w:gridCol w:w="17"/>
        <w:gridCol w:w="2095"/>
        <w:gridCol w:w="1505"/>
        <w:gridCol w:w="2018"/>
      </w:tblGrid>
      <w:tr>
        <w:tblPrEx>
          <w:shd w:val="clear" w:color="auto" w:fill="FFFFFF" w:themeFill="background1"/>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sz w:val="24"/>
              </w:rPr>
            </w:pPr>
            <w:r>
              <w:rPr>
                <w:rFonts w:hint="eastAsia" w:asciiTheme="minorEastAsia" w:hAnsiTheme="minorEastAsia" w:cstheme="minorEastAsia"/>
                <w:color w:val="000000"/>
                <w:kern w:val="0"/>
                <w:sz w:val="24"/>
              </w:rPr>
              <w:t>第二十条第（一）项</w:t>
            </w:r>
          </w:p>
        </w:tc>
      </w:tr>
      <w:tr>
        <w:tblPrEx>
          <w:shd w:val="clear" w:color="auto" w:fill="FFFFFF" w:themeFill="background1"/>
          <w:tblCellMar>
            <w:top w:w="0" w:type="dxa"/>
            <w:left w:w="0" w:type="dxa"/>
            <w:bottom w:w="0" w:type="dxa"/>
            <w:right w:w="0" w:type="dxa"/>
          </w:tblCellMar>
        </w:tblPrEx>
        <w:trPr>
          <w:trHeight w:val="851"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公开数量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对外公开</w:t>
            </w:r>
          </w:p>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总数量</w:t>
            </w:r>
          </w:p>
        </w:tc>
      </w:tr>
      <w:tr>
        <w:tblPrEx>
          <w:shd w:val="clear" w:color="auto" w:fill="FFFFFF" w:themeFill="background1"/>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规章</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0</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0</w:t>
            </w:r>
          </w:p>
        </w:tc>
      </w:tr>
      <w:tr>
        <w:tblPrEx>
          <w:shd w:val="clear" w:color="auto" w:fill="FFFFFF" w:themeFill="background1"/>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规范性文件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hint="default"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134</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行政许可</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128</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hint="default"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+89</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6</w:t>
            </w:r>
            <w:r>
              <w:rPr>
                <w:rFonts w:hint="eastAsia" w:asciiTheme="minorEastAsia" w:hAnsiTheme="minorEastAsia" w:cstheme="minorEastAsia"/>
                <w:color w:val="000000"/>
                <w:kern w:val="0"/>
                <w:sz w:val="24"/>
              </w:rPr>
              <w:t>8871</w:t>
            </w:r>
          </w:p>
        </w:tc>
      </w:tr>
      <w:tr>
        <w:tblPrEx>
          <w:tblCellMar>
            <w:top w:w="0" w:type="dxa"/>
            <w:left w:w="0" w:type="dxa"/>
            <w:bottom w:w="0" w:type="dxa"/>
            <w:right w:w="0" w:type="dxa"/>
          </w:tblCellMar>
        </w:tblPrEx>
        <w:trPr>
          <w:trHeight w:val="9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hint="eastAsia" w:eastAsia="宋体" w:asciiTheme="minorEastAsia" w:hAnsiTheme="minorEastAsia" w:cstheme="minorEastAsia"/>
                <w:color w:val="000000" w:themeColor="text1"/>
                <w:kern w:val="0"/>
                <w:sz w:val="24"/>
                <w:lang w:eastAsia="zh-CN"/>
                <w14:textFill>
                  <w14:solidFill>
                    <w14:schemeClr w14:val="tx1"/>
                  </w14:solidFill>
                </w14:textFill>
              </w:rPr>
            </w:pPr>
            <w:r>
              <w:rPr>
                <w:rFonts w:hint="eastAsia" w:asciiTheme="minorEastAsia" w:hAnsiTheme="minorEastAsia" w:cstheme="minorEastAsia"/>
                <w:color w:val="000000" w:themeColor="text1"/>
                <w:kern w:val="0"/>
                <w:sz w:val="24"/>
                <w:lang w:val="en-US" w:eastAsia="zh-CN"/>
                <w14:textFill>
                  <w14:solidFill>
                    <w14:schemeClr w14:val="tx1"/>
                  </w14:solidFill>
                </w14:textFill>
              </w:rPr>
              <w:t>9</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themeColor="text1"/>
                <w:kern w:val="0"/>
                <w:sz w:val="24"/>
                <w14:textFill>
                  <w14:solidFill>
                    <w14:schemeClr w14:val="tx1"/>
                  </w14:solidFill>
                </w14:textFill>
              </w:rPr>
              <w:t>+15</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themeColor="text1"/>
                <w:kern w:val="0"/>
                <w:sz w:val="24"/>
                <w14:textFill>
                  <w14:solidFill>
                    <w14:schemeClr w14:val="tx1"/>
                  </w14:solidFill>
                </w14:textFill>
              </w:rPr>
              <w:t>1</w:t>
            </w:r>
            <w:r>
              <w:rPr>
                <w:rFonts w:hint="eastAsia" w:asciiTheme="minorEastAsia" w:hAnsiTheme="minorEastAsia" w:cstheme="minorEastAsia"/>
                <w:color w:val="000000" w:themeColor="text1"/>
                <w:kern w:val="0"/>
                <w:sz w:val="24"/>
                <w:lang w:val="en-US" w:eastAsia="zh-CN"/>
                <w14:textFill>
                  <w14:solidFill>
                    <w14:schemeClr w14:val="tx1"/>
                  </w14:solidFill>
                </w14:textFill>
              </w:rPr>
              <w:t>025</w:t>
            </w:r>
            <w:r>
              <w:rPr>
                <w:rFonts w:hint="eastAsia" w:asciiTheme="minorEastAsia" w:hAnsiTheme="minorEastAsia" w:cstheme="minorEastAsia"/>
                <w:color w:val="000000" w:themeColor="text1"/>
                <w:kern w:val="0"/>
                <w:sz w:val="24"/>
                <w14:textFill>
                  <w14:solidFill>
                    <w14:schemeClr w14:val="tx1"/>
                  </w14:solidFill>
                </w14:textFill>
              </w:rPr>
              <w:t>5</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行政处罚</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hint="default" w:eastAsia="宋体" w:asciiTheme="minorEastAsia" w:hAnsiTheme="minorEastAsia" w:cstheme="minorEastAsia"/>
                <w:color w:val="000000" w:themeColor="text1"/>
                <w:kern w:val="0"/>
                <w:sz w:val="24"/>
                <w:lang w:val="en-US" w:eastAsia="zh-CN"/>
                <w14:textFill>
                  <w14:solidFill>
                    <w14:schemeClr w14:val="tx1"/>
                  </w14:solidFill>
                </w14:textFill>
              </w:rPr>
            </w:pPr>
            <w:r>
              <w:rPr>
                <w:rFonts w:hint="eastAsia" w:asciiTheme="minorEastAsia" w:hAnsiTheme="minorEastAsia" w:cstheme="minorEastAsia"/>
                <w:color w:val="000000" w:themeColor="text1"/>
                <w:kern w:val="0"/>
                <w:sz w:val="24"/>
                <w:lang w:val="en-US" w:eastAsia="zh-CN"/>
                <w14:textFill>
                  <w14:solidFill>
                    <w14:schemeClr w14:val="tx1"/>
                  </w14:solidFill>
                </w14:textFill>
              </w:rPr>
              <w:t>2956</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hint="default" w:eastAsia="宋体" w:asciiTheme="minorEastAsia" w:hAnsiTheme="minorEastAsia" w:cstheme="minorEastAsia"/>
                <w:color w:val="000000" w:themeColor="text1"/>
                <w:kern w:val="0"/>
                <w:sz w:val="24"/>
                <w:lang w:val="en-US" w:eastAsia="zh-CN"/>
                <w14:textFill>
                  <w14:solidFill>
                    <w14:schemeClr w14:val="tx1"/>
                  </w14:solidFill>
                </w14:textFill>
              </w:rPr>
            </w:pPr>
            <w:r>
              <w:rPr>
                <w:rFonts w:hint="eastAsia" w:asciiTheme="minorEastAsia" w:hAnsiTheme="minorEastAsia" w:cstheme="minorEastAsia"/>
                <w:color w:val="000000" w:themeColor="text1"/>
                <w:kern w:val="0"/>
                <w:sz w:val="24"/>
                <w14:textFill>
                  <w14:solidFill>
                    <w14:schemeClr w14:val="tx1"/>
                  </w14:solidFill>
                </w14:textFill>
              </w:rPr>
              <w:t>+</w:t>
            </w:r>
            <w:r>
              <w:rPr>
                <w:rFonts w:hint="eastAsia" w:asciiTheme="minorEastAsia" w:hAnsiTheme="minorEastAsia" w:cstheme="minorEastAsia"/>
                <w:color w:val="000000" w:themeColor="text1"/>
                <w:kern w:val="0"/>
                <w:sz w:val="24"/>
                <w:lang w:val="en-US" w:eastAsia="zh-CN"/>
                <w14:textFill>
                  <w14:solidFill>
                    <w14:schemeClr w14:val="tx1"/>
                  </w14:solidFill>
                </w14:textFill>
              </w:rPr>
              <w:t>718</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themeColor="text1"/>
                <w:kern w:val="0"/>
                <w:sz w:val="24"/>
                <w14:textFill>
                  <w14:solidFill>
                    <w14:schemeClr w14:val="tx1"/>
                  </w14:solidFill>
                </w14:textFill>
              </w:rPr>
              <w:t>1</w:t>
            </w:r>
            <w:r>
              <w:rPr>
                <w:rFonts w:hint="eastAsia" w:asciiTheme="minorEastAsia" w:hAnsiTheme="minorEastAsia" w:cstheme="minorEastAsia"/>
                <w:color w:val="000000" w:themeColor="text1"/>
                <w:kern w:val="0"/>
                <w:sz w:val="24"/>
                <w:lang w:val="en-US" w:eastAsia="zh-CN"/>
                <w14:textFill>
                  <w14:solidFill>
                    <w14:schemeClr w14:val="tx1"/>
                  </w14:solidFill>
                </w14:textFill>
              </w:rPr>
              <w:t>26</w:t>
            </w:r>
            <w:r>
              <w:rPr>
                <w:rFonts w:hint="eastAsia" w:asciiTheme="minorEastAsia" w:hAnsiTheme="minorEastAsia" w:cstheme="minorEastAsia"/>
                <w:color w:val="000000" w:themeColor="text1"/>
                <w:kern w:val="0"/>
                <w:sz w:val="24"/>
                <w14:textFill>
                  <w14:solidFill>
                    <w14:schemeClr w14:val="tx1"/>
                  </w14:solidFill>
                </w14:textFill>
              </w:rPr>
              <w:t>701</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行政强制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themeColor="text1"/>
                <w:kern w:val="0"/>
                <w:sz w:val="24"/>
                <w:lang w:val="en-US" w:eastAsia="zh-CN"/>
                <w14:textFill>
                  <w14:solidFill>
                    <w14:schemeClr w14:val="tx1"/>
                  </w14:solidFill>
                </w14:textFill>
              </w:rPr>
              <w:t>102</w:t>
            </w:r>
            <w:r>
              <w:rPr>
                <w:rFonts w:hint="eastAsia" w:asciiTheme="minorEastAsia" w:hAnsiTheme="minorEastAsia" w:cstheme="minorEastAsia"/>
                <w:color w:val="000000" w:themeColor="text1"/>
                <w:kern w:val="0"/>
                <w:sz w:val="24"/>
                <w14:textFill>
                  <w14:solidFill>
                    <w14:schemeClr w14:val="tx1"/>
                  </w14:solidFill>
                </w14:textFill>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hint="default" w:eastAsia="宋体" w:asciiTheme="minorEastAsia" w:hAnsiTheme="minorEastAsia" w:cstheme="minorEastAsia"/>
                <w:color w:val="000000" w:themeColor="text1"/>
                <w:kern w:val="0"/>
                <w:sz w:val="24"/>
                <w:lang w:val="en-US" w:eastAsia="zh-CN"/>
                <w14:textFill>
                  <w14:solidFill>
                    <w14:schemeClr w14:val="tx1"/>
                  </w14:solidFill>
                </w14:textFill>
              </w:rPr>
            </w:pPr>
            <w:r>
              <w:rPr>
                <w:rFonts w:hint="eastAsia" w:asciiTheme="minorEastAsia" w:hAnsiTheme="minorEastAsia" w:cstheme="minorEastAsia"/>
                <w:color w:val="000000" w:themeColor="text1"/>
                <w:kern w:val="0"/>
                <w:sz w:val="24"/>
                <w14:textFill>
                  <w14:solidFill>
                    <w14:schemeClr w14:val="tx1"/>
                  </w14:solidFill>
                </w14:textFill>
              </w:rPr>
              <w:t>+</w:t>
            </w:r>
            <w:r>
              <w:rPr>
                <w:rFonts w:hint="eastAsia" w:asciiTheme="minorEastAsia" w:hAnsiTheme="minorEastAsia" w:cstheme="minorEastAsia"/>
                <w:color w:val="000000" w:themeColor="text1"/>
                <w:kern w:val="0"/>
                <w:sz w:val="24"/>
                <w:lang w:val="en-US" w:eastAsia="zh-CN"/>
                <w14:textFill>
                  <w14:solidFill>
                    <w14:schemeClr w14:val="tx1"/>
                  </w14:solidFill>
                </w14:textFill>
              </w:rPr>
              <w:t>31</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themeColor="text1"/>
                <w:kern w:val="0"/>
                <w:sz w:val="24"/>
                <w:lang w:val="en-US" w:eastAsia="zh-CN"/>
                <w14:textFill>
                  <w14:solidFill>
                    <w14:schemeClr w14:val="tx1"/>
                  </w14:solidFill>
                </w14:textFill>
              </w:rPr>
              <w:t>3</w:t>
            </w:r>
            <w:r>
              <w:rPr>
                <w:rFonts w:hint="eastAsia" w:asciiTheme="minorEastAsia" w:hAnsiTheme="minorEastAsia" w:cstheme="minorEastAsia"/>
                <w:color w:val="000000" w:themeColor="text1"/>
                <w:kern w:val="0"/>
                <w:sz w:val="24"/>
                <w14:textFill>
                  <w14:solidFill>
                    <w14:schemeClr w14:val="tx1"/>
                  </w14:solidFill>
                </w14:textFill>
              </w:rPr>
              <w:t>550</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行政事业性收费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仿宋_GB2312" w:hAnsi="仿宋_GB2312" w:eastAsia="仿宋_GB2312" w:cs="仿宋_GB2312"/>
                <w:sz w:val="24"/>
                <w:lang w:val="en-US" w:eastAsia="zh-CN"/>
              </w:rPr>
              <w:t>47</w:t>
            </w:r>
            <w:r>
              <w:rPr>
                <w:rFonts w:hint="eastAsia" w:asciiTheme="minorEastAsia" w:hAnsiTheme="minorEastAsia" w:cstheme="minorEastAsia"/>
                <w:color w:val="000000"/>
                <w:kern w:val="0"/>
                <w:sz w:val="24"/>
              </w:rPr>
              <w:t>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spacing w:line="560" w:lineRule="exact"/>
              <w:jc w:val="center"/>
              <w:rPr>
                <w:rFonts w:hint="default" w:eastAsia="宋体" w:asciiTheme="minorEastAsia" w:hAnsiTheme="minorEastAsia" w:cstheme="minorEastAsia"/>
                <w:color w:val="000000"/>
                <w:kern w:val="0"/>
                <w:sz w:val="24"/>
                <w:lang w:val="en-US" w:eastAsia="zh-CN"/>
              </w:rPr>
            </w:pPr>
            <w:r>
              <w:rPr>
                <w:rFonts w:hint="eastAsia" w:ascii="仿宋_GB2312" w:hAnsi="仿宋_GB2312" w:eastAsia="仿宋_GB2312" w:cs="仿宋_GB2312"/>
                <w:sz w:val="24"/>
                <w:lang w:val="en-US" w:eastAsia="zh-CN"/>
              </w:rPr>
              <w:t>+3</w:t>
            </w:r>
            <w:bookmarkStart w:id="1" w:name="_GoBack"/>
            <w:bookmarkEnd w:id="1"/>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spacing w:line="56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政府集中采购</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208</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62361.42万元</w:t>
            </w:r>
          </w:p>
        </w:tc>
      </w:tr>
    </w:tbl>
    <w:p>
      <w:pPr>
        <w:pStyle w:val="2"/>
        <w:widowControl/>
        <w:shd w:val="clear" w:color="auto" w:fill="FFFFFF"/>
        <w:spacing w:beforeAutospacing="0" w:afterAutospacing="0" w:line="560" w:lineRule="exact"/>
        <w:ind w:firstLine="420"/>
        <w:jc w:val="both"/>
        <w:rPr>
          <w:rFonts w:ascii="宋体" w:hAnsi="宋体" w:cs="宋体"/>
          <w:color w:val="333333"/>
        </w:rPr>
      </w:pPr>
    </w:p>
    <w:p>
      <w:pPr>
        <w:pStyle w:val="2"/>
        <w:widowControl/>
        <w:shd w:val="clear" w:color="auto" w:fill="FFFFFF"/>
        <w:spacing w:beforeAutospacing="0" w:afterAutospacing="0" w:line="560" w:lineRule="exact"/>
        <w:ind w:left="-199" w:leftChars="-95" w:firstLine="620"/>
        <w:jc w:val="both"/>
        <w:rPr>
          <w:rFonts w:ascii="黑体" w:hAnsi="黑体" w:eastAsia="黑体" w:cs="黑体"/>
          <w:bCs/>
          <w:color w:val="333333"/>
          <w:sz w:val="32"/>
          <w:szCs w:val="32"/>
        </w:rPr>
      </w:pPr>
      <w:r>
        <w:rPr>
          <w:rFonts w:hint="eastAsia" w:ascii="黑体" w:hAnsi="黑体" w:eastAsia="黑体" w:cs="黑体"/>
          <w:bCs/>
          <w:color w:val="333333"/>
          <w:sz w:val="32"/>
          <w:szCs w:val="32"/>
          <w:shd w:val="clear" w:color="auto" w:fill="FFFFFF"/>
        </w:rPr>
        <w:t>三、收到和处理政府信息公开申请情况</w:t>
      </w:r>
    </w:p>
    <w:tbl>
      <w:tblPr>
        <w:tblStyle w:val="3"/>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ascii="宋体" w:hAnsi="宋体" w:cs="宋体"/>
                <w:kern w:val="0"/>
                <w:sz w:val="20"/>
                <w:szCs w:val="20"/>
              </w:rPr>
            </w:pPr>
            <w:r>
              <w:rPr>
                <w:rFonts w:hint="eastAsia" w:ascii="宋体" w:hAnsi="宋体" w:cs="宋体"/>
                <w:kern w:val="0"/>
                <w:sz w:val="20"/>
                <w:szCs w:val="20"/>
              </w:rPr>
              <w:t>（本列数据的勾稽关系为：第一项加第二项之和，</w:t>
            </w:r>
          </w:p>
          <w:p>
            <w:pPr>
              <w:widowControl/>
              <w:spacing w:line="560" w:lineRule="exact"/>
              <w:jc w:val="center"/>
            </w:pPr>
            <w:r>
              <w:rPr>
                <w:rFonts w:hint="eastAsia" w:ascii="宋体" w:hAnsi="宋体" w:cs="宋体"/>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jc w:val="center"/>
              <w:rPr>
                <w:rFonts w:ascii="宋体"/>
                <w:sz w:val="24"/>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jc w:val="center"/>
              <w:rPr>
                <w:rFonts w:ascii="宋体"/>
                <w:sz w:val="24"/>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jc w:val="center"/>
              <w:rPr>
                <w:rFonts w:ascii="宋体"/>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6" w:leftChars="-51" w:right="-107" w:rightChars="-51" w:hanging="1"/>
              <w:jc w:val="center"/>
            </w:pPr>
            <w:r>
              <w:rPr>
                <w:rFonts w:hint="eastAsia" w:ascii="宋体" w:hAnsi="宋体" w:cs="宋体"/>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7" w:leftChars="-51" w:right="-107" w:rightChars="-51"/>
              <w:jc w:val="center"/>
            </w:pPr>
            <w:r>
              <w:rPr>
                <w:rFonts w:hint="eastAsia" w:ascii="宋体" w:hAnsi="宋体" w:cs="宋体"/>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7" w:leftChars="-51" w:right="-107" w:rightChars="-51"/>
              <w:jc w:val="center"/>
            </w:pPr>
            <w:r>
              <w:rPr>
                <w:rFonts w:hint="eastAsia" w:ascii="宋体" w:hAnsi="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6" w:leftChars="-51" w:right="-107" w:rightChars="-51" w:hanging="1"/>
              <w:jc w:val="center"/>
            </w:pPr>
            <w:r>
              <w:rPr>
                <w:rFonts w:hint="eastAsia" w:ascii="宋体" w:hAnsi="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63" w:leftChars="-30" w:right="-134" w:rightChars="-64"/>
              <w:jc w:val="center"/>
            </w:pPr>
            <w:r>
              <w:rPr>
                <w:rFonts w:hint="eastAsia" w:ascii="宋体" w:hAnsi="宋体" w:cs="宋体"/>
                <w:kern w:val="0"/>
                <w:sz w:val="20"/>
                <w:szCs w:val="20"/>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宋体" w:hAnsi="宋体" w:cs="宋体"/>
                <w:kern w:val="0"/>
                <w:sz w:val="20"/>
                <w:szCs w:val="20"/>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34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宋体" w:hAnsi="宋体" w:cs="宋体"/>
                <w:kern w:val="0"/>
                <w:sz w:val="20"/>
                <w:szCs w:val="20"/>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宋体" w:hAnsi="宋体" w:cs="宋体"/>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ascii="楷体" w:hAnsi="楷体" w:eastAsia="楷体" w:cs="楷体"/>
                <w:kern w:val="0"/>
                <w:sz w:val="20"/>
                <w:szCs w:val="20"/>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24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楷体" w:hAnsi="楷体"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0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7" w:leftChars="-51"/>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left"/>
              <w:rPr>
                <w:rFonts w:ascii="楷体" w:hAnsi="楷体" w:eastAsia="楷体" w:cs="楷体"/>
                <w:kern w:val="0"/>
                <w:sz w:val="20"/>
                <w:szCs w:val="20"/>
              </w:rPr>
            </w:pPr>
            <w:r>
              <w:rPr>
                <w:rFonts w:hint="eastAsia" w:ascii="楷体" w:hAnsi="楷体" w:eastAsia="楷体" w:cs="楷体"/>
                <w:kern w:val="0"/>
                <w:sz w:val="20"/>
                <w:szCs w:val="20"/>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1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2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0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2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2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7" w:leftChars="-51"/>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3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8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7" w:leftChars="-51"/>
            </w:pPr>
            <w:r>
              <w:rPr>
                <w:rFonts w:hint="eastAsia" w:ascii="楷体" w:hAnsi="楷体" w:eastAsia="楷体" w:cs="楷体"/>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3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1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楷体" w:hAnsi="楷体" w:eastAsia="楷体" w:cs="楷体"/>
                <w:kern w:val="0"/>
                <w:sz w:val="20"/>
                <w:szCs w:val="20"/>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5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楷体" w:hAnsi="楷体" w:eastAsia="楷体" w:cs="楷体"/>
                <w:kern w:val="0"/>
                <w:sz w:val="20"/>
                <w:szCs w:val="20"/>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rPr>
                <w:rFonts w:ascii="楷体" w:hAnsi="楷体" w:eastAsia="楷体" w:cs="楷体"/>
                <w:kern w:val="0"/>
                <w:sz w:val="20"/>
                <w:szCs w:val="20"/>
              </w:rPr>
            </w:pPr>
            <w:r>
              <w:rPr>
                <w:rFonts w:hint="eastAsia" w:ascii="楷体" w:hAnsi="楷体" w:eastAsia="楷体" w:cs="楷体"/>
                <w:kern w:val="0"/>
                <w:sz w:val="20"/>
                <w:szCs w:val="20"/>
              </w:rPr>
              <w:t>5.要求行政机关确认或重新</w:t>
            </w:r>
          </w:p>
          <w:p>
            <w:pPr>
              <w:widowControl/>
              <w:spacing w:line="560" w:lineRule="exact"/>
            </w:pPr>
            <w:r>
              <w:rPr>
                <w:rFonts w:hint="eastAsia" w:ascii="楷体" w:hAnsi="楷体" w:eastAsia="楷体" w:cs="楷体"/>
                <w:kern w:val="0"/>
                <w:sz w:val="20"/>
                <w:szCs w:val="20"/>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8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楷体" w:hAnsi="楷体" w:eastAsia="楷体" w:cs="楷体"/>
                <w:kern w:val="0"/>
                <w:sz w:val="20"/>
                <w:szCs w:val="20"/>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楷体" w:hAnsi="楷体" w:eastAsia="楷体" w:cs="楷体"/>
                <w:kern w:val="0"/>
                <w:sz w:val="20"/>
                <w:szCs w:val="20"/>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34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pPr>
            <w:r>
              <w:rPr>
                <w:rFonts w:hint="eastAsia" w:ascii="宋体" w:hAnsi="宋体" w:cs="宋体"/>
                <w:kern w:val="0"/>
                <w:sz w:val="20"/>
                <w:szCs w:val="20"/>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jc w:val="center"/>
              <w:rPr>
                <w:rFonts w:ascii="宋体"/>
                <w:sz w:val="24"/>
              </w:rPr>
            </w:pPr>
            <w:r>
              <w:rPr>
                <w:rFonts w:hint="eastAsia" w:ascii="宋体"/>
                <w:sz w:val="24"/>
              </w:rPr>
              <w:t>0</w:t>
            </w:r>
          </w:p>
        </w:tc>
      </w:tr>
    </w:tbl>
    <w:p>
      <w:pPr>
        <w:pStyle w:val="2"/>
        <w:widowControl/>
        <w:shd w:val="clear" w:color="auto" w:fill="FFFFFF"/>
        <w:spacing w:beforeAutospacing="0" w:afterAutospacing="0" w:line="560" w:lineRule="exact"/>
        <w:ind w:firstLine="640" w:firstLineChars="200"/>
        <w:jc w:val="both"/>
        <w:rPr>
          <w:rFonts w:ascii="黑体" w:hAnsi="黑体" w:eastAsia="黑体" w:cs="宋体"/>
          <w:color w:val="333333"/>
          <w:sz w:val="32"/>
          <w:szCs w:val="32"/>
          <w:shd w:val="clear" w:color="auto" w:fill="FFFFFF"/>
        </w:rPr>
      </w:pPr>
    </w:p>
    <w:p>
      <w:pPr>
        <w:pStyle w:val="2"/>
        <w:widowControl/>
        <w:shd w:val="clear" w:color="auto" w:fill="FFFFFF"/>
        <w:spacing w:beforeAutospacing="0" w:afterAutospacing="0" w:line="560" w:lineRule="exact"/>
        <w:ind w:firstLine="640" w:firstLineChars="200"/>
        <w:jc w:val="both"/>
        <w:rPr>
          <w:rFonts w:ascii="仿宋_GB2312" w:hAnsi="仿宋_GB2312" w:eastAsia="仿宋_GB2312" w:cs="仿宋_GB2312"/>
          <w:kern w:val="2"/>
          <w:sz w:val="32"/>
          <w:szCs w:val="32"/>
        </w:rPr>
      </w:pPr>
      <w:r>
        <w:rPr>
          <w:rFonts w:hint="eastAsia" w:ascii="黑体" w:hAnsi="黑体" w:eastAsia="黑体" w:cs="宋体"/>
          <w:color w:val="333333"/>
          <w:sz w:val="32"/>
          <w:szCs w:val="32"/>
          <w:shd w:val="clear" w:color="auto" w:fill="FFFFFF"/>
        </w:rPr>
        <w:t>四、政府信息公开行政复议、行政诉讼情况</w:t>
      </w:r>
    </w:p>
    <w:tbl>
      <w:tblPr>
        <w:tblStyle w:val="3"/>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49" w:leftChars="-71" w:right="-170" w:rightChars="-81"/>
              <w:jc w:val="center"/>
              <w:rPr>
                <w:rFonts w:ascii="宋体" w:hAnsi="宋体" w:cs="宋体"/>
                <w:kern w:val="0"/>
                <w:sz w:val="20"/>
                <w:szCs w:val="20"/>
              </w:rPr>
            </w:pPr>
            <w:r>
              <w:rPr>
                <w:rFonts w:hint="eastAsia" w:ascii="宋体" w:hAnsi="宋体" w:cs="宋体"/>
                <w:kern w:val="0"/>
                <w:sz w:val="20"/>
                <w:szCs w:val="20"/>
              </w:rPr>
              <w:t>结果</w:t>
            </w:r>
          </w:p>
          <w:p>
            <w:pPr>
              <w:widowControl/>
              <w:spacing w:line="560" w:lineRule="exact"/>
              <w:ind w:left="-149" w:leftChars="-71" w:right="-170" w:rightChars="-81"/>
              <w:jc w:val="center"/>
            </w:pPr>
            <w:r>
              <w:rPr>
                <w:rFonts w:hint="eastAsia" w:ascii="宋体" w:hAnsi="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43" w:leftChars="-21" w:right="-132" w:rightChars="-63" w:hanging="1"/>
              <w:jc w:val="center"/>
            </w:pPr>
            <w:r>
              <w:rPr>
                <w:rFonts w:hint="eastAsia" w:ascii="宋体" w:hAnsi="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82" w:leftChars="-39" w:right="-97" w:rightChars="-46"/>
              <w:jc w:val="center"/>
            </w:pPr>
            <w:r>
              <w:rPr>
                <w:rFonts w:hint="eastAsia" w:ascii="宋体" w:hAnsi="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18" w:leftChars="-56" w:right="-118" w:rightChars="-56"/>
              <w:jc w:val="center"/>
              <w:rPr>
                <w:rFonts w:ascii="宋体" w:hAnsi="宋体" w:cs="宋体"/>
                <w:kern w:val="0"/>
                <w:sz w:val="20"/>
                <w:szCs w:val="20"/>
              </w:rPr>
            </w:pPr>
            <w:r>
              <w:rPr>
                <w:rFonts w:hint="eastAsia" w:ascii="宋体" w:hAnsi="宋体" w:cs="宋体"/>
                <w:kern w:val="0"/>
                <w:sz w:val="20"/>
                <w:szCs w:val="20"/>
              </w:rPr>
              <w:t>尚未</w:t>
            </w:r>
          </w:p>
          <w:p>
            <w:pPr>
              <w:widowControl/>
              <w:spacing w:line="560" w:lineRule="exact"/>
              <w:ind w:left="-118" w:leftChars="-56" w:right="-118" w:rightChars="-56"/>
              <w:jc w:val="center"/>
            </w:pPr>
            <w:r>
              <w:rPr>
                <w:rFonts w:hint="eastAsia" w:ascii="宋体" w:hAnsi="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ascii="宋体" w:hAnsi="宋体" w:cs="宋体"/>
                <w:kern w:val="0"/>
                <w:sz w:val="20"/>
                <w:szCs w:val="20"/>
              </w:rPr>
            </w:pPr>
            <w:r>
              <w:rPr>
                <w:rFonts w:hint="eastAsia" w:ascii="宋体" w:hAnsi="宋体" w:cs="宋体"/>
                <w:kern w:val="0"/>
                <w:sz w:val="20"/>
                <w:szCs w:val="20"/>
              </w:rPr>
              <w:t>总</w:t>
            </w:r>
          </w:p>
          <w:p>
            <w:pPr>
              <w:widowControl/>
              <w:spacing w:line="560" w:lineRule="exact"/>
              <w:jc w:val="center"/>
            </w:pPr>
            <w:r>
              <w:rPr>
                <w:rFonts w:hint="eastAsia" w:ascii="宋体" w:hAnsi="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5" w:leftChars="-50" w:right="-126" w:rightChars="-60"/>
              <w:jc w:val="center"/>
            </w:pPr>
            <w:r>
              <w:rPr>
                <w:rFonts w:hint="eastAsia" w:ascii="宋体" w:hAnsi="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86" w:leftChars="-41" w:right="-88" w:rightChars="-42"/>
              <w:jc w:val="center"/>
            </w:pPr>
            <w:r>
              <w:rPr>
                <w:rFonts w:hint="eastAsia" w:ascii="宋体" w:hAnsi="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26" w:leftChars="-60" w:right="-136" w:rightChars="-65"/>
              <w:jc w:val="center"/>
              <w:rPr>
                <w:rFonts w:ascii="宋体" w:hAnsi="宋体" w:cs="宋体"/>
                <w:kern w:val="0"/>
                <w:sz w:val="20"/>
                <w:szCs w:val="20"/>
              </w:rPr>
            </w:pPr>
            <w:r>
              <w:rPr>
                <w:rFonts w:hint="eastAsia" w:ascii="宋体" w:hAnsi="宋体" w:cs="宋体"/>
                <w:kern w:val="0"/>
                <w:sz w:val="20"/>
                <w:szCs w:val="20"/>
              </w:rPr>
              <w:t>其他</w:t>
            </w:r>
          </w:p>
          <w:p>
            <w:pPr>
              <w:widowControl/>
              <w:spacing w:line="560" w:lineRule="exact"/>
              <w:ind w:left="-126" w:leftChars="-60" w:right="-136" w:rightChars="-65"/>
              <w:jc w:val="center"/>
            </w:pPr>
            <w:r>
              <w:rPr>
                <w:rFonts w:hint="eastAsia" w:ascii="宋体" w:hAnsi="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64" w:leftChars="-78" w:right="-153" w:rightChars="-73"/>
              <w:jc w:val="center"/>
              <w:rPr>
                <w:rFonts w:ascii="宋体" w:hAnsi="宋体" w:cs="宋体"/>
                <w:kern w:val="0"/>
                <w:sz w:val="20"/>
                <w:szCs w:val="20"/>
              </w:rPr>
            </w:pPr>
            <w:r>
              <w:rPr>
                <w:rFonts w:hint="eastAsia" w:ascii="宋体" w:hAnsi="宋体" w:cs="宋体"/>
                <w:kern w:val="0"/>
                <w:sz w:val="20"/>
                <w:szCs w:val="20"/>
              </w:rPr>
              <w:t>尚未</w:t>
            </w:r>
          </w:p>
          <w:p>
            <w:pPr>
              <w:widowControl/>
              <w:spacing w:line="560" w:lineRule="exact"/>
              <w:ind w:left="-164" w:leftChars="-78" w:right="-153" w:rightChars="-73"/>
              <w:jc w:val="center"/>
            </w:pPr>
            <w:r>
              <w:rPr>
                <w:rFonts w:hint="eastAsia" w:ascii="宋体" w:hAnsi="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99" w:leftChars="-47" w:right="-78" w:rightChars="-37"/>
              <w:jc w:val="center"/>
            </w:pPr>
            <w:r>
              <w:rPr>
                <w:rFonts w:hint="eastAsia" w:ascii="宋体" w:hAnsi="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36" w:leftChars="-65" w:right="-124" w:rightChars="-59"/>
              <w:jc w:val="center"/>
              <w:rPr>
                <w:rFonts w:ascii="宋体" w:hAnsi="宋体" w:cs="宋体"/>
                <w:kern w:val="0"/>
                <w:sz w:val="20"/>
                <w:szCs w:val="20"/>
              </w:rPr>
            </w:pPr>
            <w:r>
              <w:rPr>
                <w:rFonts w:hint="eastAsia" w:ascii="宋体" w:hAnsi="宋体" w:cs="宋体"/>
                <w:kern w:val="0"/>
                <w:sz w:val="20"/>
                <w:szCs w:val="20"/>
              </w:rPr>
              <w:t>结果</w:t>
            </w:r>
          </w:p>
          <w:p>
            <w:pPr>
              <w:widowControl/>
              <w:spacing w:line="560" w:lineRule="exact"/>
              <w:ind w:left="-136" w:leftChars="-65" w:right="-124" w:rightChars="-59"/>
              <w:jc w:val="center"/>
            </w:pPr>
            <w:r>
              <w:rPr>
                <w:rFonts w:hint="eastAsia" w:ascii="宋体" w:hAnsi="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73" w:leftChars="-83" w:right="-134" w:rightChars="-64" w:hanging="1"/>
              <w:jc w:val="center"/>
              <w:rPr>
                <w:rFonts w:ascii="宋体" w:hAnsi="宋体" w:cs="宋体"/>
                <w:color w:val="000000"/>
                <w:kern w:val="0"/>
                <w:sz w:val="20"/>
                <w:szCs w:val="20"/>
              </w:rPr>
            </w:pPr>
            <w:r>
              <w:rPr>
                <w:rFonts w:hint="eastAsia" w:ascii="宋体" w:hAnsi="宋体" w:cs="宋体"/>
                <w:color w:val="000000"/>
                <w:kern w:val="0"/>
                <w:sz w:val="20"/>
                <w:szCs w:val="20"/>
              </w:rPr>
              <w:t>其他</w:t>
            </w:r>
          </w:p>
          <w:p>
            <w:pPr>
              <w:widowControl/>
              <w:spacing w:line="560" w:lineRule="exact"/>
              <w:ind w:left="-173" w:leftChars="-83" w:right="-134" w:rightChars="-64" w:hanging="1"/>
              <w:jc w:val="center"/>
            </w:pPr>
            <w:r>
              <w:rPr>
                <w:rFonts w:hint="eastAsia" w:ascii="宋体" w:hAnsi="宋体" w:cs="宋体"/>
                <w:color w:val="000000"/>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67" w:leftChars="-33" w:right="-105" w:rightChars="-50" w:hanging="2" w:hangingChars="1"/>
              <w:jc w:val="center"/>
            </w:pPr>
            <w:r>
              <w:rPr>
                <w:rFonts w:hint="eastAsia" w:ascii="宋体" w:hAnsi="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 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4</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 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 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4</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0 </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rPr>
              <w:t>1</w:t>
            </w:r>
          </w:p>
        </w:tc>
      </w:tr>
    </w:tbl>
    <w:p>
      <w:pPr>
        <w:widowControl/>
        <w:shd w:val="clear" w:color="auto" w:fill="FFFFFF"/>
        <w:spacing w:line="560" w:lineRule="exact"/>
        <w:jc w:val="center"/>
        <w:rPr>
          <w:rFonts w:ascii="宋体" w:hAnsi="宋体" w:cs="宋体"/>
          <w:color w:val="333333"/>
          <w:sz w:val="24"/>
        </w:rPr>
      </w:pPr>
    </w:p>
    <w:p>
      <w:pPr>
        <w:pStyle w:val="2"/>
        <w:widowControl/>
        <w:shd w:val="clear" w:color="auto" w:fill="FFFFFF"/>
        <w:spacing w:beforeAutospacing="0" w:afterAutospacing="0" w:line="560" w:lineRule="exact"/>
        <w:ind w:firstLine="640" w:firstLineChars="200"/>
        <w:jc w:val="both"/>
        <w:rPr>
          <w:rFonts w:ascii="黑体" w:hAnsi="黑体" w:eastAsia="黑体" w:cs="宋体"/>
          <w:color w:val="333333"/>
          <w:sz w:val="32"/>
          <w:szCs w:val="32"/>
        </w:rPr>
      </w:pPr>
      <w:r>
        <w:rPr>
          <w:rFonts w:hint="eastAsia" w:ascii="黑体" w:hAnsi="黑体" w:eastAsia="黑体" w:cs="宋体"/>
          <w:color w:val="333333"/>
          <w:sz w:val="32"/>
          <w:szCs w:val="32"/>
          <w:shd w:val="clear" w:color="auto" w:fill="FFFFFF"/>
        </w:rPr>
        <w:t>五、存在的主要问题及改进情况</w:t>
      </w:r>
    </w:p>
    <w:p>
      <w:pPr>
        <w:pStyle w:val="2"/>
        <w:snapToGrid w:val="0"/>
        <w:spacing w:beforeAutospacing="0" w:afterAutospacing="0" w:line="560" w:lineRule="exact"/>
        <w:ind w:firstLine="632" w:firstLineChars="200"/>
        <w:jc w:val="both"/>
        <w:rPr>
          <w:rFonts w:hint="eastAsia" w:ascii="仿宋_GB2312" w:hAnsi="仿宋_GB2312" w:eastAsia="仿宋_GB2312" w:cs="仿宋_GB2312"/>
          <w:sz w:val="32"/>
          <w:szCs w:val="32"/>
        </w:rPr>
      </w:pPr>
      <w:r>
        <w:rPr>
          <w:rStyle w:val="5"/>
          <w:rFonts w:ascii="黑体" w:hAnsi="宋体" w:eastAsia="黑体" w:cs="黑体"/>
          <w:b/>
          <w:bCs/>
          <w:i w:val="0"/>
          <w:iCs w:val="0"/>
          <w:caps w:val="0"/>
          <w:color w:val="000000"/>
          <w:spacing w:val="0"/>
          <w:sz w:val="31"/>
          <w:szCs w:val="31"/>
          <w:bdr w:val="none" w:color="auto" w:sz="0" w:space="0"/>
          <w:shd w:val="clear" w:fill="FFFFFF"/>
        </w:rPr>
        <w:t> </w:t>
      </w:r>
      <w:r>
        <w:rPr>
          <w:rFonts w:hint="eastAsia" w:ascii="仿宋_GB2312" w:hAnsi="仿宋_GB2312" w:eastAsia="仿宋_GB2312" w:cs="仿宋_GB2312"/>
          <w:sz w:val="32"/>
          <w:szCs w:val="32"/>
        </w:rPr>
        <w:t> 2019年，我县在推进政府信息公开方面有了一定的成效，我县政府信息公开工作仍面临着主动公开意识不强、依申请公开工作办理不规范，信息公开范围需进一步扩展等问题。</w:t>
      </w:r>
    </w:p>
    <w:p>
      <w:pPr>
        <w:pStyle w:val="2"/>
        <w:snapToGrid w:val="0"/>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下一步我县将不断扩大公开范围、提高政务公开的内容质量，主要做到以下几个方面。</w:t>
      </w:r>
    </w:p>
    <w:p>
      <w:pPr>
        <w:pStyle w:val="2"/>
        <w:snapToGrid w:val="0"/>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（一）进一步明确公开主体。</w:t>
      </w:r>
      <w:r>
        <w:rPr>
          <w:rFonts w:hint="eastAsia" w:ascii="仿宋_GB2312" w:hAnsi="仿宋_GB2312" w:eastAsia="仿宋_GB2312" w:cs="仿宋_GB2312"/>
          <w:sz w:val="32"/>
          <w:szCs w:val="32"/>
        </w:rPr>
        <w:t>通过各部门单位编制的主动公开基本目录，明确公开主体和公开时限。按照各公开单位的机构职能，确定各部门单位需保障的公开栏目内容。</w:t>
      </w:r>
    </w:p>
    <w:p>
      <w:pPr>
        <w:pStyle w:val="2"/>
        <w:snapToGrid w:val="0"/>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（二）建立健全政务公开工作机制。</w:t>
      </w:r>
      <w:r>
        <w:rPr>
          <w:rFonts w:hint="eastAsia" w:ascii="仿宋_GB2312" w:hAnsi="仿宋_GB2312" w:eastAsia="仿宋_GB2312" w:cs="仿宋_GB2312"/>
          <w:sz w:val="32"/>
          <w:szCs w:val="32"/>
        </w:rPr>
        <w:t>要强化政务公开的常态化和长效化，把政务公开融入政务服务全过程和权力运行全流程。进一步加强政务公开工作业务培训，将《中华人民共和国政府信息公开条例》纳入县大数据发展服务中心培训计划，通过学习和讨论，切实增强公开意识和能力，细化规范依申请公开流程，依法依规做好依申请公开，确保政务公开工作长期稳定开展。</w:t>
      </w:r>
    </w:p>
    <w:p>
      <w:pPr>
        <w:pStyle w:val="2"/>
        <w:snapToGrid w:val="0"/>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（三）做好市对县考核工作。</w:t>
      </w:r>
      <w:r>
        <w:rPr>
          <w:rFonts w:hint="eastAsia" w:ascii="仿宋_GB2312" w:hAnsi="仿宋_GB2312" w:eastAsia="仿宋_GB2312" w:cs="仿宋_GB2312"/>
          <w:sz w:val="32"/>
          <w:szCs w:val="32"/>
        </w:rPr>
        <w:t>加强与上级主管部门的沟通协调，全面抓好工作落实，按照考核指标和清单要求，认真调度梳理相关材料并按时报送。进一步密切与市里的对接沟通，争取上级部门的最大支持，全力争取好的考核名次。</w:t>
      </w:r>
    </w:p>
    <w:p>
      <w:pPr>
        <w:pStyle w:val="2"/>
        <w:snapToGrid w:val="0"/>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（四）做好对各镇（街道）、各部门单位的考核工作。</w:t>
      </w:r>
      <w:r>
        <w:rPr>
          <w:rFonts w:hint="eastAsia" w:ascii="仿宋_GB2312" w:hAnsi="仿宋_GB2312" w:eastAsia="仿宋_GB2312" w:cs="仿宋_GB2312"/>
          <w:sz w:val="32"/>
          <w:szCs w:val="32"/>
        </w:rPr>
        <w:t>根据省市考核指标的要求，不断完善我县考核指标体系，更加科学、合理的设置考核指标，不断加大政务公开考核比重，加快推动以考核促进各项公开工作的落实。</w:t>
      </w:r>
    </w:p>
    <w:p>
      <w:pPr>
        <w:pStyle w:val="2"/>
        <w:snapToGrid w:val="0"/>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（五）着力做好依申请公开工作。</w:t>
      </w:r>
      <w:r>
        <w:rPr>
          <w:rFonts w:hint="eastAsia" w:ascii="仿宋_GB2312" w:hAnsi="仿宋_GB2312" w:eastAsia="仿宋_GB2312" w:cs="仿宋_GB2312"/>
          <w:sz w:val="32"/>
          <w:szCs w:val="32"/>
        </w:rPr>
        <w:t>建立健全依申请公开办理机制，完善依申请公开办理流程，加快依申请公开向主动公开的转变，不断提高答复的内容质量，确保依法依规进行答复。</w:t>
      </w:r>
    </w:p>
    <w:p>
      <w:pPr>
        <w:pStyle w:val="2"/>
        <w:widowControl/>
        <w:shd w:val="clear" w:color="auto" w:fill="FFFFFF"/>
        <w:spacing w:beforeAutospacing="0" w:afterAutospacing="0" w:line="560" w:lineRule="exact"/>
        <w:jc w:val="both"/>
        <w:rPr>
          <w:rFonts w:hint="eastAsia" w:ascii="黑体" w:hAnsi="黑体" w:eastAsia="黑体" w:cs="黑体"/>
          <w:color w:val="333333"/>
          <w:sz w:val="32"/>
          <w:szCs w:val="32"/>
        </w:rPr>
      </w:pPr>
      <w:r>
        <w:rPr>
          <w:rFonts w:hint="eastAsia" w:ascii="黑体" w:hAnsi="黑体" w:eastAsia="黑体" w:cs="黑体"/>
          <w:color w:val="333333"/>
          <w:sz w:val="32"/>
          <w:szCs w:val="32"/>
          <w:shd w:val="clear" w:color="auto" w:fill="FFFFFF"/>
        </w:rPr>
        <w:t>六、其他需要报告的事项</w:t>
      </w:r>
    </w:p>
    <w:p>
      <w:pPr>
        <w:pStyle w:val="2"/>
        <w:snapToGrid w:val="0"/>
        <w:spacing w:beforeAutospacing="0" w:afterAutospacing="0" w:line="560" w:lineRule="exact"/>
        <w:ind w:firstLine="640" w:firstLineChars="200"/>
        <w:jc w:val="both"/>
        <w:rPr>
          <w:rFonts w:ascii="仿宋" w:hAnsi="仿宋" w:eastAsia="仿宋" w:cs="仿宋_GB2312"/>
          <w:sz w:val="32"/>
          <w:szCs w:val="32"/>
        </w:rPr>
      </w:pPr>
      <w:r>
        <w:rPr>
          <w:rFonts w:hint="eastAsia" w:ascii="仿宋_GB2312" w:hAnsi="仿宋_GB2312" w:eastAsia="仿宋_GB2312" w:cs="仿宋_GB2312"/>
          <w:kern w:val="2"/>
          <w:sz w:val="32"/>
          <w:szCs w:val="32"/>
        </w:rPr>
        <w:t>本报告的数据统计期限自2019年1月1日起至2019年12月31日止，</w:t>
      </w:r>
      <w:r>
        <w:rPr>
          <w:rFonts w:hint="eastAsia" w:ascii="仿宋_GB2312" w:hAnsi="仿宋_GB2312" w:eastAsia="仿宋_GB2312" w:cs="仿宋_GB2312"/>
          <w:sz w:val="32"/>
          <w:szCs w:val="32"/>
        </w:rPr>
        <w:t>所列数据可能因四舍五入原因与数据直接相加之和存在尾数差异</w:t>
      </w:r>
      <w:r>
        <w:rPr>
          <w:rFonts w:hint="eastAsia" w:ascii="仿宋" w:hAnsi="仿宋" w:eastAsia="仿宋" w:cs="仿宋_GB2312"/>
          <w:sz w:val="32"/>
          <w:szCs w:val="32"/>
        </w:rPr>
        <w:t>。</w:t>
      </w:r>
    </w:p>
    <w:p>
      <w:pPr>
        <w:spacing w:line="560" w:lineRule="exact"/>
        <w:rPr>
          <w:rFonts w:ascii="仿宋" w:hAnsi="仿宋" w:eastAsia="仿宋" w:cs="仿宋_GB2312"/>
          <w:sz w:val="32"/>
          <w:szCs w:val="32"/>
        </w:rPr>
      </w:pPr>
    </w:p>
    <w:p>
      <w:pPr>
        <w:spacing w:line="560" w:lineRule="exact"/>
        <w:rPr>
          <w:rFonts w:ascii="仿宋" w:hAnsi="仿宋" w:eastAsia="仿宋" w:cs="仿宋_GB2312"/>
          <w:sz w:val="32"/>
          <w:szCs w:val="32"/>
        </w:rPr>
      </w:pPr>
    </w:p>
    <w:p>
      <w:pPr>
        <w:pStyle w:val="2"/>
        <w:widowControl/>
        <w:spacing w:beforeAutospacing="0" w:afterAutospacing="0" w:line="560" w:lineRule="exact"/>
        <w:jc w:val="center"/>
        <w:rPr>
          <w:rFonts w:ascii="仿宋" w:hAnsi="仿宋" w:eastAsia="仿宋" w:cs="微软雅黑"/>
          <w:bCs/>
        </w:rPr>
      </w:pPr>
      <w:r>
        <w:rPr>
          <w:rStyle w:val="5"/>
          <w:rFonts w:hint="eastAsia" w:ascii="仿宋" w:hAnsi="微软雅黑" w:eastAsia="仿宋" w:cs="仿宋_GB2312"/>
          <w:color w:val="3D3D3D"/>
          <w:sz w:val="31"/>
          <w:szCs w:val="31"/>
        </w:rPr>
        <w:t> </w:t>
      </w:r>
      <w:r>
        <w:rPr>
          <w:rStyle w:val="5"/>
          <w:rFonts w:hint="eastAsia" w:ascii="仿宋" w:hAnsi="仿宋" w:eastAsia="仿宋" w:cs="仿宋_GB2312"/>
          <w:color w:val="3D3D3D"/>
          <w:sz w:val="31"/>
          <w:szCs w:val="31"/>
        </w:rPr>
        <w:t xml:space="preserve">                          </w:t>
      </w:r>
      <w:r>
        <w:rPr>
          <w:rStyle w:val="5"/>
          <w:rFonts w:hint="eastAsia" w:ascii="仿宋" w:hAnsi="仿宋" w:eastAsia="仿宋" w:cs="仿宋_GB2312"/>
          <w:b w:val="0"/>
          <w:bCs/>
          <w:color w:val="3D3D3D"/>
          <w:sz w:val="31"/>
          <w:szCs w:val="31"/>
        </w:rPr>
        <w:t xml:space="preserve"> </w:t>
      </w:r>
      <w:r>
        <w:rPr>
          <w:rStyle w:val="5"/>
          <w:rFonts w:hint="eastAsia" w:ascii="仿宋" w:hAnsi="微软雅黑" w:eastAsia="仿宋" w:cs="仿宋_GB2312"/>
          <w:b w:val="0"/>
          <w:bCs/>
          <w:color w:val="3D3D3D"/>
          <w:sz w:val="31"/>
          <w:szCs w:val="31"/>
        </w:rPr>
        <w:t> </w:t>
      </w:r>
      <w:r>
        <w:rPr>
          <w:rStyle w:val="5"/>
          <w:rFonts w:hint="eastAsia" w:ascii="仿宋" w:hAnsi="仿宋" w:eastAsia="仿宋" w:cs="仿宋_GB2312"/>
          <w:b w:val="0"/>
          <w:bCs/>
          <w:color w:val="3D3D3D"/>
          <w:sz w:val="31"/>
          <w:szCs w:val="31"/>
        </w:rPr>
        <w:t>沂源县人民政府办公室</w:t>
      </w:r>
    </w:p>
    <w:p>
      <w:pPr>
        <w:pStyle w:val="2"/>
        <w:widowControl/>
        <w:shd w:val="clear" w:color="auto" w:fill="FFFFFF"/>
        <w:spacing w:beforeAutospacing="0" w:afterAutospacing="0" w:line="560" w:lineRule="exact"/>
        <w:jc w:val="both"/>
        <w:rPr>
          <w:rFonts w:ascii="仿宋" w:hAnsi="仿宋" w:eastAsia="仿宋" w:cs="仿宋_GB2312"/>
          <w:bCs/>
          <w:kern w:val="2"/>
          <w:sz w:val="32"/>
          <w:szCs w:val="32"/>
        </w:rPr>
      </w:pPr>
      <w:r>
        <w:rPr>
          <w:rStyle w:val="5"/>
          <w:rFonts w:hint="eastAsia" w:ascii="仿宋" w:hAnsi="微软雅黑" w:eastAsia="仿宋" w:cs="仿宋_GB2312"/>
          <w:b w:val="0"/>
          <w:bCs/>
          <w:color w:val="3D3D3D"/>
          <w:sz w:val="31"/>
          <w:szCs w:val="31"/>
        </w:rPr>
        <w:t>            </w:t>
      </w:r>
      <w:r>
        <w:rPr>
          <w:rStyle w:val="5"/>
          <w:rFonts w:hint="eastAsia" w:ascii="仿宋" w:hAnsi="仿宋" w:eastAsia="仿宋" w:cs="仿宋_GB2312"/>
          <w:b w:val="0"/>
          <w:bCs/>
          <w:color w:val="3D3D3D"/>
          <w:sz w:val="31"/>
          <w:szCs w:val="31"/>
        </w:rPr>
        <w:t xml:space="preserve">                    </w:t>
      </w:r>
      <w:r>
        <w:rPr>
          <w:rStyle w:val="5"/>
          <w:rFonts w:hint="eastAsia" w:ascii="仿宋" w:hAnsi="仿宋" w:eastAsia="仿宋" w:cs="仿宋_GB2312"/>
          <w:b w:val="0"/>
          <w:bCs/>
          <w:color w:val="3D3D3D"/>
          <w:sz w:val="31"/>
          <w:szCs w:val="31"/>
          <w:lang w:val="en-US" w:eastAsia="zh-CN"/>
        </w:rPr>
        <w:t xml:space="preserve">  </w:t>
      </w:r>
      <w:r>
        <w:rPr>
          <w:rStyle w:val="5"/>
          <w:rFonts w:hint="eastAsia" w:ascii="仿宋" w:hAnsi="仿宋" w:eastAsia="仿宋" w:cs="仿宋_GB2312"/>
          <w:b w:val="0"/>
          <w:bCs/>
          <w:color w:val="3D3D3D"/>
          <w:sz w:val="31"/>
          <w:szCs w:val="31"/>
        </w:rPr>
        <w:t xml:space="preserve">   </w:t>
      </w:r>
      <w:r>
        <w:rPr>
          <w:rStyle w:val="5"/>
          <w:rFonts w:hint="eastAsia" w:ascii="仿宋" w:hAnsi="微软雅黑" w:eastAsia="仿宋" w:cs="仿宋_GB2312"/>
          <w:b w:val="0"/>
          <w:bCs/>
          <w:color w:val="3D3D3D"/>
          <w:sz w:val="31"/>
          <w:szCs w:val="31"/>
        </w:rPr>
        <w:t>  </w:t>
      </w:r>
      <w:r>
        <w:rPr>
          <w:rStyle w:val="5"/>
          <w:rFonts w:hint="eastAsia" w:ascii="仿宋" w:hAnsi="仿宋" w:eastAsia="仿宋" w:cs="仿宋_GB2312"/>
          <w:b w:val="0"/>
          <w:bCs/>
          <w:color w:val="3D3D3D"/>
          <w:sz w:val="31"/>
          <w:szCs w:val="31"/>
        </w:rPr>
        <w:t>2020年2月14日</w:t>
      </w:r>
    </w:p>
    <w:p>
      <w:pPr>
        <w:pStyle w:val="2"/>
        <w:widowControl/>
        <w:shd w:val="clear" w:color="auto" w:fill="FFFFFF"/>
        <w:spacing w:beforeAutospacing="0" w:afterAutospacing="0" w:line="560" w:lineRule="exact"/>
        <w:ind w:firstLine="640" w:firstLineChars="200"/>
        <w:jc w:val="both"/>
        <w:rPr>
          <w:rFonts w:ascii="仿宋" w:hAnsi="仿宋" w:eastAsia="仿宋" w:cs="仿宋_GB2312"/>
          <w:sz w:val="32"/>
          <w:szCs w:val="32"/>
        </w:rPr>
      </w:pPr>
    </w:p>
    <w:p>
      <w:pPr>
        <w:rPr>
          <w:rFonts w:ascii="仿宋" w:hAnsi="仿宋" w:eastAsia="仿宋"/>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5CCCB"/>
    <w:multiLevelType w:val="singleLevel"/>
    <w:tmpl w:val="89B5CCCB"/>
    <w:lvl w:ilvl="0" w:tentative="0">
      <w:start w:val="1"/>
      <w:numFmt w:val="decimal"/>
      <w:suff w:val="nothing"/>
      <w:lvlText w:val="%1、"/>
      <w:lvlJc w:val="left"/>
    </w:lvl>
  </w:abstractNum>
  <w:abstractNum w:abstractNumId="1">
    <w:nsid w:val="041AEA94"/>
    <w:multiLevelType w:val="singleLevel"/>
    <w:tmpl w:val="041AEA94"/>
    <w:lvl w:ilvl="0" w:tentative="0">
      <w:start w:val="5"/>
      <w:numFmt w:val="decimal"/>
      <w:suff w:val="nothing"/>
      <w:lvlText w:val="%1、"/>
      <w:lvlJc w:val="left"/>
    </w:lvl>
  </w:abstractNum>
  <w:abstractNum w:abstractNumId="2">
    <w:nsid w:val="4AECE126"/>
    <w:multiLevelType w:val="singleLevel"/>
    <w:tmpl w:val="4AECE126"/>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6D0734"/>
    <w:rsid w:val="15E34EF2"/>
    <w:rsid w:val="249C4E29"/>
    <w:rsid w:val="24C20797"/>
    <w:rsid w:val="2F6D0734"/>
    <w:rsid w:val="31E80F85"/>
    <w:rsid w:val="32461275"/>
    <w:rsid w:val="3F6B6158"/>
    <w:rsid w:val="44130587"/>
    <w:rsid w:val="47A32677"/>
    <w:rsid w:val="490A3DE1"/>
    <w:rsid w:val="54AE2670"/>
    <w:rsid w:val="5FAB2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kern w:val="0"/>
      <w:sz w:val="24"/>
    </w:rPr>
  </w:style>
  <w:style w:type="character" w:styleId="5">
    <w:name w:val="Strong"/>
    <w:basedOn w:val="4"/>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2020-06-04T02:59:00Z</dcterms:created>
  <dc:creator>Darren</dc:creator>
  <cp:lastModifiedBy>白白白白</cp:lastModifiedBy>
  <dcterms:modified xsi:type="dcterms:W3CDTF">2021-11-01T06:35:34Z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2F829D21064444788080B699C47D0B25</vt:lpwstr>
  </property>
</Properties>
</file>