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E031D">
      <w:pPr>
        <w:ind w:firstLine="0" w:firstLineChars="0"/>
        <w:jc w:val="center"/>
        <w:rPr>
          <w:rFonts w:hint="eastAsia" w:ascii="宋体" w:hAnsi="宋体" w:eastAsia="宋体" w:cs="宋体"/>
          <w:b/>
          <w:bCs/>
          <w:sz w:val="36"/>
          <w:szCs w:val="36"/>
        </w:rPr>
      </w:pPr>
      <w:r>
        <w:rPr>
          <w:rFonts w:hint="eastAsia" w:ascii="宋体" w:hAnsi="宋体" w:eastAsia="宋体" w:cs="宋体"/>
          <w:b/>
          <w:bCs/>
          <w:sz w:val="36"/>
          <w:szCs w:val="36"/>
        </w:rPr>
        <w:t>《淄博市沂源县张家坡镇国土空间规划</w:t>
      </w:r>
    </w:p>
    <w:p w14:paraId="31ADCE3E">
      <w:pPr>
        <w:ind w:firstLine="0" w:firstLineChars="0"/>
        <w:jc w:val="center"/>
        <w:rPr>
          <w:rFonts w:ascii="宋体" w:hAnsi="宋体" w:eastAsia="宋体" w:cs="宋体"/>
          <w:b/>
          <w:bCs/>
          <w:sz w:val="36"/>
          <w:szCs w:val="36"/>
        </w:rPr>
      </w:pPr>
      <w:r>
        <w:rPr>
          <w:rFonts w:hint="eastAsia" w:ascii="宋体" w:hAnsi="宋体" w:eastAsia="宋体" w:cs="宋体"/>
          <w:b/>
          <w:bCs/>
          <w:sz w:val="36"/>
          <w:szCs w:val="36"/>
        </w:rPr>
        <w:t>（</w:t>
      </w:r>
      <w:r>
        <w:rPr>
          <w:rFonts w:ascii="宋体" w:hAnsi="宋体" w:eastAsia="宋体" w:cs="宋体"/>
          <w:b/>
          <w:bCs/>
          <w:sz w:val="36"/>
          <w:szCs w:val="36"/>
        </w:rPr>
        <w:t>2021-2035年）》</w:t>
      </w:r>
      <w:r>
        <w:rPr>
          <w:rFonts w:hint="eastAsia" w:ascii="宋体" w:hAnsi="宋体" w:eastAsia="宋体" w:cs="宋体"/>
          <w:b/>
          <w:bCs/>
          <w:sz w:val="36"/>
          <w:szCs w:val="36"/>
        </w:rPr>
        <w:t>批后公布</w:t>
      </w:r>
    </w:p>
    <w:p w14:paraId="5398728B">
      <w:pPr>
        <w:ind w:firstLine="560"/>
        <w:rPr>
          <w:rFonts w:ascii="宋体" w:hAnsi="宋体" w:eastAsia="宋体" w:cs="宋体"/>
          <w:sz w:val="28"/>
          <w:szCs w:val="28"/>
        </w:rPr>
      </w:pPr>
      <w:r>
        <w:rPr>
          <w:rFonts w:hint="eastAsia" w:ascii="宋体" w:hAnsi="宋体" w:eastAsia="宋体" w:cs="宋体"/>
          <w:sz w:val="28"/>
          <w:szCs w:val="28"/>
        </w:rPr>
        <w:t>《淄博市沂源县张家坡镇国土空间规划（</w:t>
      </w:r>
      <w:r>
        <w:rPr>
          <w:rFonts w:ascii="宋体" w:hAnsi="宋体" w:eastAsia="宋体" w:cs="宋体"/>
          <w:sz w:val="28"/>
          <w:szCs w:val="28"/>
        </w:rPr>
        <w:t>2021-2035年）</w:t>
      </w:r>
      <w:r>
        <w:rPr>
          <w:rFonts w:hint="eastAsia" w:ascii="宋体" w:hAnsi="宋体" w:eastAsia="宋体" w:cs="宋体"/>
          <w:sz w:val="28"/>
          <w:szCs w:val="28"/>
        </w:rPr>
        <w:t>》由淄博市规划信息中心、淄博国土调查测绘有限公司编制完成，县政府于2024年12月27日批复（源政字[2024]91号）。</w:t>
      </w:r>
      <w:r>
        <w:rPr>
          <w:rFonts w:hint="eastAsia" w:ascii="宋体" w:hAnsi="宋体" w:eastAsia="宋体" w:cs="宋体"/>
          <w:sz w:val="28"/>
          <w:szCs w:val="28"/>
          <w:lang w:bidi="ar"/>
        </w:rPr>
        <w:t>现根据《城乡规划法》的规定，</w:t>
      </w:r>
      <w:r>
        <w:rPr>
          <w:rFonts w:hint="eastAsia" w:ascii="宋体" w:hAnsi="宋体" w:eastAsia="宋体" w:cs="宋体"/>
          <w:sz w:val="28"/>
          <w:szCs w:val="28"/>
        </w:rPr>
        <w:t>对该规划进行批后公布。</w:t>
      </w:r>
    </w:p>
    <w:p w14:paraId="3CAFDB0C">
      <w:pPr>
        <w:ind w:firstLine="560"/>
        <w:rPr>
          <w:rFonts w:ascii="宋体" w:hAnsi="宋体" w:eastAsia="宋体" w:cs="宋体"/>
          <w:sz w:val="28"/>
          <w:szCs w:val="28"/>
        </w:rPr>
      </w:pPr>
    </w:p>
    <w:p w14:paraId="0709A86A">
      <w:pPr>
        <w:pStyle w:val="3"/>
        <w:spacing w:before="0" w:beforeLines="0"/>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pgNumType w:fmt="numberInDash" w:start="1"/>
          <w:cols w:space="720" w:num="1"/>
          <w:docGrid w:type="lines" w:linePitch="326" w:charSpace="0"/>
        </w:sectPr>
      </w:pPr>
    </w:p>
    <w:p w14:paraId="628FFEAE">
      <w:pPr>
        <w:pStyle w:val="3"/>
        <w:spacing w:before="326" w:after="326" w:afterLines="100"/>
        <w:rPr>
          <w:rFonts w:ascii="方正小标宋简体" w:eastAsia="方正小标宋简体"/>
          <w:b w:val="0"/>
          <w:sz w:val="36"/>
          <w:szCs w:val="36"/>
        </w:rPr>
      </w:pPr>
      <w:bookmarkStart w:id="0" w:name="_Toc156485989"/>
      <w:bookmarkStart w:id="1" w:name="_Toc12564"/>
      <w:bookmarkStart w:id="2" w:name="_Toc13652"/>
      <w:bookmarkStart w:id="3" w:name="_Toc23885"/>
      <w:bookmarkStart w:id="4" w:name="_Toc27974"/>
      <w:bookmarkStart w:id="5" w:name="_Toc24383"/>
      <w:bookmarkStart w:id="6" w:name="_Toc19237"/>
      <w:r>
        <w:rPr>
          <w:rFonts w:hint="eastAsia" w:ascii="方正小标宋简体" w:eastAsia="方正小标宋简体"/>
          <w:b w:val="0"/>
          <w:sz w:val="36"/>
          <w:szCs w:val="36"/>
        </w:rPr>
        <w:t>总则</w:t>
      </w:r>
      <w:bookmarkEnd w:id="0"/>
      <w:bookmarkEnd w:id="1"/>
      <w:bookmarkEnd w:id="2"/>
      <w:bookmarkEnd w:id="3"/>
      <w:bookmarkEnd w:id="4"/>
      <w:bookmarkEnd w:id="5"/>
      <w:bookmarkEnd w:id="6"/>
    </w:p>
    <w:p w14:paraId="197281F0">
      <w:pPr>
        <w:pStyle w:val="86"/>
        <w:ind w:firstLine="640" w:firstLineChars="200"/>
        <w:outlineLvl w:val="9"/>
        <w:rPr>
          <w:rStyle w:val="34"/>
          <w:b w:val="0"/>
          <w:bCs w:val="0"/>
          <w:color w:val="auto"/>
        </w:rPr>
      </w:pPr>
      <w:bookmarkStart w:id="7" w:name="_Toc2959"/>
      <w:bookmarkStart w:id="8" w:name="_Toc12003"/>
      <w:r>
        <w:rPr>
          <w:rStyle w:val="34"/>
          <w:rFonts w:hint="eastAsia"/>
          <w:b w:val="0"/>
          <w:bCs w:val="0"/>
          <w:color w:val="auto"/>
        </w:rPr>
        <w:t>编制目的</w:t>
      </w:r>
      <w:bookmarkEnd w:id="7"/>
      <w:bookmarkEnd w:id="8"/>
    </w:p>
    <w:p w14:paraId="3EA44553">
      <w:pPr>
        <w:spacing w:line="600" w:lineRule="exact"/>
        <w:ind w:firstLine="640"/>
        <w:rPr>
          <w:rFonts w:ascii="仿宋_GB2312" w:eastAsia="仿宋_GB2312"/>
          <w:sz w:val="32"/>
          <w:szCs w:val="32"/>
        </w:rPr>
      </w:pPr>
      <w:r>
        <w:rPr>
          <w:rFonts w:hint="eastAsia" w:ascii="仿宋_GB2312" w:eastAsia="仿宋_GB2312"/>
          <w:sz w:val="32"/>
          <w:szCs w:val="32"/>
        </w:rPr>
        <w:t>为全面贯彻党中央、国务院关于建立国土空间规划体系并监督实施的战略部署，落实自然资源部《关于全面开展国土空间规划工作的通知》（自然资发〔</w:t>
      </w:r>
      <w:r>
        <w:rPr>
          <w:rFonts w:ascii="仿宋_GB2312" w:eastAsia="仿宋_GB2312"/>
          <w:sz w:val="32"/>
          <w:szCs w:val="32"/>
        </w:rPr>
        <w:t>2019〕87号），根据《山东省国土空间规划编制工作方案》《淄博市国土空间规划编制工作方案》的要求，按照《山东省乡镇国土空间规划编制技术规程》，强化国土空间规划在国土空间保护开发中的战略引领和刚性管控作用，提高规划的战略性、科学性、协调性和操作性，结合张家坡镇国土空间开发保护实际与目标，编制本规划</w:t>
      </w:r>
      <w:r>
        <w:rPr>
          <w:rFonts w:hint="eastAsia" w:ascii="仿宋_GB2312" w:eastAsia="仿宋_GB2312"/>
          <w:sz w:val="32"/>
          <w:szCs w:val="32"/>
        </w:rPr>
        <w:t>。</w:t>
      </w:r>
    </w:p>
    <w:p w14:paraId="7CAF117A">
      <w:pPr>
        <w:pStyle w:val="86"/>
        <w:ind w:firstLine="640" w:firstLineChars="200"/>
        <w:outlineLvl w:val="9"/>
        <w:rPr>
          <w:rStyle w:val="34"/>
          <w:b w:val="0"/>
          <w:bCs w:val="0"/>
          <w:color w:val="auto"/>
        </w:rPr>
      </w:pPr>
      <w:bookmarkStart w:id="9" w:name="_Toc4596"/>
      <w:bookmarkStart w:id="10" w:name="_Toc31269"/>
      <w:r>
        <w:rPr>
          <w:rStyle w:val="34"/>
          <w:rFonts w:hint="eastAsia"/>
          <w:b w:val="0"/>
          <w:bCs w:val="0"/>
          <w:color w:val="auto"/>
        </w:rPr>
        <w:t>总体要求</w:t>
      </w:r>
      <w:bookmarkEnd w:id="9"/>
      <w:bookmarkEnd w:id="10"/>
    </w:p>
    <w:p w14:paraId="76F0A089">
      <w:pPr>
        <w:spacing w:line="600" w:lineRule="exact"/>
        <w:ind w:firstLine="640"/>
        <w:rPr>
          <w:rFonts w:ascii="仿宋_GB2312" w:eastAsia="仿宋_GB2312"/>
          <w:sz w:val="32"/>
          <w:szCs w:val="32"/>
        </w:rPr>
      </w:pPr>
      <w:r>
        <w:rPr>
          <w:rFonts w:hint="eastAsia" w:ascii="仿宋_GB2312" w:eastAsia="仿宋_GB2312"/>
          <w:sz w:val="32"/>
          <w:szCs w:val="32"/>
        </w:rPr>
        <w:t>坚持以习近平新时代中国特色社会主义思想为指导，全面贯彻党的二十大和二十届二中、三中全会精神，深入学习贯彻习近平总书记视察山东的重要讲话精神，认真落实市委、市政府各项部署，准确全面贯彻新发展理念，主动服务和融入新发展格局，深入实施黄河流域生态保护和高质量发展战略，加快推进绿色低碳高质量发展，落实《沂源县国土空间总体规划（</w:t>
      </w:r>
      <w:r>
        <w:rPr>
          <w:rFonts w:ascii="仿宋_GB2312" w:eastAsia="仿宋_GB2312"/>
          <w:sz w:val="32"/>
          <w:szCs w:val="32"/>
        </w:rPr>
        <w:t>2021-2035年）》，系统优化镇域国土空间开发保护总体格局，完善国土空间治理体系，全面提升治理能力现代化水平</w:t>
      </w:r>
      <w:r>
        <w:rPr>
          <w:rFonts w:hint="eastAsia" w:ascii="仿宋_GB2312" w:eastAsia="仿宋_GB2312"/>
          <w:sz w:val="32"/>
          <w:szCs w:val="32"/>
        </w:rPr>
        <w:t>。</w:t>
      </w:r>
    </w:p>
    <w:p w14:paraId="7B0E1DB6">
      <w:pPr>
        <w:pStyle w:val="86"/>
        <w:ind w:firstLine="640" w:firstLineChars="200"/>
        <w:outlineLvl w:val="9"/>
        <w:rPr>
          <w:rStyle w:val="34"/>
          <w:b w:val="0"/>
          <w:bCs w:val="0"/>
          <w:color w:val="auto"/>
        </w:rPr>
      </w:pPr>
      <w:bookmarkStart w:id="11" w:name="_Toc21167"/>
      <w:bookmarkStart w:id="12" w:name="_Toc31933"/>
      <w:bookmarkStart w:id="13" w:name="_Toc29319"/>
      <w:bookmarkStart w:id="14" w:name="_Toc15975"/>
      <w:bookmarkStart w:id="15" w:name="_Toc7299"/>
      <w:bookmarkStart w:id="16" w:name="_Toc10929"/>
      <w:r>
        <w:rPr>
          <w:rStyle w:val="34"/>
          <w:rFonts w:hint="eastAsia"/>
          <w:b w:val="0"/>
          <w:bCs w:val="0"/>
          <w:color w:val="auto"/>
        </w:rPr>
        <w:t>规划原则</w:t>
      </w:r>
      <w:bookmarkEnd w:id="11"/>
      <w:bookmarkEnd w:id="12"/>
      <w:bookmarkEnd w:id="13"/>
      <w:bookmarkEnd w:id="14"/>
      <w:bookmarkEnd w:id="15"/>
      <w:bookmarkEnd w:id="16"/>
    </w:p>
    <w:p w14:paraId="09350522">
      <w:pPr>
        <w:spacing w:line="600" w:lineRule="exact"/>
        <w:ind w:firstLine="640"/>
        <w:rPr>
          <w:rFonts w:ascii="仿宋_GB2312" w:eastAsia="仿宋_GB2312"/>
          <w:sz w:val="32"/>
          <w:szCs w:val="32"/>
        </w:rPr>
      </w:pPr>
      <w:bookmarkStart w:id="17" w:name="（1）保持人文与自然结合的整体性原则"/>
      <w:bookmarkEnd w:id="17"/>
      <w:r>
        <w:rPr>
          <w:rFonts w:ascii="仿宋_GB2312" w:eastAsia="仿宋_GB2312"/>
          <w:sz w:val="32"/>
          <w:szCs w:val="32"/>
        </w:rPr>
        <w:t>1.底线思维，生态优先</w:t>
      </w:r>
    </w:p>
    <w:p w14:paraId="55F8CF4B">
      <w:pPr>
        <w:spacing w:line="600" w:lineRule="exact"/>
        <w:ind w:firstLine="640"/>
        <w:rPr>
          <w:rFonts w:ascii="仿宋_GB2312" w:eastAsia="仿宋_GB2312"/>
          <w:sz w:val="32"/>
          <w:szCs w:val="32"/>
        </w:rPr>
      </w:pPr>
      <w:r>
        <w:rPr>
          <w:rFonts w:hint="eastAsia" w:ascii="仿宋_GB2312" w:eastAsia="仿宋_GB2312"/>
          <w:sz w:val="32"/>
          <w:szCs w:val="32"/>
        </w:rPr>
        <w:t>坚持山水林田湖草生命共同体，强化水资源的约束作用，严格落实耕地和永久基本农田、生态保护红线、城镇开发边界等重要控制线，严守粮食安全、生态安全、国土安全底线，严格落实自然保护地管控要求。</w:t>
      </w:r>
    </w:p>
    <w:p w14:paraId="3223C171">
      <w:pPr>
        <w:spacing w:line="600" w:lineRule="exact"/>
        <w:ind w:firstLine="640"/>
        <w:rPr>
          <w:rFonts w:ascii="仿宋_GB2312" w:eastAsia="仿宋_GB2312"/>
          <w:sz w:val="32"/>
          <w:szCs w:val="32"/>
        </w:rPr>
      </w:pPr>
      <w:r>
        <w:rPr>
          <w:rFonts w:ascii="仿宋_GB2312" w:eastAsia="仿宋_GB2312"/>
          <w:sz w:val="32"/>
          <w:szCs w:val="32"/>
        </w:rPr>
        <w:t>2.统筹协调，系统规划</w:t>
      </w:r>
    </w:p>
    <w:p w14:paraId="720DAF05">
      <w:pPr>
        <w:spacing w:line="600" w:lineRule="exact"/>
        <w:ind w:firstLine="640"/>
        <w:rPr>
          <w:rFonts w:ascii="仿宋_GB2312" w:eastAsia="仿宋_GB2312"/>
          <w:sz w:val="32"/>
          <w:szCs w:val="32"/>
        </w:rPr>
      </w:pPr>
      <w:r>
        <w:rPr>
          <w:rFonts w:hint="eastAsia" w:ascii="仿宋_GB2312" w:eastAsia="仿宋_GB2312"/>
          <w:sz w:val="32"/>
          <w:szCs w:val="32"/>
        </w:rPr>
        <w:t>统筹优化国土空间开发保护格局，协调保护和发展、全局和局部、当前和长远等关系，把系统规划观念贯穿规划编制全过程，推动区域协同和城乡融合。</w:t>
      </w:r>
    </w:p>
    <w:p w14:paraId="0B74B6C6">
      <w:pPr>
        <w:spacing w:line="600" w:lineRule="exact"/>
        <w:ind w:firstLine="640"/>
        <w:rPr>
          <w:rFonts w:ascii="仿宋_GB2312" w:eastAsia="仿宋_GB2312"/>
          <w:sz w:val="32"/>
          <w:szCs w:val="32"/>
        </w:rPr>
      </w:pPr>
      <w:r>
        <w:rPr>
          <w:rFonts w:ascii="仿宋_GB2312" w:eastAsia="仿宋_GB2312"/>
          <w:sz w:val="32"/>
          <w:szCs w:val="32"/>
        </w:rPr>
        <w:t>3.节约集约，绿色发展</w:t>
      </w:r>
    </w:p>
    <w:p w14:paraId="27E2697F">
      <w:pPr>
        <w:spacing w:line="600" w:lineRule="exact"/>
        <w:ind w:firstLine="640"/>
        <w:rPr>
          <w:rFonts w:ascii="仿宋_GB2312" w:eastAsia="仿宋_GB2312"/>
          <w:sz w:val="32"/>
          <w:szCs w:val="32"/>
        </w:rPr>
      </w:pPr>
      <w:r>
        <w:rPr>
          <w:rFonts w:hint="eastAsia" w:ascii="仿宋_GB2312" w:eastAsia="仿宋_GB2312"/>
          <w:sz w:val="32"/>
          <w:szCs w:val="32"/>
        </w:rPr>
        <w:t>突出存量优先、增存结合，构建科学适度有序的国土空间布局体系，推动形成绿色低碳的生产生活方式，走内涵式、集约型、绿色化的高质量发展路子，增强国土空间韧性和可持续发展的竞争力。</w:t>
      </w:r>
    </w:p>
    <w:p w14:paraId="3EFF39C6">
      <w:pPr>
        <w:spacing w:line="600" w:lineRule="exact"/>
        <w:ind w:firstLine="640"/>
        <w:rPr>
          <w:rFonts w:ascii="仿宋_GB2312" w:eastAsia="仿宋_GB2312"/>
          <w:sz w:val="32"/>
          <w:szCs w:val="32"/>
        </w:rPr>
      </w:pPr>
      <w:r>
        <w:rPr>
          <w:rFonts w:ascii="仿宋_GB2312" w:eastAsia="仿宋_GB2312"/>
          <w:sz w:val="32"/>
          <w:szCs w:val="32"/>
        </w:rPr>
        <w:t>4.以人为本，品质提升</w:t>
      </w:r>
    </w:p>
    <w:p w14:paraId="5B55A40E">
      <w:pPr>
        <w:spacing w:line="600" w:lineRule="exact"/>
        <w:ind w:firstLine="640"/>
        <w:rPr>
          <w:rFonts w:ascii="仿宋_GB2312" w:eastAsia="仿宋_GB2312"/>
          <w:sz w:val="32"/>
          <w:szCs w:val="32"/>
        </w:rPr>
      </w:pPr>
      <w:r>
        <w:rPr>
          <w:rFonts w:hint="eastAsia" w:ascii="仿宋_GB2312" w:eastAsia="仿宋_GB2312"/>
          <w:sz w:val="32"/>
          <w:szCs w:val="32"/>
        </w:rPr>
        <w:t>坚持以人民为中心的思想，注重城乡融合、职住平衡、功能提升、布局优化，保障公共设施和公共空间供给，塑造高品质城乡人居环境，增进民生福祉。</w:t>
      </w:r>
    </w:p>
    <w:p w14:paraId="2E3FF7C5">
      <w:pPr>
        <w:spacing w:line="600" w:lineRule="exact"/>
        <w:ind w:firstLine="640"/>
        <w:rPr>
          <w:rFonts w:ascii="仿宋_GB2312" w:eastAsia="仿宋_GB2312"/>
          <w:sz w:val="32"/>
          <w:szCs w:val="32"/>
        </w:rPr>
      </w:pPr>
      <w:r>
        <w:rPr>
          <w:rFonts w:ascii="仿宋_GB2312" w:eastAsia="仿宋_GB2312"/>
          <w:sz w:val="32"/>
          <w:szCs w:val="32"/>
        </w:rPr>
        <w:t>5.因地制宜，突出特色</w:t>
      </w:r>
    </w:p>
    <w:p w14:paraId="48BEF518">
      <w:pPr>
        <w:spacing w:line="600" w:lineRule="exact"/>
        <w:ind w:firstLine="640"/>
        <w:rPr>
          <w:rFonts w:ascii="仿宋_GB2312" w:eastAsia="仿宋_GB2312"/>
          <w:sz w:val="32"/>
          <w:szCs w:val="32"/>
        </w:rPr>
      </w:pPr>
      <w:r>
        <w:rPr>
          <w:rFonts w:hint="eastAsia" w:ascii="仿宋_GB2312" w:eastAsia="仿宋_GB2312"/>
          <w:sz w:val="32"/>
          <w:szCs w:val="32"/>
        </w:rPr>
        <w:t>结合乡镇发展实际，深入挖掘自然禀赋、历史文化等资源优势，突出地域特色，加快资源优势向经济优势转变，形成宜居宜业宜游的特色乡镇。</w:t>
      </w:r>
    </w:p>
    <w:p w14:paraId="482331C3">
      <w:pPr>
        <w:pStyle w:val="86"/>
        <w:ind w:firstLine="640" w:firstLineChars="200"/>
        <w:outlineLvl w:val="9"/>
        <w:rPr>
          <w:rStyle w:val="34"/>
          <w:b w:val="0"/>
          <w:bCs w:val="0"/>
          <w:color w:val="auto"/>
        </w:rPr>
      </w:pPr>
      <w:bookmarkStart w:id="18" w:name="_Toc2531"/>
      <w:bookmarkStart w:id="19" w:name="_Toc17071"/>
      <w:bookmarkStart w:id="20" w:name="_Toc19385"/>
      <w:bookmarkStart w:id="21" w:name="_Toc24604"/>
      <w:bookmarkStart w:id="22" w:name="_Toc31527"/>
      <w:bookmarkStart w:id="23" w:name="_Toc18666"/>
      <w:r>
        <w:rPr>
          <w:rStyle w:val="34"/>
          <w:rFonts w:hint="eastAsia"/>
          <w:b w:val="0"/>
          <w:bCs w:val="0"/>
          <w:color w:val="auto"/>
        </w:rPr>
        <w:t>规划范围</w:t>
      </w:r>
      <w:bookmarkEnd w:id="18"/>
      <w:bookmarkEnd w:id="19"/>
      <w:bookmarkEnd w:id="20"/>
      <w:bookmarkEnd w:id="21"/>
      <w:bookmarkEnd w:id="22"/>
      <w:bookmarkEnd w:id="23"/>
    </w:p>
    <w:p w14:paraId="23AC38A7">
      <w:pPr>
        <w:spacing w:line="600" w:lineRule="exact"/>
        <w:ind w:firstLine="640"/>
        <w:rPr>
          <w:rFonts w:ascii="仿宋_GB2312" w:eastAsia="仿宋_GB2312"/>
          <w:sz w:val="32"/>
          <w:szCs w:val="32"/>
        </w:rPr>
      </w:pPr>
      <w:bookmarkStart w:id="24" w:name="（2）保护地域特色的原真性原则"/>
      <w:bookmarkEnd w:id="24"/>
      <w:bookmarkStart w:id="25" w:name="（4）分类别保护管理原则"/>
      <w:bookmarkEnd w:id="25"/>
      <w:bookmarkStart w:id="26" w:name="（3）文化保护与社会经济互动，可持续发展原则"/>
      <w:bookmarkEnd w:id="26"/>
      <w:bookmarkStart w:id="27" w:name="_Hlk86908722"/>
      <w:r>
        <w:rPr>
          <w:rFonts w:hint="eastAsia" w:ascii="仿宋_GB2312" w:eastAsia="仿宋_GB2312"/>
          <w:sz w:val="32"/>
          <w:szCs w:val="32"/>
        </w:rPr>
        <w:t>张家坡镇全域国土空间范围，总面积</w:t>
      </w:r>
      <w:r>
        <w:rPr>
          <w:rFonts w:ascii="仿宋_GB2312" w:eastAsia="仿宋_GB2312"/>
          <w:sz w:val="32"/>
          <w:szCs w:val="32"/>
        </w:rPr>
        <w:t>93.22平方千米</w:t>
      </w:r>
      <w:r>
        <w:rPr>
          <w:rFonts w:hint="eastAsia" w:ascii="仿宋_GB2312" w:eastAsia="仿宋_GB2312"/>
          <w:sz w:val="32"/>
          <w:szCs w:val="32"/>
        </w:rPr>
        <w:t>。</w:t>
      </w:r>
    </w:p>
    <w:p w14:paraId="4C316A09">
      <w:pPr>
        <w:pStyle w:val="86"/>
        <w:ind w:firstLine="640" w:firstLineChars="200"/>
        <w:outlineLvl w:val="9"/>
        <w:rPr>
          <w:rStyle w:val="34"/>
          <w:b w:val="0"/>
          <w:bCs w:val="0"/>
          <w:color w:val="auto"/>
        </w:rPr>
      </w:pPr>
      <w:bookmarkStart w:id="28" w:name="_Toc10435"/>
      <w:bookmarkStart w:id="29" w:name="_Toc12995"/>
      <w:bookmarkStart w:id="30" w:name="_Toc25416"/>
      <w:bookmarkStart w:id="31" w:name="_Toc4535"/>
      <w:bookmarkStart w:id="32" w:name="_Toc23837"/>
      <w:bookmarkStart w:id="33" w:name="_Toc6425"/>
      <w:r>
        <w:rPr>
          <w:rStyle w:val="34"/>
          <w:rFonts w:hint="eastAsia"/>
          <w:b w:val="0"/>
          <w:bCs w:val="0"/>
          <w:color w:val="auto"/>
        </w:rPr>
        <w:t>规划层级</w:t>
      </w:r>
      <w:bookmarkEnd w:id="28"/>
      <w:bookmarkEnd w:id="29"/>
      <w:bookmarkEnd w:id="30"/>
      <w:bookmarkEnd w:id="31"/>
      <w:bookmarkEnd w:id="32"/>
      <w:bookmarkEnd w:id="33"/>
    </w:p>
    <w:bookmarkEnd w:id="27"/>
    <w:p w14:paraId="7C43D076">
      <w:pPr>
        <w:spacing w:line="600" w:lineRule="exact"/>
        <w:ind w:firstLine="640"/>
        <w:rPr>
          <w:rFonts w:ascii="仿宋_GB2312" w:eastAsia="仿宋_GB2312"/>
          <w:sz w:val="32"/>
          <w:szCs w:val="32"/>
        </w:rPr>
      </w:pPr>
      <w:r>
        <w:rPr>
          <w:rFonts w:hint="eastAsia" w:ascii="仿宋_GB2312" w:eastAsia="仿宋_GB2312"/>
          <w:sz w:val="32"/>
          <w:szCs w:val="32"/>
        </w:rPr>
        <w:t>包括全域和城镇开发边界范围两个层次。</w:t>
      </w:r>
    </w:p>
    <w:p w14:paraId="6D47E266">
      <w:pPr>
        <w:spacing w:line="600" w:lineRule="exact"/>
        <w:ind w:firstLine="640"/>
        <w:rPr>
          <w:rFonts w:ascii="仿宋_GB2312" w:eastAsia="仿宋_GB2312"/>
          <w:sz w:val="32"/>
          <w:szCs w:val="32"/>
        </w:rPr>
      </w:pPr>
      <w:r>
        <w:rPr>
          <w:rFonts w:hint="eastAsia" w:ascii="仿宋_GB2312" w:eastAsia="仿宋_GB2312"/>
          <w:sz w:val="32"/>
          <w:szCs w:val="32"/>
        </w:rPr>
        <w:t>全域：包含</w:t>
      </w:r>
      <w:r>
        <w:rPr>
          <w:rFonts w:ascii="仿宋_GB2312" w:eastAsia="仿宋_GB2312"/>
          <w:sz w:val="32"/>
          <w:szCs w:val="32"/>
        </w:rPr>
        <w:t>24个行政村，总面积93.22平方千米。</w:t>
      </w:r>
    </w:p>
    <w:p w14:paraId="22F977A1">
      <w:pPr>
        <w:spacing w:line="600" w:lineRule="exact"/>
        <w:ind w:firstLine="640"/>
        <w:rPr>
          <w:rFonts w:ascii="仿宋_GB2312" w:eastAsia="仿宋_GB2312"/>
          <w:sz w:val="32"/>
          <w:szCs w:val="32"/>
        </w:rPr>
      </w:pPr>
      <w:r>
        <w:rPr>
          <w:rFonts w:hint="eastAsia" w:ascii="仿宋_GB2312" w:eastAsia="仿宋_GB2312"/>
          <w:sz w:val="32"/>
          <w:szCs w:val="32"/>
        </w:rPr>
        <w:t>城镇开发边界范围：包含政通路、九东路两侧部分区域，总面积</w:t>
      </w:r>
      <w:r>
        <w:rPr>
          <w:rFonts w:ascii="仿宋_GB2312" w:eastAsia="仿宋_GB2312"/>
          <w:sz w:val="32"/>
          <w:szCs w:val="32"/>
        </w:rPr>
        <w:t>44.30公顷</w:t>
      </w:r>
      <w:r>
        <w:rPr>
          <w:rFonts w:hint="eastAsia" w:ascii="仿宋_GB2312" w:eastAsia="仿宋_GB2312"/>
          <w:sz w:val="32"/>
          <w:szCs w:val="32"/>
        </w:rPr>
        <w:t>。</w:t>
      </w:r>
    </w:p>
    <w:p w14:paraId="589D25DC">
      <w:pPr>
        <w:pStyle w:val="86"/>
        <w:ind w:firstLine="640" w:firstLineChars="200"/>
        <w:outlineLvl w:val="9"/>
        <w:rPr>
          <w:rStyle w:val="34"/>
          <w:b w:val="0"/>
          <w:bCs w:val="0"/>
          <w:color w:val="auto"/>
        </w:rPr>
      </w:pPr>
      <w:bookmarkStart w:id="34" w:name="_Toc14433"/>
      <w:bookmarkStart w:id="35" w:name="_Toc1565"/>
      <w:bookmarkStart w:id="36" w:name="_Toc504"/>
      <w:bookmarkStart w:id="37" w:name="_Toc7009"/>
      <w:bookmarkStart w:id="38" w:name="_Toc31141"/>
      <w:bookmarkStart w:id="39" w:name="_Toc10005"/>
      <w:r>
        <w:rPr>
          <w:rStyle w:val="34"/>
          <w:rFonts w:hint="eastAsia"/>
          <w:b w:val="0"/>
          <w:bCs w:val="0"/>
          <w:color w:val="auto"/>
        </w:rPr>
        <w:t>规划期限</w:t>
      </w:r>
      <w:bookmarkEnd w:id="34"/>
      <w:bookmarkEnd w:id="35"/>
      <w:bookmarkEnd w:id="36"/>
      <w:bookmarkEnd w:id="37"/>
      <w:bookmarkEnd w:id="38"/>
      <w:bookmarkEnd w:id="39"/>
    </w:p>
    <w:p w14:paraId="1507F39C">
      <w:pPr>
        <w:spacing w:line="600" w:lineRule="exact"/>
        <w:ind w:firstLine="640"/>
        <w:rPr>
          <w:rFonts w:ascii="仿宋_GB2312" w:eastAsia="仿宋_GB2312"/>
          <w:sz w:val="32"/>
          <w:szCs w:val="32"/>
        </w:rPr>
      </w:pPr>
      <w:bookmarkStart w:id="40" w:name="（1）历史文化遗产保护与周边环境相结合"/>
      <w:bookmarkEnd w:id="40"/>
      <w:r>
        <w:rPr>
          <w:rFonts w:hint="eastAsia" w:ascii="仿宋_GB2312" w:eastAsia="仿宋_GB2312"/>
          <w:sz w:val="32"/>
          <w:szCs w:val="32"/>
        </w:rPr>
        <w:t>规划期限为</w:t>
      </w:r>
      <w:r>
        <w:rPr>
          <w:rFonts w:ascii="仿宋_GB2312" w:eastAsia="仿宋_GB2312"/>
          <w:sz w:val="32"/>
          <w:szCs w:val="32"/>
        </w:rPr>
        <w:t>2021年至2035年，基期年为2020年，近期至2025年，远景展望至2050年</w:t>
      </w:r>
      <w:r>
        <w:rPr>
          <w:rFonts w:hint="eastAsia" w:ascii="仿宋_GB2312" w:eastAsia="仿宋_GB2312"/>
          <w:sz w:val="32"/>
          <w:szCs w:val="32"/>
        </w:rPr>
        <w:t>。</w:t>
      </w:r>
    </w:p>
    <w:p w14:paraId="70DC806D">
      <w:pPr>
        <w:pStyle w:val="3"/>
        <w:spacing w:before="326" w:after="326" w:afterLines="100"/>
        <w:rPr>
          <w:rFonts w:ascii="方正小标宋简体" w:eastAsia="方正小标宋简体"/>
          <w:b w:val="0"/>
          <w:sz w:val="36"/>
          <w:szCs w:val="36"/>
        </w:rPr>
      </w:pPr>
      <w:bookmarkStart w:id="41" w:name="（3）遗产保护与村镇发展相协调"/>
      <w:bookmarkEnd w:id="41"/>
      <w:bookmarkStart w:id="42" w:name="_Toc17405"/>
      <w:bookmarkStart w:id="43" w:name="_Toc11350"/>
      <w:bookmarkStart w:id="44" w:name="_Toc4966"/>
      <w:bookmarkStart w:id="45" w:name="_Toc13527"/>
      <w:bookmarkStart w:id="46" w:name="_Toc5322"/>
      <w:bookmarkStart w:id="47" w:name="_Toc11713"/>
      <w:r>
        <w:rPr>
          <w:rFonts w:hint="eastAsia" w:ascii="方正小标宋简体" w:eastAsia="方正小标宋简体"/>
          <w:b w:val="0"/>
          <w:sz w:val="36"/>
          <w:szCs w:val="36"/>
        </w:rPr>
        <w:t>规划发展定位与目标策略</w:t>
      </w:r>
      <w:bookmarkEnd w:id="42"/>
      <w:bookmarkEnd w:id="43"/>
      <w:bookmarkEnd w:id="44"/>
      <w:bookmarkEnd w:id="45"/>
      <w:bookmarkEnd w:id="46"/>
      <w:bookmarkEnd w:id="47"/>
    </w:p>
    <w:p w14:paraId="3434121F">
      <w:pPr>
        <w:pStyle w:val="4"/>
        <w:spacing w:before="326" w:after="326"/>
        <w:rPr>
          <w:rFonts w:ascii="黑体" w:hAnsi="黑体" w:eastAsia="黑体"/>
          <w:b w:val="0"/>
          <w:sz w:val="32"/>
        </w:rPr>
      </w:pPr>
      <w:r>
        <w:rPr>
          <w:rFonts w:hint="eastAsia" w:ascii="黑体" w:hAnsi="黑体" w:eastAsia="黑体"/>
          <w:b w:val="0"/>
          <w:sz w:val="32"/>
        </w:rPr>
        <w:t>总体定位</w:t>
      </w:r>
    </w:p>
    <w:p w14:paraId="2DF00F81">
      <w:pPr>
        <w:pStyle w:val="86"/>
        <w:spacing w:line="600" w:lineRule="exact"/>
        <w:ind w:firstLine="640" w:firstLineChars="200"/>
        <w:jc w:val="left"/>
        <w:outlineLvl w:val="9"/>
        <w:rPr>
          <w:rStyle w:val="34"/>
          <w:b w:val="0"/>
          <w:bCs w:val="0"/>
          <w:color w:val="auto"/>
        </w:rPr>
      </w:pPr>
      <w:bookmarkStart w:id="48" w:name="_Toc6791"/>
      <w:bookmarkStart w:id="49" w:name="_Toc26941"/>
      <w:bookmarkStart w:id="50" w:name="_Hlk89286839"/>
      <w:r>
        <w:rPr>
          <w:rStyle w:val="34"/>
          <w:rFonts w:hint="eastAsia"/>
          <w:b w:val="0"/>
          <w:bCs w:val="0"/>
          <w:color w:val="auto"/>
        </w:rPr>
        <w:t>目标愿景</w:t>
      </w:r>
    </w:p>
    <w:p w14:paraId="24FB995C">
      <w:pPr>
        <w:spacing w:line="600" w:lineRule="exact"/>
        <w:ind w:firstLine="640"/>
        <w:rPr>
          <w:rFonts w:ascii="仿宋_GB2312" w:eastAsia="仿宋_GB2312"/>
          <w:sz w:val="32"/>
          <w:szCs w:val="32"/>
        </w:rPr>
      </w:pPr>
      <w:r>
        <w:rPr>
          <w:rFonts w:hint="eastAsia" w:ascii="仿宋_GB2312" w:eastAsia="仿宋_GB2312"/>
          <w:sz w:val="32"/>
          <w:szCs w:val="32"/>
        </w:rPr>
        <w:t>落实生态文明建设和高质量发展要求，统筹镇域国土</w:t>
      </w:r>
      <w:r>
        <w:rPr>
          <w:rFonts w:ascii="仿宋_GB2312" w:eastAsia="仿宋_GB2312"/>
          <w:sz w:val="32"/>
          <w:szCs w:val="32"/>
        </w:rPr>
        <w:t>空间开发与保护，实现经济社会发展与生态环境保护相统</w:t>
      </w:r>
      <w:r>
        <w:rPr>
          <w:rFonts w:hint="eastAsia" w:ascii="仿宋_GB2312" w:eastAsia="仿宋_GB2312"/>
          <w:sz w:val="32"/>
          <w:szCs w:val="32"/>
        </w:rPr>
        <w:t>一。优化配置镇域国土空间资源，促进山水林田湖草沙生态空间格局不断完善健康，环境质量不断提升，建设用地</w:t>
      </w:r>
      <w:r>
        <w:rPr>
          <w:rFonts w:ascii="仿宋_GB2312" w:eastAsia="仿宋_GB2312"/>
          <w:sz w:val="32"/>
          <w:szCs w:val="32"/>
        </w:rPr>
        <w:t>集约节约利用，城乡空间格局不断优化，构建定位清晰、分工合理、功能完善、生态绿色、活力宜居的空间体系。</w:t>
      </w:r>
    </w:p>
    <w:p w14:paraId="5E2BF3C7">
      <w:pPr>
        <w:spacing w:line="600" w:lineRule="exact"/>
        <w:ind w:firstLine="640"/>
        <w:rPr>
          <w:rFonts w:ascii="仿宋_GB2312" w:eastAsia="仿宋_GB2312"/>
          <w:sz w:val="32"/>
          <w:szCs w:val="32"/>
        </w:rPr>
      </w:pPr>
      <w:r>
        <w:rPr>
          <w:rFonts w:hint="eastAsia" w:ascii="仿宋_GB2312" w:eastAsia="仿宋_GB2312"/>
          <w:sz w:val="32"/>
          <w:szCs w:val="32"/>
        </w:rPr>
        <w:t>落实主体功能区定位和《沂源县国土空间总体规划（</w:t>
      </w:r>
      <w:r>
        <w:rPr>
          <w:rFonts w:ascii="仿宋_GB2312" w:eastAsia="仿宋_GB2312"/>
          <w:sz w:val="32"/>
          <w:szCs w:val="32"/>
        </w:rPr>
        <w:t>2021-2035年）》对</w:t>
      </w:r>
      <w:r>
        <w:rPr>
          <w:rFonts w:hint="eastAsia" w:ascii="仿宋_GB2312" w:eastAsia="仿宋_GB2312"/>
          <w:sz w:val="32"/>
          <w:szCs w:val="32"/>
        </w:rPr>
        <w:t>张家坡镇</w:t>
      </w:r>
      <w:r>
        <w:rPr>
          <w:rFonts w:ascii="仿宋_GB2312" w:eastAsia="仿宋_GB2312"/>
          <w:sz w:val="32"/>
          <w:szCs w:val="32"/>
        </w:rPr>
        <w:t>的职能定位，到2035年，把</w:t>
      </w:r>
      <w:r>
        <w:rPr>
          <w:rFonts w:hint="eastAsia" w:ascii="仿宋_GB2312" w:eastAsia="仿宋_GB2312"/>
          <w:sz w:val="32"/>
          <w:szCs w:val="32"/>
        </w:rPr>
        <w:t>张家坡镇</w:t>
      </w:r>
      <w:r>
        <w:rPr>
          <w:rFonts w:ascii="仿宋_GB2312" w:eastAsia="仿宋_GB2312"/>
          <w:sz w:val="32"/>
          <w:szCs w:val="32"/>
        </w:rPr>
        <w:t>打造成为以</w:t>
      </w:r>
      <w:r>
        <w:rPr>
          <w:rFonts w:hint="eastAsia" w:ascii="仿宋_GB2312" w:eastAsia="仿宋_GB2312"/>
          <w:sz w:val="32"/>
          <w:szCs w:val="32"/>
        </w:rPr>
        <w:t>沂源县林果种植、绿色新能源、体旅融合发展为主导，制造业</w:t>
      </w:r>
      <w:r>
        <w:rPr>
          <w:rFonts w:ascii="仿宋_GB2312" w:eastAsia="仿宋_GB2312"/>
          <w:sz w:val="32"/>
          <w:szCs w:val="32"/>
        </w:rPr>
        <w:t>为补充的</w:t>
      </w:r>
      <w:r>
        <w:rPr>
          <w:rFonts w:hint="eastAsia" w:ascii="仿宋_GB2312" w:eastAsia="仿宋_GB2312"/>
          <w:sz w:val="32"/>
          <w:szCs w:val="32"/>
        </w:rPr>
        <w:t>经济强镇</w:t>
      </w:r>
      <w:r>
        <w:rPr>
          <w:rFonts w:ascii="仿宋_GB2312" w:eastAsia="仿宋_GB2312"/>
          <w:sz w:val="32"/>
          <w:szCs w:val="32"/>
        </w:rPr>
        <w:t>。</w:t>
      </w:r>
    </w:p>
    <w:p w14:paraId="238BA3B5">
      <w:pPr>
        <w:pStyle w:val="86"/>
        <w:spacing w:line="600" w:lineRule="exact"/>
        <w:ind w:firstLine="640" w:firstLineChars="200"/>
        <w:jc w:val="left"/>
        <w:outlineLvl w:val="9"/>
        <w:rPr>
          <w:rStyle w:val="34"/>
          <w:b w:val="0"/>
          <w:bCs w:val="0"/>
          <w:color w:val="auto"/>
        </w:rPr>
      </w:pPr>
      <w:r>
        <w:rPr>
          <w:rStyle w:val="34"/>
          <w:rFonts w:hint="eastAsia"/>
          <w:b w:val="0"/>
          <w:bCs w:val="0"/>
          <w:color w:val="auto"/>
        </w:rPr>
        <w:t>城镇性质</w:t>
      </w:r>
      <w:bookmarkEnd w:id="48"/>
      <w:bookmarkEnd w:id="49"/>
    </w:p>
    <w:p w14:paraId="657014D0">
      <w:pPr>
        <w:spacing w:line="600" w:lineRule="exact"/>
        <w:ind w:firstLine="640"/>
        <w:rPr>
          <w:rFonts w:ascii="仿宋_GB2312" w:eastAsia="仿宋_GB2312"/>
          <w:sz w:val="32"/>
          <w:szCs w:val="32"/>
        </w:rPr>
      </w:pPr>
      <w:r>
        <w:rPr>
          <w:rFonts w:hint="eastAsia" w:ascii="仿宋_GB2312" w:eastAsia="仿宋_GB2312"/>
          <w:sz w:val="32"/>
          <w:szCs w:val="32"/>
        </w:rPr>
        <w:t>沂源县林果种植特色镇、绿色新能源标杆镇、农旅融合发展的生态城镇。</w:t>
      </w:r>
    </w:p>
    <w:p w14:paraId="2790EE77">
      <w:pPr>
        <w:pStyle w:val="86"/>
        <w:spacing w:line="600" w:lineRule="exact"/>
        <w:ind w:firstLine="640" w:firstLineChars="200"/>
        <w:jc w:val="left"/>
        <w:outlineLvl w:val="9"/>
        <w:rPr>
          <w:rStyle w:val="34"/>
          <w:b w:val="0"/>
          <w:bCs w:val="0"/>
          <w:color w:val="auto"/>
        </w:rPr>
      </w:pPr>
      <w:r>
        <w:rPr>
          <w:rStyle w:val="34"/>
          <w:rFonts w:hint="eastAsia"/>
          <w:b w:val="0"/>
          <w:bCs w:val="0"/>
          <w:color w:val="auto"/>
        </w:rPr>
        <w:t>人口规模</w:t>
      </w:r>
    </w:p>
    <w:p w14:paraId="58E02522">
      <w:pPr>
        <w:spacing w:line="600" w:lineRule="exact"/>
        <w:ind w:firstLine="640"/>
        <w:rPr>
          <w:rFonts w:ascii="仿宋_GB2312" w:eastAsia="仿宋_GB2312"/>
          <w:sz w:val="32"/>
          <w:szCs w:val="32"/>
        </w:rPr>
      </w:pPr>
      <w:r>
        <w:rPr>
          <w:rFonts w:hint="eastAsia" w:ascii="仿宋_GB2312" w:eastAsia="仿宋_GB2312"/>
          <w:sz w:val="32"/>
          <w:szCs w:val="32"/>
        </w:rPr>
        <w:t>按照《沂源县国土空间总体规划（</w:t>
      </w:r>
      <w:r>
        <w:rPr>
          <w:rFonts w:ascii="仿宋_GB2312" w:eastAsia="仿宋_GB2312"/>
          <w:sz w:val="32"/>
          <w:szCs w:val="32"/>
        </w:rPr>
        <w:t>2021-2035年）》对各镇街人口规模的预测，规划</w:t>
      </w:r>
      <w:r>
        <w:rPr>
          <w:rFonts w:hint="eastAsia" w:ascii="仿宋_GB2312" w:eastAsia="仿宋_GB2312"/>
          <w:sz w:val="32"/>
          <w:szCs w:val="32"/>
        </w:rPr>
        <w:t>到</w:t>
      </w:r>
      <w:r>
        <w:rPr>
          <w:rFonts w:ascii="仿宋_GB2312" w:eastAsia="仿宋_GB2312"/>
          <w:sz w:val="32"/>
          <w:szCs w:val="32"/>
        </w:rPr>
        <w:t>2035年，</w:t>
      </w:r>
      <w:r>
        <w:rPr>
          <w:rFonts w:hint="eastAsia" w:ascii="仿宋_GB2312" w:eastAsia="仿宋_GB2312"/>
          <w:sz w:val="32"/>
          <w:szCs w:val="32"/>
        </w:rPr>
        <w:t>张家坡镇</w:t>
      </w:r>
      <w:r>
        <w:rPr>
          <w:rFonts w:ascii="仿宋_GB2312" w:eastAsia="仿宋_GB2312"/>
          <w:sz w:val="32"/>
          <w:szCs w:val="32"/>
        </w:rPr>
        <w:t>镇域常住人口规模</w:t>
      </w:r>
      <w:r>
        <w:rPr>
          <w:rFonts w:hint="eastAsia" w:ascii="仿宋_GB2312" w:eastAsia="仿宋_GB2312"/>
          <w:sz w:val="32"/>
          <w:szCs w:val="32"/>
        </w:rPr>
        <w:t>1.70万</w:t>
      </w:r>
      <w:r>
        <w:rPr>
          <w:rFonts w:ascii="仿宋_GB2312" w:eastAsia="仿宋_GB2312"/>
          <w:sz w:val="32"/>
          <w:szCs w:val="32"/>
        </w:rPr>
        <w:t>人左右，城镇人口</w:t>
      </w:r>
      <w:r>
        <w:rPr>
          <w:rFonts w:hint="eastAsia" w:ascii="仿宋_GB2312" w:eastAsia="仿宋_GB2312"/>
          <w:sz w:val="32"/>
          <w:szCs w:val="32"/>
        </w:rPr>
        <w:t>0.60万</w:t>
      </w:r>
      <w:r>
        <w:rPr>
          <w:rFonts w:ascii="仿宋_GB2312" w:eastAsia="仿宋_GB2312"/>
          <w:sz w:val="32"/>
          <w:szCs w:val="32"/>
        </w:rPr>
        <w:t>人左右，城镇化率约</w:t>
      </w:r>
      <w:r>
        <w:rPr>
          <w:rFonts w:hint="eastAsia" w:ascii="仿宋_GB2312" w:eastAsia="仿宋_GB2312"/>
          <w:sz w:val="32"/>
          <w:szCs w:val="32"/>
        </w:rPr>
        <w:t>35.00</w:t>
      </w:r>
      <w:r>
        <w:rPr>
          <w:rFonts w:ascii="仿宋_GB2312" w:eastAsia="仿宋_GB2312"/>
          <w:sz w:val="32"/>
          <w:szCs w:val="32"/>
        </w:rPr>
        <w:t>%</w:t>
      </w:r>
      <w:r>
        <w:rPr>
          <w:rFonts w:hint="eastAsia" w:ascii="仿宋_GB2312" w:eastAsia="仿宋_GB2312"/>
          <w:sz w:val="32"/>
          <w:szCs w:val="32"/>
        </w:rPr>
        <w:t>。</w:t>
      </w:r>
    </w:p>
    <w:p w14:paraId="57DF2A45">
      <w:pPr>
        <w:pStyle w:val="4"/>
        <w:spacing w:before="326" w:after="326"/>
        <w:rPr>
          <w:rFonts w:ascii="黑体" w:hAnsi="黑体" w:eastAsia="黑体"/>
          <w:b w:val="0"/>
          <w:sz w:val="32"/>
        </w:rPr>
      </w:pPr>
      <w:bookmarkStart w:id="51" w:name="_Toc185960409"/>
      <w:r>
        <w:rPr>
          <w:rFonts w:hint="eastAsia" w:ascii="黑体" w:hAnsi="黑体" w:eastAsia="黑体"/>
          <w:b w:val="0"/>
          <w:sz w:val="32"/>
        </w:rPr>
        <w:t>国土空间开发保护策略</w:t>
      </w:r>
      <w:bookmarkEnd w:id="51"/>
    </w:p>
    <w:p w14:paraId="780B062A">
      <w:pPr>
        <w:pStyle w:val="86"/>
        <w:spacing w:line="600" w:lineRule="exact"/>
        <w:ind w:firstLine="640" w:firstLineChars="200"/>
        <w:jc w:val="left"/>
        <w:outlineLvl w:val="9"/>
        <w:rPr>
          <w:rStyle w:val="34"/>
          <w:b w:val="0"/>
          <w:bCs w:val="0"/>
          <w:color w:val="auto"/>
        </w:rPr>
      </w:pPr>
      <w:r>
        <w:rPr>
          <w:rStyle w:val="34"/>
          <w:rFonts w:hint="eastAsia"/>
          <w:b w:val="0"/>
          <w:bCs w:val="0"/>
          <w:color w:val="auto"/>
        </w:rPr>
        <w:t>资源赋能、价值转换</w:t>
      </w:r>
    </w:p>
    <w:p w14:paraId="65F3ADCA">
      <w:pPr>
        <w:spacing w:line="600" w:lineRule="exact"/>
        <w:ind w:firstLine="640"/>
        <w:rPr>
          <w:rFonts w:ascii="仿宋_GB2312" w:eastAsia="仿宋_GB2312"/>
          <w:sz w:val="32"/>
          <w:szCs w:val="32"/>
        </w:rPr>
      </w:pPr>
      <w:r>
        <w:rPr>
          <w:rFonts w:hint="eastAsia" w:ascii="仿宋_GB2312" w:eastAsia="仿宋_GB2312"/>
          <w:sz w:val="32"/>
          <w:szCs w:val="32"/>
        </w:rPr>
        <w:t>国土空间支撑资源赋能，充分发挥张家坡镇的资</w:t>
      </w:r>
      <w:r>
        <w:rPr>
          <w:rFonts w:ascii="仿宋_GB2312" w:eastAsia="仿宋_GB2312"/>
          <w:sz w:val="32"/>
          <w:szCs w:val="32"/>
        </w:rPr>
        <w:t>源禀赋，</w:t>
      </w:r>
      <w:r>
        <w:rPr>
          <w:rFonts w:hint="eastAsia" w:ascii="仿宋_GB2312" w:eastAsia="仿宋_GB2312"/>
          <w:sz w:val="32"/>
          <w:szCs w:val="32"/>
        </w:rPr>
        <w:t>聚焦打造“绿色新能源标杆镇”，以光伏发电和风力发电为核心，以光伏农业、光伏服务、光伏旅游为延伸，围绕“光伏概念”主题，融合“光储充”一体化科技创新技术，大力发展“板上发电、板下经济”模式，推动农业生产与光伏发电相结合，聚力打造“光伏</w:t>
      </w:r>
      <w:r>
        <w:rPr>
          <w:rFonts w:ascii="仿宋_GB2312" w:eastAsia="仿宋_GB2312"/>
          <w:sz w:val="32"/>
          <w:szCs w:val="32"/>
        </w:rPr>
        <w:t>+”生态经济发展新标杆，在促进能源绿色低碳转型的同时，为镇域产业经济发展注入更多活力、带来更多效益。</w:t>
      </w:r>
    </w:p>
    <w:p w14:paraId="4312C0B5">
      <w:pPr>
        <w:pStyle w:val="86"/>
        <w:spacing w:line="600" w:lineRule="exact"/>
        <w:ind w:firstLine="640" w:firstLineChars="200"/>
        <w:jc w:val="left"/>
        <w:outlineLvl w:val="9"/>
        <w:rPr>
          <w:rStyle w:val="34"/>
          <w:b w:val="0"/>
          <w:bCs w:val="0"/>
          <w:color w:val="auto"/>
        </w:rPr>
      </w:pPr>
      <w:r>
        <w:rPr>
          <w:rStyle w:val="34"/>
          <w:rFonts w:hint="eastAsia"/>
          <w:b w:val="0"/>
          <w:bCs w:val="0"/>
          <w:color w:val="auto"/>
        </w:rPr>
        <w:t>区域协同、错位发展</w:t>
      </w:r>
    </w:p>
    <w:p w14:paraId="6A3B3D72">
      <w:pPr>
        <w:spacing w:line="600" w:lineRule="exact"/>
        <w:ind w:firstLine="640"/>
        <w:rPr>
          <w:rFonts w:ascii="仿宋_GB2312" w:eastAsia="仿宋_GB2312"/>
          <w:sz w:val="32"/>
          <w:szCs w:val="32"/>
        </w:rPr>
      </w:pPr>
      <w:r>
        <w:rPr>
          <w:rFonts w:hint="eastAsia" w:ascii="仿宋_GB2312" w:eastAsia="仿宋_GB2312"/>
          <w:sz w:val="32"/>
          <w:szCs w:val="32"/>
        </w:rPr>
        <w:t>充分发挥林果特色农业优势，借助现代农业发展区等园区示范引领和科技研发能力，加快培育农业专业大户、家庭农场、农民专业合作社、农业龙头企业、农业产业化联合体等新型农业经营主体，大力发展现代化高效农业，引导特色农业快速发展，与燕崖镇东部、中庄镇、西里镇、东里镇、石桥镇南部进行区域协同，构建优势突出、品牌鲜明的特色农业空间格局。</w:t>
      </w:r>
    </w:p>
    <w:p w14:paraId="720D20B1">
      <w:pPr>
        <w:pStyle w:val="86"/>
        <w:spacing w:line="600" w:lineRule="exact"/>
        <w:ind w:firstLine="640" w:firstLineChars="200"/>
        <w:jc w:val="left"/>
        <w:outlineLvl w:val="9"/>
        <w:rPr>
          <w:rStyle w:val="34"/>
          <w:b w:val="0"/>
          <w:bCs w:val="0"/>
          <w:color w:val="auto"/>
        </w:rPr>
      </w:pPr>
      <w:r>
        <w:rPr>
          <w:rStyle w:val="34"/>
          <w:rFonts w:hint="eastAsia"/>
          <w:b w:val="0"/>
          <w:bCs w:val="0"/>
          <w:color w:val="auto"/>
        </w:rPr>
        <w:t>底线约束、生态优先</w:t>
      </w:r>
    </w:p>
    <w:p w14:paraId="76D2CFA1">
      <w:pPr>
        <w:spacing w:line="600" w:lineRule="exact"/>
        <w:ind w:firstLine="640"/>
        <w:rPr>
          <w:rFonts w:ascii="仿宋_GB2312" w:eastAsia="仿宋_GB2312"/>
          <w:sz w:val="32"/>
          <w:szCs w:val="32"/>
        </w:rPr>
      </w:pPr>
      <w:r>
        <w:rPr>
          <w:rFonts w:hint="eastAsia" w:ascii="仿宋_GB2312" w:eastAsia="仿宋_GB2312"/>
          <w:sz w:val="32"/>
          <w:szCs w:val="32"/>
        </w:rPr>
        <w:t>树立“绿水青山就是金山银山”的理念，依托红水河</w:t>
      </w:r>
      <w:r>
        <w:rPr>
          <w:rFonts w:ascii="仿宋_GB2312" w:eastAsia="仿宋_GB2312"/>
          <w:sz w:val="32"/>
          <w:szCs w:val="32"/>
        </w:rPr>
        <w:t>生态保护格局，以土地综合整治和生态要素修复为抓手，开展</w:t>
      </w:r>
      <w:r>
        <w:rPr>
          <w:rFonts w:hint="eastAsia" w:ascii="仿宋_GB2312" w:eastAsia="仿宋_GB2312"/>
          <w:sz w:val="32"/>
          <w:szCs w:val="32"/>
        </w:rPr>
        <w:t>张家坡镇</w:t>
      </w:r>
      <w:r>
        <w:rPr>
          <w:rFonts w:ascii="仿宋_GB2312" w:eastAsia="仿宋_GB2312"/>
          <w:sz w:val="32"/>
          <w:szCs w:val="32"/>
        </w:rPr>
        <w:t>生态保护修复工程。以资源环境承载能力为基础，牢牢守住耕地和永久基本农田、生态保护红线、城镇开发边界三条控制线，筑牢粮食安全、生态安全、水资源安全、能源资源安全等国土空间安全底线。完</w:t>
      </w:r>
      <w:r>
        <w:rPr>
          <w:rFonts w:hint="eastAsia" w:ascii="仿宋_GB2312" w:eastAsia="仿宋_GB2312"/>
          <w:sz w:val="32"/>
          <w:szCs w:val="32"/>
        </w:rPr>
        <w:t>善国土安全基础设施，</w:t>
      </w:r>
      <w:r>
        <w:rPr>
          <w:rFonts w:ascii="仿宋_GB2312" w:eastAsia="仿宋_GB2312"/>
          <w:sz w:val="32"/>
          <w:szCs w:val="32"/>
        </w:rPr>
        <w:t xml:space="preserve"> 提高灾害防治能力，增强空间韧</w:t>
      </w:r>
      <w:r>
        <w:rPr>
          <w:rFonts w:hint="eastAsia" w:ascii="仿宋_GB2312" w:eastAsia="仿宋_GB2312"/>
          <w:sz w:val="32"/>
          <w:szCs w:val="32"/>
        </w:rPr>
        <w:t>性。</w:t>
      </w:r>
    </w:p>
    <w:p w14:paraId="0D204577">
      <w:pPr>
        <w:pStyle w:val="86"/>
        <w:spacing w:line="600" w:lineRule="exact"/>
        <w:ind w:firstLine="640" w:firstLineChars="200"/>
        <w:jc w:val="left"/>
        <w:outlineLvl w:val="9"/>
        <w:rPr>
          <w:rStyle w:val="34"/>
          <w:b w:val="0"/>
          <w:bCs w:val="0"/>
          <w:color w:val="auto"/>
        </w:rPr>
      </w:pPr>
      <w:r>
        <w:rPr>
          <w:rStyle w:val="34"/>
          <w:rFonts w:hint="eastAsia"/>
          <w:b w:val="0"/>
          <w:bCs w:val="0"/>
          <w:color w:val="auto"/>
        </w:rPr>
        <w:t>节约集约，精明增长</w:t>
      </w:r>
    </w:p>
    <w:p w14:paraId="427F4883">
      <w:pPr>
        <w:spacing w:line="600" w:lineRule="exact"/>
        <w:ind w:firstLine="640"/>
        <w:rPr>
          <w:rFonts w:ascii="仿宋_GB2312" w:eastAsia="仿宋_GB2312"/>
          <w:sz w:val="32"/>
          <w:szCs w:val="32"/>
        </w:rPr>
      </w:pPr>
      <w:r>
        <w:rPr>
          <w:rFonts w:hint="eastAsia" w:ascii="仿宋_GB2312" w:eastAsia="仿宋_GB2312"/>
          <w:sz w:val="32"/>
          <w:szCs w:val="32"/>
        </w:rPr>
        <w:t>落实全面节约策略，严格资源总量和利用强度控制，</w:t>
      </w:r>
      <w:r>
        <w:rPr>
          <w:rFonts w:ascii="仿宋_GB2312" w:eastAsia="仿宋_GB2312"/>
          <w:sz w:val="32"/>
          <w:szCs w:val="32"/>
        </w:rPr>
        <w:t>加快资源利用方式根本转变，积极探索推动国土空间复合利用。落实国家节水行动，建立水资源刚性约束机制，提高水资源集约安全利用水平。严格落实节约集约用地标准，强化重大建设项目节约集约用地的刚性约束，新上项目应达到</w:t>
      </w:r>
      <w:r>
        <w:rPr>
          <w:rFonts w:hint="eastAsia" w:ascii="仿宋_GB2312" w:eastAsia="仿宋_GB2312"/>
          <w:sz w:val="32"/>
          <w:szCs w:val="32"/>
        </w:rPr>
        <w:t>县</w:t>
      </w:r>
      <w:r>
        <w:rPr>
          <w:rFonts w:ascii="仿宋_GB2312" w:eastAsia="仿宋_GB2312"/>
          <w:sz w:val="32"/>
          <w:szCs w:val="32"/>
        </w:rPr>
        <w:t>内同行业当前节约集约用地的先进水平，实现城乡发展精明增长。</w:t>
      </w:r>
    </w:p>
    <w:p w14:paraId="4C8C7636">
      <w:pPr>
        <w:pStyle w:val="86"/>
        <w:spacing w:line="600" w:lineRule="exact"/>
        <w:ind w:firstLine="640" w:firstLineChars="200"/>
        <w:jc w:val="left"/>
        <w:outlineLvl w:val="9"/>
        <w:rPr>
          <w:rStyle w:val="34"/>
          <w:b w:val="0"/>
          <w:color w:val="auto"/>
        </w:rPr>
      </w:pPr>
      <w:r>
        <w:rPr>
          <w:rStyle w:val="34"/>
          <w:rFonts w:hint="eastAsia"/>
          <w:b w:val="0"/>
          <w:color w:val="auto"/>
        </w:rPr>
        <w:t>推进区域旅游一体化，促进整体格局优化</w:t>
      </w:r>
    </w:p>
    <w:p w14:paraId="634D2530">
      <w:pPr>
        <w:spacing w:line="600" w:lineRule="exact"/>
        <w:ind w:firstLine="640"/>
        <w:rPr>
          <w:rFonts w:ascii="仿宋_GB2312" w:eastAsia="仿宋_GB2312"/>
          <w:bCs/>
          <w:sz w:val="32"/>
          <w:szCs w:val="32"/>
        </w:rPr>
      </w:pPr>
      <w:r>
        <w:rPr>
          <w:rFonts w:hint="eastAsia" w:ascii="仿宋_GB2312" w:eastAsia="仿宋_GB2312"/>
          <w:bCs/>
          <w:sz w:val="32"/>
          <w:szCs w:val="32"/>
        </w:rPr>
        <w:t>加强张家坡镇与周边地区的统筹发展和旅游一体化布局，借助现有乡村旅游发展的本底，推进张家坡镇的生态格局相连相通、空间结构有机融合、功能布局相互协调、交通组织无缝衔接。在区域旅游一体化的整体格局中，实现国土空间保护开发的相互协调。</w:t>
      </w:r>
    </w:p>
    <w:bookmarkEnd w:id="50"/>
    <w:p w14:paraId="7690D32C">
      <w:pPr>
        <w:pStyle w:val="3"/>
        <w:spacing w:before="326" w:after="326" w:afterLines="100"/>
        <w:rPr>
          <w:rFonts w:ascii="方正小标宋简体" w:eastAsia="方正小标宋简体"/>
          <w:b w:val="0"/>
          <w:sz w:val="36"/>
          <w:szCs w:val="36"/>
        </w:rPr>
      </w:pPr>
      <w:bookmarkStart w:id="52" w:name="_Toc28334"/>
      <w:bookmarkStart w:id="53" w:name="_Toc8388"/>
      <w:bookmarkStart w:id="54" w:name="_Toc16601"/>
      <w:bookmarkStart w:id="55" w:name="_Toc6673"/>
      <w:bookmarkStart w:id="56" w:name="_Toc4644"/>
      <w:bookmarkStart w:id="57" w:name="_Toc20651"/>
      <w:r>
        <w:rPr>
          <w:rFonts w:hint="eastAsia" w:ascii="方正小标宋简体" w:eastAsia="方正小标宋简体"/>
          <w:b w:val="0"/>
          <w:sz w:val="36"/>
          <w:szCs w:val="36"/>
        </w:rPr>
        <w:t>开发保护格局</w:t>
      </w:r>
      <w:bookmarkEnd w:id="52"/>
      <w:bookmarkEnd w:id="53"/>
      <w:bookmarkEnd w:id="54"/>
      <w:bookmarkEnd w:id="55"/>
      <w:bookmarkEnd w:id="56"/>
      <w:bookmarkEnd w:id="57"/>
    </w:p>
    <w:p w14:paraId="09A7AA07">
      <w:pPr>
        <w:pStyle w:val="4"/>
        <w:spacing w:before="163" w:beforeLines="50" w:after="163" w:afterLines="50"/>
        <w:rPr>
          <w:rFonts w:hint="eastAsia" w:ascii="黑体" w:hAnsi="黑体" w:eastAsia="黑体"/>
          <w:b w:val="0"/>
          <w:sz w:val="32"/>
        </w:rPr>
      </w:pPr>
      <w:bookmarkStart w:id="58" w:name="_Toc408"/>
      <w:bookmarkStart w:id="59" w:name="_Toc24134"/>
      <w:bookmarkStart w:id="60" w:name="_Toc14564"/>
      <w:bookmarkStart w:id="61" w:name="_Toc11340"/>
      <w:bookmarkStart w:id="62" w:name="_Toc32173"/>
      <w:r>
        <w:rPr>
          <w:rFonts w:hint="eastAsia" w:ascii="黑体" w:hAnsi="黑体" w:eastAsia="黑体"/>
          <w:b w:val="0"/>
          <w:sz w:val="32"/>
        </w:rPr>
        <w:t>底线约束</w:t>
      </w:r>
      <w:bookmarkEnd w:id="58"/>
      <w:bookmarkEnd w:id="59"/>
      <w:bookmarkEnd w:id="60"/>
      <w:bookmarkEnd w:id="61"/>
      <w:bookmarkEnd w:id="62"/>
    </w:p>
    <w:p w14:paraId="064355C6">
      <w:pPr>
        <w:numPr>
          <w:ilvl w:val="0"/>
          <w:numId w:val="7"/>
        </w:numPr>
        <w:spacing w:before="163" w:beforeLines="50" w:after="163" w:afterLines="50" w:line="600" w:lineRule="exact"/>
        <w:ind w:firstLine="640"/>
        <w:jc w:val="left"/>
        <w:rPr>
          <w:rFonts w:hAnsi="楷体"/>
          <w:sz w:val="32"/>
          <w:szCs w:val="32"/>
        </w:rPr>
      </w:pPr>
      <w:r>
        <w:rPr>
          <w:rFonts w:hint="eastAsia" w:hAnsi="楷体"/>
          <w:sz w:val="32"/>
          <w:szCs w:val="32"/>
        </w:rPr>
        <w:t>耕地和永久基本农田划定和管控</w:t>
      </w:r>
    </w:p>
    <w:p w14:paraId="5C5E8E28">
      <w:pPr>
        <w:spacing w:line="600" w:lineRule="exact"/>
        <w:ind w:firstLine="640"/>
        <w:rPr>
          <w:rFonts w:ascii="仿宋_GB2312" w:eastAsia="仿宋_GB2312"/>
          <w:bCs/>
          <w:sz w:val="32"/>
          <w:szCs w:val="32"/>
        </w:rPr>
      </w:pPr>
      <w:r>
        <w:rPr>
          <w:rFonts w:hint="eastAsia" w:ascii="仿宋_GB2312" w:eastAsia="仿宋_GB2312"/>
          <w:bCs/>
          <w:sz w:val="32"/>
          <w:szCs w:val="32"/>
        </w:rPr>
        <w:t>1.划定面积</w:t>
      </w:r>
    </w:p>
    <w:p w14:paraId="12755AAE">
      <w:pPr>
        <w:spacing w:line="600" w:lineRule="exact"/>
        <w:ind w:firstLine="640"/>
        <w:rPr>
          <w:rFonts w:ascii="仿宋_GB2312" w:eastAsia="仿宋_GB2312"/>
          <w:bCs/>
          <w:sz w:val="32"/>
          <w:szCs w:val="32"/>
        </w:rPr>
      </w:pPr>
      <w:r>
        <w:rPr>
          <w:rFonts w:hint="eastAsia" w:ascii="仿宋_GB2312" w:eastAsia="仿宋_GB2312"/>
          <w:bCs/>
          <w:sz w:val="32"/>
          <w:szCs w:val="32"/>
        </w:rPr>
        <w:t>落实《沂源县国土空间总体规划（</w:t>
      </w:r>
      <w:r>
        <w:rPr>
          <w:rFonts w:ascii="仿宋_GB2312" w:eastAsia="仿宋_GB2312"/>
          <w:bCs/>
          <w:sz w:val="32"/>
          <w:szCs w:val="32"/>
        </w:rPr>
        <w:t>2021-2035年）》</w:t>
      </w:r>
      <w:r>
        <w:rPr>
          <w:rFonts w:hint="eastAsia" w:ascii="仿宋_GB2312" w:eastAsia="仿宋_GB2312"/>
          <w:bCs/>
          <w:sz w:val="32"/>
          <w:szCs w:val="32"/>
        </w:rPr>
        <w:t>确定的永久基本农田保护任务要求。到2035年，张家坡镇耕地保护目标不低于3</w:t>
      </w:r>
      <w:r>
        <w:rPr>
          <w:rFonts w:ascii="仿宋_GB2312" w:eastAsia="仿宋_GB2312"/>
          <w:bCs/>
          <w:sz w:val="32"/>
          <w:szCs w:val="32"/>
        </w:rPr>
        <w:t>40.95</w:t>
      </w:r>
      <w:r>
        <w:rPr>
          <w:rFonts w:hint="eastAsia" w:ascii="仿宋_GB2312" w:eastAsia="仿宋_GB2312"/>
          <w:bCs/>
          <w:sz w:val="32"/>
          <w:szCs w:val="32"/>
        </w:rPr>
        <w:t>公顷（5114.18亩），永久基本农田保护面积不低于3</w:t>
      </w:r>
      <w:r>
        <w:rPr>
          <w:rFonts w:ascii="仿宋_GB2312" w:eastAsia="仿宋_GB2312"/>
          <w:bCs/>
          <w:sz w:val="32"/>
          <w:szCs w:val="32"/>
        </w:rPr>
        <w:t>23.07</w:t>
      </w:r>
      <w:r>
        <w:rPr>
          <w:rFonts w:hint="eastAsia" w:ascii="仿宋_GB2312" w:eastAsia="仿宋_GB2312"/>
          <w:bCs/>
          <w:sz w:val="32"/>
          <w:szCs w:val="32"/>
        </w:rPr>
        <w:t>公顷（</w:t>
      </w:r>
      <w:r>
        <w:rPr>
          <w:rFonts w:ascii="仿宋_GB2312" w:eastAsia="仿宋_GB2312"/>
          <w:bCs/>
          <w:sz w:val="32"/>
          <w:szCs w:val="32"/>
        </w:rPr>
        <w:t>4846.02</w:t>
      </w:r>
      <w:r>
        <w:rPr>
          <w:rFonts w:hint="eastAsia" w:ascii="仿宋_GB2312" w:eastAsia="仿宋_GB2312"/>
          <w:bCs/>
          <w:sz w:val="32"/>
          <w:szCs w:val="32"/>
        </w:rPr>
        <w:t>亩）；同时规划对永久基本农田核实处置数据进行规划落实。</w:t>
      </w:r>
    </w:p>
    <w:p w14:paraId="75918E83">
      <w:pPr>
        <w:spacing w:line="600" w:lineRule="exact"/>
        <w:ind w:firstLine="640"/>
        <w:rPr>
          <w:rFonts w:ascii="仿宋_GB2312" w:eastAsia="仿宋_GB2312"/>
          <w:bCs/>
          <w:sz w:val="32"/>
          <w:szCs w:val="32"/>
        </w:rPr>
      </w:pPr>
      <w:r>
        <w:rPr>
          <w:rFonts w:hint="eastAsia" w:ascii="仿宋_GB2312" w:eastAsia="仿宋_GB2312"/>
          <w:bCs/>
          <w:sz w:val="32"/>
          <w:szCs w:val="32"/>
        </w:rPr>
        <w:t>2.管控要求</w:t>
      </w:r>
    </w:p>
    <w:p w14:paraId="543935EC">
      <w:pPr>
        <w:spacing w:line="600" w:lineRule="exact"/>
        <w:ind w:firstLine="640"/>
        <w:rPr>
          <w:rFonts w:ascii="仿宋_GB2312" w:eastAsia="仿宋_GB2312"/>
          <w:bCs/>
          <w:sz w:val="32"/>
          <w:szCs w:val="32"/>
        </w:rPr>
      </w:pPr>
      <w:r>
        <w:rPr>
          <w:rFonts w:hint="eastAsia" w:ascii="仿宋_GB2312" w:eastAsia="仿宋_GB2312"/>
          <w:bCs/>
          <w:sz w:val="32"/>
          <w:szCs w:val="32"/>
        </w:rPr>
        <w:t>耕地和永久基本农田经依法划定后，任何单位和个人不得擅自占用或者改变</w:t>
      </w:r>
      <w:r>
        <w:rPr>
          <w:rFonts w:ascii="仿宋_GB2312" w:eastAsia="仿宋_GB2312"/>
          <w:bCs/>
          <w:sz w:val="32"/>
          <w:szCs w:val="32"/>
        </w:rPr>
        <w:t>其用途。能源、交通、水利、军事设施等重大建设项目选址确实难以避让永久基本农田的，经</w:t>
      </w:r>
      <w:r>
        <w:rPr>
          <w:rFonts w:hint="eastAsia" w:ascii="仿宋_GB2312" w:eastAsia="仿宋_GB2312"/>
          <w:bCs/>
          <w:sz w:val="32"/>
          <w:szCs w:val="32"/>
        </w:rPr>
        <w:t>依法</w:t>
      </w:r>
      <w:r>
        <w:rPr>
          <w:rFonts w:ascii="仿宋_GB2312" w:eastAsia="仿宋_GB2312"/>
          <w:bCs/>
          <w:sz w:val="32"/>
          <w:szCs w:val="32"/>
        </w:rPr>
        <w:t>批准，</w:t>
      </w:r>
      <w:r>
        <w:rPr>
          <w:rFonts w:hint="eastAsia" w:ascii="仿宋_GB2312" w:eastAsia="仿宋_GB2312"/>
          <w:bCs/>
          <w:sz w:val="32"/>
          <w:szCs w:val="32"/>
        </w:rPr>
        <w:t>应在“以补定占”耕地占补平衡制度基础上</w:t>
      </w:r>
      <w:r>
        <w:rPr>
          <w:rFonts w:ascii="仿宋_GB2312" w:eastAsia="仿宋_GB2312"/>
          <w:bCs/>
          <w:sz w:val="32"/>
          <w:szCs w:val="32"/>
        </w:rPr>
        <w:t>，按照数量不减、质量不降原则，在可以长期稳定利用的耕地上落实永久基本农田补划任务。</w:t>
      </w:r>
      <w:r>
        <w:rPr>
          <w:rFonts w:hint="eastAsia" w:ascii="仿宋_GB2312" w:eastAsia="仿宋_GB2312"/>
          <w:bCs/>
          <w:sz w:val="32"/>
          <w:szCs w:val="32"/>
        </w:rPr>
        <w:t>耕地主要用于粮食和棉、油、糖、蔬菜等农产品及饲料生产，永久基本农田重点用于粮食生产。优先在永久基本农田上开展高标准农田建设，提高永久基本农田质量。</w:t>
      </w:r>
    </w:p>
    <w:p w14:paraId="472428E0">
      <w:pPr>
        <w:numPr>
          <w:ilvl w:val="0"/>
          <w:numId w:val="7"/>
        </w:numPr>
        <w:spacing w:before="163" w:beforeLines="50" w:after="163" w:afterLines="50" w:line="600" w:lineRule="exact"/>
        <w:ind w:firstLine="640"/>
        <w:jc w:val="left"/>
        <w:rPr>
          <w:rFonts w:hAnsi="楷体"/>
          <w:sz w:val="32"/>
          <w:szCs w:val="32"/>
        </w:rPr>
      </w:pPr>
      <w:r>
        <w:rPr>
          <w:rFonts w:hint="eastAsia" w:hAnsi="楷体"/>
          <w:sz w:val="32"/>
          <w:szCs w:val="32"/>
        </w:rPr>
        <w:t>落实生态保护红线</w:t>
      </w:r>
    </w:p>
    <w:p w14:paraId="1F9BD556">
      <w:pPr>
        <w:spacing w:line="600" w:lineRule="exact"/>
        <w:ind w:firstLine="640"/>
        <w:rPr>
          <w:rFonts w:ascii="仿宋_GB2312" w:eastAsia="仿宋_GB2312"/>
          <w:bCs/>
          <w:sz w:val="32"/>
          <w:szCs w:val="32"/>
        </w:rPr>
      </w:pPr>
      <w:r>
        <w:rPr>
          <w:rFonts w:hint="eastAsia" w:ascii="仿宋_GB2312" w:eastAsia="仿宋_GB2312"/>
          <w:bCs/>
          <w:sz w:val="32"/>
          <w:szCs w:val="32"/>
        </w:rPr>
        <w:t>1.划定面积</w:t>
      </w:r>
    </w:p>
    <w:p w14:paraId="50C678A4">
      <w:pPr>
        <w:spacing w:line="600" w:lineRule="exact"/>
        <w:ind w:firstLine="640"/>
        <w:rPr>
          <w:rFonts w:ascii="仿宋_GB2312" w:eastAsia="仿宋_GB2312"/>
          <w:bCs/>
          <w:sz w:val="32"/>
          <w:szCs w:val="32"/>
        </w:rPr>
      </w:pPr>
      <w:r>
        <w:rPr>
          <w:rFonts w:hint="eastAsia" w:ascii="仿宋_GB2312" w:eastAsia="仿宋_GB2312"/>
          <w:bCs/>
          <w:sz w:val="32"/>
          <w:szCs w:val="32"/>
        </w:rPr>
        <w:t>落实《沂源县国土空间总体规划（</w:t>
      </w:r>
      <w:r>
        <w:rPr>
          <w:rFonts w:ascii="仿宋_GB2312" w:eastAsia="仿宋_GB2312"/>
          <w:bCs/>
          <w:sz w:val="32"/>
          <w:szCs w:val="32"/>
        </w:rPr>
        <w:t>2021-2035年）》确定的</w:t>
      </w:r>
      <w:r>
        <w:rPr>
          <w:rFonts w:hint="eastAsia" w:ascii="仿宋_GB2312" w:eastAsia="仿宋_GB2312"/>
          <w:bCs/>
          <w:sz w:val="32"/>
          <w:szCs w:val="32"/>
        </w:rPr>
        <w:t>生态保护红线任务要求，到2035年，张家坡镇生态保护红线面积不低于773.20公顷。</w:t>
      </w:r>
    </w:p>
    <w:p w14:paraId="2889CBD2">
      <w:pPr>
        <w:spacing w:line="600" w:lineRule="exact"/>
        <w:ind w:firstLine="640"/>
        <w:rPr>
          <w:rFonts w:ascii="仿宋_GB2312" w:eastAsia="仿宋_GB2312"/>
          <w:bCs/>
          <w:sz w:val="32"/>
          <w:szCs w:val="32"/>
        </w:rPr>
      </w:pPr>
      <w:r>
        <w:rPr>
          <w:rFonts w:hint="eastAsia" w:ascii="仿宋_GB2312" w:eastAsia="仿宋_GB2312"/>
          <w:bCs/>
          <w:sz w:val="32"/>
          <w:szCs w:val="32"/>
        </w:rPr>
        <w:t>2.管控要求</w:t>
      </w:r>
    </w:p>
    <w:p w14:paraId="268461DE">
      <w:pPr>
        <w:spacing w:line="600" w:lineRule="exact"/>
        <w:ind w:firstLine="640"/>
        <w:rPr>
          <w:rFonts w:ascii="仿宋_GB2312" w:eastAsia="仿宋_GB2312"/>
          <w:bCs/>
          <w:sz w:val="32"/>
          <w:szCs w:val="32"/>
        </w:rPr>
      </w:pPr>
      <w:r>
        <w:rPr>
          <w:rFonts w:hint="eastAsia" w:ascii="仿宋_GB2312" w:hAnsi="仿宋_GB2312" w:eastAsia="仿宋_GB2312" w:cs="仿宋_GB2312"/>
          <w:bCs/>
          <w:sz w:val="32"/>
          <w:szCs w:val="32"/>
        </w:rPr>
        <w:t>生态保护红线内自然保护地核心保护区外，禁止开发性、生产性建设活动，在符合法律法规的前提下，仅允许对生态功能不造成破坏的有限人为活动，自然保护地核心保护区原则上禁止人为活动</w:t>
      </w:r>
      <w:r>
        <w:rPr>
          <w:rFonts w:hint="eastAsia" w:ascii="仿宋_GB2312" w:eastAsia="仿宋_GB2312"/>
          <w:bCs/>
          <w:sz w:val="32"/>
          <w:szCs w:val="32"/>
        </w:rPr>
        <w:t>。</w:t>
      </w:r>
    </w:p>
    <w:p w14:paraId="33D9D3E1">
      <w:pPr>
        <w:numPr>
          <w:ilvl w:val="0"/>
          <w:numId w:val="7"/>
        </w:numPr>
        <w:spacing w:before="163" w:beforeLines="50" w:after="163" w:afterLines="50" w:line="600" w:lineRule="exact"/>
        <w:ind w:firstLine="640"/>
        <w:jc w:val="left"/>
        <w:rPr>
          <w:rFonts w:hAnsi="楷体"/>
          <w:sz w:val="32"/>
          <w:szCs w:val="32"/>
        </w:rPr>
      </w:pPr>
      <w:bookmarkStart w:id="63" w:name="_Toc20022"/>
      <w:bookmarkStart w:id="64" w:name="_Toc1071"/>
      <w:r>
        <w:rPr>
          <w:rFonts w:hint="eastAsia" w:hAnsi="楷体"/>
          <w:sz w:val="32"/>
          <w:szCs w:val="32"/>
        </w:rPr>
        <w:t>城镇开发边界</w:t>
      </w:r>
      <w:bookmarkEnd w:id="63"/>
      <w:bookmarkEnd w:id="64"/>
      <w:r>
        <w:rPr>
          <w:rFonts w:hint="eastAsia" w:hAnsi="楷体"/>
          <w:sz w:val="32"/>
          <w:szCs w:val="32"/>
        </w:rPr>
        <w:t>划定和管控</w:t>
      </w:r>
    </w:p>
    <w:p w14:paraId="5C79C06A">
      <w:pPr>
        <w:spacing w:line="600" w:lineRule="exact"/>
        <w:ind w:firstLine="640"/>
        <w:rPr>
          <w:rFonts w:ascii="仿宋_GB2312" w:eastAsia="仿宋_GB2312"/>
          <w:bCs/>
          <w:sz w:val="32"/>
          <w:szCs w:val="32"/>
        </w:rPr>
      </w:pPr>
      <w:r>
        <w:rPr>
          <w:rFonts w:hint="eastAsia" w:ascii="仿宋_GB2312" w:eastAsia="仿宋_GB2312"/>
          <w:bCs/>
          <w:sz w:val="32"/>
          <w:szCs w:val="32"/>
        </w:rPr>
        <w:t>1.划定面积</w:t>
      </w:r>
    </w:p>
    <w:p w14:paraId="4021667D">
      <w:pPr>
        <w:spacing w:line="600" w:lineRule="exact"/>
        <w:ind w:firstLine="640"/>
        <w:rPr>
          <w:rFonts w:ascii="仿宋_GB2312" w:eastAsia="仿宋_GB2312"/>
          <w:bCs/>
          <w:sz w:val="32"/>
          <w:szCs w:val="32"/>
        </w:rPr>
      </w:pPr>
      <w:r>
        <w:rPr>
          <w:rFonts w:hint="eastAsia" w:ascii="仿宋_GB2312" w:eastAsia="仿宋_GB2312"/>
          <w:bCs/>
          <w:sz w:val="32"/>
          <w:szCs w:val="32"/>
        </w:rPr>
        <w:t>落实《沂源县国土空间总体规划（</w:t>
      </w:r>
      <w:r>
        <w:rPr>
          <w:rFonts w:ascii="仿宋_GB2312" w:eastAsia="仿宋_GB2312"/>
          <w:bCs/>
          <w:sz w:val="32"/>
          <w:szCs w:val="32"/>
        </w:rPr>
        <w:t>2021-2035年）》确定的</w:t>
      </w:r>
      <w:r>
        <w:rPr>
          <w:rFonts w:hint="eastAsia" w:ascii="仿宋_GB2312" w:eastAsia="仿宋_GB2312"/>
          <w:bCs/>
          <w:sz w:val="32"/>
          <w:szCs w:val="32"/>
        </w:rPr>
        <w:t>城镇开发边界</w:t>
      </w:r>
      <w:r>
        <w:rPr>
          <w:rFonts w:ascii="仿宋_GB2312" w:eastAsia="仿宋_GB2312"/>
          <w:bCs/>
          <w:sz w:val="32"/>
          <w:szCs w:val="32"/>
        </w:rPr>
        <w:t>，</w:t>
      </w:r>
      <w:r>
        <w:rPr>
          <w:rFonts w:hint="eastAsia" w:ascii="仿宋_GB2312" w:eastAsia="仿宋_GB2312"/>
          <w:bCs/>
          <w:sz w:val="32"/>
          <w:szCs w:val="32"/>
        </w:rPr>
        <w:t>全</w:t>
      </w:r>
      <w:r>
        <w:rPr>
          <w:rFonts w:ascii="仿宋_GB2312" w:eastAsia="仿宋_GB2312"/>
          <w:bCs/>
          <w:sz w:val="32"/>
          <w:szCs w:val="32"/>
        </w:rPr>
        <w:t>镇城镇开发边界</w:t>
      </w:r>
      <w:r>
        <w:rPr>
          <w:rFonts w:hint="eastAsia" w:ascii="仿宋_GB2312" w:eastAsia="仿宋_GB2312"/>
          <w:bCs/>
          <w:sz w:val="32"/>
          <w:szCs w:val="32"/>
        </w:rPr>
        <w:t>面积控制在44.30</w:t>
      </w:r>
      <w:r>
        <w:rPr>
          <w:rFonts w:ascii="仿宋_GB2312" w:eastAsia="仿宋_GB2312"/>
          <w:bCs/>
          <w:sz w:val="32"/>
          <w:szCs w:val="32"/>
        </w:rPr>
        <w:t>公顷</w:t>
      </w:r>
      <w:r>
        <w:rPr>
          <w:rFonts w:hint="eastAsia" w:ascii="仿宋_GB2312" w:eastAsia="仿宋_GB2312"/>
          <w:bCs/>
          <w:sz w:val="32"/>
          <w:szCs w:val="32"/>
        </w:rPr>
        <w:t>。</w:t>
      </w:r>
    </w:p>
    <w:p w14:paraId="3A5B72D9">
      <w:pPr>
        <w:spacing w:line="600" w:lineRule="exact"/>
        <w:ind w:firstLine="640"/>
        <w:rPr>
          <w:rFonts w:ascii="仿宋_GB2312" w:eastAsia="仿宋_GB2312"/>
          <w:bCs/>
          <w:sz w:val="32"/>
          <w:szCs w:val="32"/>
        </w:rPr>
      </w:pPr>
      <w:r>
        <w:rPr>
          <w:rFonts w:hint="eastAsia" w:ascii="仿宋_GB2312" w:eastAsia="仿宋_GB2312"/>
          <w:bCs/>
          <w:sz w:val="32"/>
          <w:szCs w:val="32"/>
        </w:rPr>
        <w:t>2.管控要求</w:t>
      </w:r>
    </w:p>
    <w:p w14:paraId="38D576E0">
      <w:pPr>
        <w:spacing w:line="600" w:lineRule="exact"/>
        <w:ind w:firstLine="640"/>
        <w:rPr>
          <w:rFonts w:ascii="仿宋_GB2312" w:eastAsia="仿宋_GB2312"/>
          <w:bCs/>
          <w:sz w:val="32"/>
          <w:szCs w:val="32"/>
        </w:rPr>
      </w:pPr>
      <w:r>
        <w:rPr>
          <w:rFonts w:hint="eastAsia" w:ascii="仿宋_GB2312" w:eastAsia="仿宋_GB2312"/>
          <w:bCs/>
          <w:sz w:val="32"/>
          <w:szCs w:val="32"/>
        </w:rPr>
        <w:t>（1）城镇开发边界内实行“详细规划</w:t>
      </w:r>
      <w:r>
        <w:rPr>
          <w:rFonts w:ascii="仿宋_GB2312" w:eastAsia="仿宋_GB2312"/>
          <w:bCs/>
          <w:sz w:val="32"/>
          <w:szCs w:val="32"/>
        </w:rPr>
        <w:t>+规划许可”</w:t>
      </w:r>
      <w:r>
        <w:rPr>
          <w:rFonts w:hint="eastAsia" w:ascii="仿宋_GB2312" w:eastAsia="仿宋_GB2312"/>
          <w:bCs/>
          <w:sz w:val="32"/>
          <w:szCs w:val="32"/>
        </w:rPr>
        <w:t>的管制，</w:t>
      </w:r>
      <w:r>
        <w:rPr>
          <w:rFonts w:ascii="仿宋_GB2312" w:eastAsia="仿宋_GB2312"/>
          <w:bCs/>
          <w:sz w:val="32"/>
          <w:szCs w:val="32"/>
        </w:rPr>
        <w:t>新增建设用地指标优先用于保障重大项目和重大基础设施等空间需求。</w:t>
      </w:r>
    </w:p>
    <w:p w14:paraId="60DEC8B3">
      <w:pPr>
        <w:spacing w:line="600" w:lineRule="exact"/>
        <w:ind w:firstLine="640"/>
        <w:rPr>
          <w:rFonts w:ascii="仿宋_GB2312" w:eastAsia="仿宋_GB2312"/>
          <w:bCs/>
          <w:sz w:val="32"/>
          <w:szCs w:val="32"/>
        </w:rPr>
      </w:pPr>
      <w:r>
        <w:rPr>
          <w:rFonts w:hint="eastAsia" w:ascii="仿宋_GB2312" w:eastAsia="仿宋_GB2312"/>
          <w:bCs/>
          <w:sz w:val="32"/>
          <w:szCs w:val="32"/>
        </w:rPr>
        <w:t>（2）严格城镇开发边界外空间准入。城镇开发边界外不得进行城镇集中建设，不得设立各类开发区，原则上只能用于单独选址建设的市政、交通、水利、能源等线性工程，电力设施（变电站、塔基等）、通讯设施（基站等）、污水垃圾处理设施等点状设施，及监狱、军事、宗教、殡葬、特殊医疗、生态旅游、综合防灾、资源能源、战略储备等特殊类型建设项目。在城镇开发边界外进行建设的项目，应符合有关国土空间规划和用途管制要求，实行“详细规划</w:t>
      </w:r>
      <w:r>
        <w:rPr>
          <w:rFonts w:ascii="仿宋_GB2312" w:eastAsia="仿宋_GB2312"/>
          <w:bCs/>
          <w:sz w:val="32"/>
          <w:szCs w:val="32"/>
        </w:rPr>
        <w:t>+规划许可”和“约束指标+分区准入”管制方式</w:t>
      </w:r>
      <w:r>
        <w:rPr>
          <w:rFonts w:hint="eastAsia" w:ascii="仿宋_GB2312" w:eastAsia="仿宋_GB2312"/>
          <w:bCs/>
          <w:sz w:val="32"/>
          <w:szCs w:val="32"/>
        </w:rPr>
        <w:t>。严格管理城镇开发边界，不得以任何形式变相扩大城镇开发边界。</w:t>
      </w:r>
    </w:p>
    <w:p w14:paraId="4DA47C06">
      <w:pPr>
        <w:pStyle w:val="4"/>
        <w:spacing w:before="163" w:beforeLines="50" w:after="163" w:afterLines="50"/>
        <w:rPr>
          <w:rFonts w:ascii="黑体" w:hAnsi="黑体" w:eastAsia="黑体"/>
          <w:b w:val="0"/>
          <w:sz w:val="32"/>
        </w:rPr>
      </w:pPr>
      <w:bookmarkStart w:id="65" w:name="_Toc185960413"/>
      <w:r>
        <w:rPr>
          <w:rFonts w:hint="eastAsia" w:ascii="黑体" w:hAnsi="黑体" w:eastAsia="黑体"/>
          <w:b w:val="0"/>
          <w:sz w:val="32"/>
        </w:rPr>
        <w:t>总体格局</w:t>
      </w:r>
      <w:bookmarkEnd w:id="65"/>
    </w:p>
    <w:p w14:paraId="7DAA256F">
      <w:pPr>
        <w:numPr>
          <w:ilvl w:val="0"/>
          <w:numId w:val="7"/>
        </w:numPr>
        <w:spacing w:before="163" w:beforeLines="50" w:after="163" w:afterLines="50" w:line="600" w:lineRule="exact"/>
        <w:ind w:firstLine="640"/>
        <w:jc w:val="left"/>
        <w:rPr>
          <w:rFonts w:hAnsi="楷体"/>
          <w:sz w:val="32"/>
          <w:szCs w:val="32"/>
        </w:rPr>
      </w:pPr>
      <w:r>
        <w:rPr>
          <w:rFonts w:hint="eastAsia" w:hAnsi="楷体"/>
          <w:sz w:val="32"/>
          <w:szCs w:val="32"/>
        </w:rPr>
        <w:t>国土空间总体格局</w:t>
      </w:r>
    </w:p>
    <w:p w14:paraId="7366BA51">
      <w:pPr>
        <w:spacing w:line="600" w:lineRule="exact"/>
        <w:ind w:firstLine="640"/>
        <w:rPr>
          <w:rFonts w:ascii="仿宋_GB2312" w:eastAsia="仿宋_GB2312"/>
          <w:bCs/>
          <w:sz w:val="32"/>
          <w:szCs w:val="32"/>
        </w:rPr>
      </w:pPr>
      <w:r>
        <w:rPr>
          <w:rFonts w:hint="eastAsia" w:ascii="仿宋_GB2312" w:eastAsia="仿宋_GB2312"/>
          <w:bCs/>
          <w:sz w:val="32"/>
          <w:szCs w:val="32"/>
        </w:rPr>
        <w:t>以</w:t>
      </w:r>
      <w:r>
        <w:rPr>
          <w:rFonts w:ascii="仿宋_GB2312" w:eastAsia="仿宋_GB2312"/>
          <w:bCs/>
          <w:sz w:val="32"/>
          <w:szCs w:val="32"/>
        </w:rPr>
        <w:t>山水林田湖草整体保护格局为目标，以</w:t>
      </w:r>
      <w:r>
        <w:rPr>
          <w:rFonts w:hint="eastAsia" w:ascii="仿宋_GB2312" w:eastAsia="仿宋_GB2312"/>
          <w:bCs/>
          <w:sz w:val="32"/>
          <w:szCs w:val="32"/>
        </w:rPr>
        <w:t>张家坡镇的</w:t>
      </w:r>
      <w:r>
        <w:rPr>
          <w:rFonts w:ascii="仿宋_GB2312" w:eastAsia="仿宋_GB2312"/>
          <w:bCs/>
          <w:sz w:val="32"/>
          <w:szCs w:val="32"/>
        </w:rPr>
        <w:t>资源禀赋和经济社会发展趋势为基础，</w:t>
      </w:r>
      <w:r>
        <w:rPr>
          <w:rFonts w:hint="eastAsia" w:ascii="仿宋_GB2312" w:eastAsia="仿宋_GB2312"/>
          <w:bCs/>
          <w:sz w:val="32"/>
          <w:szCs w:val="32"/>
        </w:rPr>
        <w:t>落实国家级重点生态功能区发展要求，</w:t>
      </w:r>
      <w:r>
        <w:rPr>
          <w:rFonts w:ascii="仿宋_GB2312" w:eastAsia="仿宋_GB2312"/>
          <w:bCs/>
          <w:sz w:val="32"/>
          <w:szCs w:val="32"/>
        </w:rPr>
        <w:t>提出</w:t>
      </w:r>
      <w:r>
        <w:rPr>
          <w:rFonts w:hint="eastAsia" w:ascii="仿宋_GB2312" w:eastAsia="仿宋_GB2312"/>
          <w:bCs/>
          <w:sz w:val="32"/>
          <w:szCs w:val="32"/>
        </w:rPr>
        <w:t>张家坡镇的国土空间总体格局：“一核两轴三片区”。</w:t>
      </w:r>
    </w:p>
    <w:p w14:paraId="3383F61B">
      <w:pPr>
        <w:spacing w:line="600" w:lineRule="exact"/>
        <w:ind w:firstLine="640"/>
        <w:rPr>
          <w:rFonts w:ascii="仿宋_GB2312" w:eastAsia="仿宋_GB2312"/>
          <w:bCs/>
          <w:sz w:val="32"/>
          <w:szCs w:val="32"/>
        </w:rPr>
      </w:pPr>
      <w:r>
        <w:rPr>
          <w:rFonts w:ascii="仿宋_GB2312" w:eastAsia="仿宋_GB2312"/>
          <w:bCs/>
          <w:sz w:val="32"/>
          <w:szCs w:val="32"/>
        </w:rPr>
        <w:t>“</w:t>
      </w:r>
      <w:r>
        <w:rPr>
          <w:rFonts w:hint="eastAsia" w:ascii="仿宋_GB2312" w:eastAsia="仿宋_GB2312"/>
          <w:bCs/>
          <w:sz w:val="32"/>
          <w:szCs w:val="32"/>
        </w:rPr>
        <w:t>一核</w:t>
      </w:r>
      <w:r>
        <w:rPr>
          <w:rFonts w:ascii="仿宋_GB2312" w:eastAsia="仿宋_GB2312"/>
          <w:bCs/>
          <w:sz w:val="32"/>
          <w:szCs w:val="32"/>
        </w:rPr>
        <w:t>”</w:t>
      </w:r>
      <w:r>
        <w:rPr>
          <w:rFonts w:hint="eastAsia" w:ascii="仿宋_GB2312" w:eastAsia="仿宋_GB2312"/>
          <w:bCs/>
          <w:sz w:val="32"/>
          <w:szCs w:val="32"/>
        </w:rPr>
        <w:t>指城镇发展核，以城镇开发边界范围为镇域综合发展核心，增强城镇集聚水平、公共服务水平和人口承载能力，提升城镇品质建设和风貌营造。</w:t>
      </w:r>
    </w:p>
    <w:p w14:paraId="629776E4">
      <w:pPr>
        <w:spacing w:line="600" w:lineRule="exact"/>
        <w:ind w:firstLine="640"/>
        <w:rPr>
          <w:rFonts w:ascii="仿宋_GB2312" w:eastAsia="仿宋_GB2312"/>
          <w:bCs/>
          <w:sz w:val="32"/>
          <w:szCs w:val="32"/>
        </w:rPr>
      </w:pPr>
      <w:r>
        <w:rPr>
          <w:rFonts w:ascii="仿宋_GB2312" w:eastAsia="仿宋_GB2312"/>
          <w:bCs/>
          <w:sz w:val="32"/>
          <w:szCs w:val="32"/>
        </w:rPr>
        <w:t>“</w:t>
      </w:r>
      <w:r>
        <w:rPr>
          <w:rFonts w:hint="eastAsia" w:ascii="仿宋_GB2312" w:eastAsia="仿宋_GB2312"/>
          <w:bCs/>
          <w:sz w:val="32"/>
          <w:szCs w:val="32"/>
        </w:rPr>
        <w:t>两轴</w:t>
      </w:r>
      <w:r>
        <w:rPr>
          <w:rFonts w:ascii="仿宋_GB2312" w:eastAsia="仿宋_GB2312"/>
          <w:bCs/>
          <w:sz w:val="32"/>
          <w:szCs w:val="32"/>
        </w:rPr>
        <w:t>”</w:t>
      </w:r>
      <w:r>
        <w:rPr>
          <w:rFonts w:hint="eastAsia" w:ascii="仿宋_GB2312" w:eastAsia="仿宋_GB2312"/>
          <w:bCs/>
          <w:sz w:val="32"/>
          <w:szCs w:val="32"/>
        </w:rPr>
        <w:t>指以省道沂邳线作为城镇交通发展轴，以九东路和红水河沿线构建的城镇景观发展轴。</w:t>
      </w:r>
    </w:p>
    <w:p w14:paraId="0886A1D8">
      <w:pPr>
        <w:spacing w:line="600" w:lineRule="exact"/>
        <w:ind w:firstLine="640"/>
        <w:rPr>
          <w:rFonts w:ascii="仿宋_GB2312" w:eastAsia="仿宋_GB2312"/>
          <w:bCs/>
          <w:sz w:val="32"/>
          <w:szCs w:val="32"/>
        </w:rPr>
      </w:pPr>
      <w:r>
        <w:rPr>
          <w:rFonts w:ascii="仿宋_GB2312" w:eastAsia="仿宋_GB2312"/>
          <w:bCs/>
          <w:sz w:val="32"/>
          <w:szCs w:val="32"/>
        </w:rPr>
        <w:t>“</w:t>
      </w:r>
      <w:r>
        <w:rPr>
          <w:rFonts w:hint="eastAsia" w:ascii="仿宋_GB2312" w:eastAsia="仿宋_GB2312"/>
          <w:bCs/>
          <w:sz w:val="32"/>
          <w:szCs w:val="32"/>
        </w:rPr>
        <w:t>三片区</w:t>
      </w:r>
      <w:r>
        <w:rPr>
          <w:rFonts w:ascii="仿宋_GB2312" w:eastAsia="仿宋_GB2312"/>
          <w:bCs/>
          <w:sz w:val="32"/>
          <w:szCs w:val="32"/>
        </w:rPr>
        <w:t>”分别</w:t>
      </w:r>
      <w:r>
        <w:rPr>
          <w:rFonts w:hint="eastAsia" w:ascii="仿宋_GB2312" w:eastAsia="仿宋_GB2312"/>
          <w:bCs/>
          <w:sz w:val="32"/>
          <w:szCs w:val="32"/>
        </w:rPr>
        <w:t>城镇综合发展片区、清洁能源发展片区，文体旅融合发展片区。</w:t>
      </w:r>
    </w:p>
    <w:p w14:paraId="76AA3D48">
      <w:pPr>
        <w:pStyle w:val="4"/>
        <w:spacing w:before="163" w:beforeLines="50" w:after="163" w:afterLines="50"/>
        <w:rPr>
          <w:rFonts w:ascii="黑体" w:hAnsi="黑体" w:eastAsia="黑体"/>
          <w:b w:val="0"/>
          <w:sz w:val="32"/>
        </w:rPr>
      </w:pPr>
      <w:bookmarkStart w:id="66" w:name="_Toc185960415"/>
      <w:r>
        <w:rPr>
          <w:rFonts w:hint="eastAsia" w:ascii="黑体" w:hAnsi="黑体" w:eastAsia="黑体"/>
          <w:b w:val="0"/>
          <w:sz w:val="32"/>
        </w:rPr>
        <w:t>规划分区</w:t>
      </w:r>
      <w:bookmarkEnd w:id="66"/>
    </w:p>
    <w:p w14:paraId="1AD0393F">
      <w:pPr>
        <w:spacing w:line="600" w:lineRule="exact"/>
        <w:ind w:firstLine="640"/>
        <w:rPr>
          <w:rFonts w:ascii="仿宋_GB2312" w:eastAsia="仿宋_GB2312"/>
          <w:bCs/>
          <w:sz w:val="32"/>
          <w:szCs w:val="32"/>
        </w:rPr>
      </w:pPr>
      <w:r>
        <w:rPr>
          <w:rFonts w:hint="eastAsia" w:ascii="仿宋_GB2312" w:eastAsia="仿宋_GB2312"/>
          <w:bCs/>
          <w:sz w:val="32"/>
          <w:szCs w:val="32"/>
        </w:rPr>
        <w:t>镇域国土空间规划分区按一级类分为生态保护区、生态控制区、农田保护区、城镇发展区、乡村发展区</w:t>
      </w:r>
      <w:r>
        <w:rPr>
          <w:rFonts w:ascii="仿宋_GB2312" w:eastAsia="仿宋_GB2312"/>
          <w:bCs/>
          <w:sz w:val="32"/>
          <w:szCs w:val="32"/>
        </w:rPr>
        <w:t>5类分区，各分区不交叉、不重叠，实现全域覆盖</w:t>
      </w:r>
      <w:r>
        <w:rPr>
          <w:rFonts w:hint="eastAsia" w:ascii="仿宋_GB2312" w:eastAsia="仿宋_GB2312"/>
          <w:bCs/>
          <w:sz w:val="32"/>
          <w:szCs w:val="32"/>
        </w:rPr>
        <w:t>。</w:t>
      </w:r>
    </w:p>
    <w:p w14:paraId="4FC7A2DE">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生态保护区</w:t>
      </w:r>
    </w:p>
    <w:p w14:paraId="6EAD9A67">
      <w:pPr>
        <w:spacing w:line="600" w:lineRule="exact"/>
        <w:ind w:firstLine="640"/>
        <w:rPr>
          <w:rFonts w:ascii="仿宋_GB2312" w:eastAsia="仿宋_GB2312"/>
          <w:bCs/>
          <w:sz w:val="32"/>
          <w:szCs w:val="32"/>
        </w:rPr>
      </w:pPr>
      <w:r>
        <w:rPr>
          <w:rFonts w:hint="eastAsia" w:ascii="仿宋_GB2312" w:eastAsia="仿宋_GB2312"/>
          <w:bCs/>
          <w:sz w:val="32"/>
          <w:szCs w:val="32"/>
        </w:rPr>
        <w:t>生态保护区主要包括镇域生态保护红线内自然保护地、重要河流及重要公益林分布区域，总面积为773.20公顷，主要用途为林地、草地等。</w:t>
      </w:r>
    </w:p>
    <w:p w14:paraId="0D1D61ED">
      <w:pPr>
        <w:spacing w:line="600" w:lineRule="exact"/>
        <w:ind w:firstLine="640"/>
        <w:rPr>
          <w:rFonts w:ascii="仿宋_GB2312" w:eastAsia="仿宋_GB2312"/>
          <w:bCs/>
          <w:sz w:val="32"/>
          <w:szCs w:val="32"/>
        </w:rPr>
      </w:pPr>
      <w:r>
        <w:rPr>
          <w:rFonts w:hint="eastAsia" w:ascii="仿宋_GB2312" w:eastAsia="仿宋_GB2312"/>
          <w:bCs/>
          <w:sz w:val="32"/>
          <w:szCs w:val="32"/>
        </w:rPr>
        <w:t>管控要求：该区域具有重要生态功能，必须严格遵守生态保护红线管理有关规定。区内实行最严格的准入制度，严禁任何不符合主体功能定位的开发活动，任何单位和个人不得擅自占用或改变原国土用途。区内原有的村庄、工矿等用地，应严格控制建设行为的扩展并应根据实际发展需要逐步引导退出。</w:t>
      </w:r>
    </w:p>
    <w:p w14:paraId="6E410CBB">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生态控制区</w:t>
      </w:r>
    </w:p>
    <w:p w14:paraId="2D2C4C0E">
      <w:pPr>
        <w:spacing w:line="600" w:lineRule="exact"/>
        <w:ind w:firstLine="640"/>
        <w:rPr>
          <w:rFonts w:ascii="仿宋_GB2312" w:eastAsia="仿宋_GB2312"/>
          <w:bCs/>
          <w:sz w:val="32"/>
          <w:szCs w:val="32"/>
        </w:rPr>
      </w:pPr>
      <w:r>
        <w:rPr>
          <w:rFonts w:hint="eastAsia" w:ascii="仿宋_GB2312" w:eastAsia="仿宋_GB2312"/>
          <w:bCs/>
          <w:sz w:val="32"/>
          <w:szCs w:val="32"/>
        </w:rPr>
        <w:t>空间分布：主要包括生态保护红线外具有生态控制价值的片区，总面积为156.59公顷，主要用途为林地、草地、河流水面、水库水面等。</w:t>
      </w:r>
    </w:p>
    <w:p w14:paraId="22DC40CD">
      <w:pPr>
        <w:spacing w:line="600" w:lineRule="exact"/>
        <w:ind w:firstLine="640"/>
        <w:rPr>
          <w:rFonts w:ascii="仿宋_GB2312" w:eastAsia="仿宋_GB2312"/>
          <w:bCs/>
          <w:sz w:val="32"/>
          <w:szCs w:val="32"/>
        </w:rPr>
      </w:pPr>
      <w:r>
        <w:rPr>
          <w:rFonts w:hint="eastAsia" w:ascii="仿宋_GB2312" w:eastAsia="仿宋_GB2312"/>
          <w:bCs/>
          <w:sz w:val="32"/>
          <w:szCs w:val="32"/>
        </w:rPr>
        <w:t>管控要求：该区域是生态保护区外，需要保留原貌、强化生态保育和生态建设、限制开发建设的自然区域。本区域以保护为主，按照限制开发的要求进行管理，在不降低生态功能、不破坏生态系统的前提下，依据国土空间规划、相关法定程序和管制规则，允许适度开发利用。</w:t>
      </w:r>
    </w:p>
    <w:p w14:paraId="086F3FF3">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农田保护区</w:t>
      </w:r>
    </w:p>
    <w:p w14:paraId="7437AAA6">
      <w:pPr>
        <w:spacing w:line="600" w:lineRule="exact"/>
        <w:ind w:firstLine="640"/>
        <w:rPr>
          <w:rFonts w:ascii="仿宋_GB2312" w:eastAsia="仿宋_GB2312"/>
          <w:bCs/>
          <w:sz w:val="32"/>
          <w:szCs w:val="32"/>
        </w:rPr>
      </w:pPr>
      <w:r>
        <w:rPr>
          <w:rFonts w:hint="eastAsia" w:ascii="仿宋_GB2312" w:eastAsia="仿宋_GB2312"/>
          <w:bCs/>
          <w:sz w:val="32"/>
          <w:szCs w:val="32"/>
        </w:rPr>
        <w:t>空间分布：包括镇域内永久基本农田相对集中的区域，总面积为</w:t>
      </w:r>
      <w:r>
        <w:rPr>
          <w:rFonts w:hint="eastAsia" w:ascii="仿宋_GB2312" w:hAnsi="仿宋_GB2312" w:eastAsia="仿宋_GB2312" w:cs="仿宋_GB2312"/>
          <w:bCs/>
          <w:sz w:val="32"/>
          <w:szCs w:val="32"/>
        </w:rPr>
        <w:t>416.72公顷，主要用途为耕地</w:t>
      </w:r>
      <w:r>
        <w:rPr>
          <w:rFonts w:hint="eastAsia" w:ascii="仿宋_GB2312" w:eastAsia="仿宋_GB2312"/>
          <w:bCs/>
          <w:sz w:val="32"/>
          <w:szCs w:val="32"/>
        </w:rPr>
        <w:t>。</w:t>
      </w:r>
    </w:p>
    <w:p w14:paraId="30C1C568">
      <w:pPr>
        <w:spacing w:line="600" w:lineRule="exact"/>
        <w:ind w:firstLine="640"/>
        <w:rPr>
          <w:rFonts w:ascii="仿宋_GB2312" w:eastAsia="仿宋_GB2312"/>
          <w:bCs/>
          <w:sz w:val="32"/>
          <w:szCs w:val="32"/>
        </w:rPr>
      </w:pPr>
      <w:r>
        <w:rPr>
          <w:rFonts w:hint="eastAsia" w:ascii="仿宋_GB2312" w:eastAsia="仿宋_GB2312"/>
          <w:bCs/>
          <w:sz w:val="32"/>
          <w:szCs w:val="32"/>
        </w:rPr>
        <w:t>管控要求：该区域是永久基本农田分布集中度较高、优质耕地占比较大、需要重点保护的区域。按照永久基本农田保护的相关法律法规，从严管控非农建设占用永久基本农田，为实施国家重大交通、能源、水利及军事用地，经批准占用永久基本农田的，原则上分区不做调整；禁止破坏、污染和撂荒区内耕地，禁止一切破坏永久基本农田的活动。</w:t>
      </w:r>
    </w:p>
    <w:p w14:paraId="23CD0A4E">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城镇发展区</w:t>
      </w:r>
    </w:p>
    <w:p w14:paraId="6C39BA59">
      <w:pPr>
        <w:spacing w:line="600" w:lineRule="exact"/>
        <w:ind w:firstLine="640"/>
        <w:rPr>
          <w:rFonts w:ascii="仿宋_GB2312" w:eastAsia="仿宋_GB2312"/>
          <w:bCs/>
          <w:sz w:val="32"/>
          <w:szCs w:val="32"/>
        </w:rPr>
      </w:pPr>
      <w:r>
        <w:rPr>
          <w:rFonts w:hint="eastAsia" w:ascii="仿宋_GB2312" w:eastAsia="仿宋_GB2312"/>
          <w:bCs/>
          <w:sz w:val="32"/>
          <w:szCs w:val="32"/>
        </w:rPr>
        <w:t>城镇发展区为城镇开发边界用地，总面积为44.30</w:t>
      </w:r>
      <w:r>
        <w:rPr>
          <w:rFonts w:ascii="仿宋_GB2312" w:eastAsia="仿宋_GB2312"/>
          <w:bCs/>
          <w:sz w:val="32"/>
          <w:szCs w:val="32"/>
        </w:rPr>
        <w:t>公顷，主要用于城镇建设。</w:t>
      </w:r>
      <w:r>
        <w:rPr>
          <w:rFonts w:hint="eastAsia" w:ascii="仿宋_GB2312" w:eastAsia="仿宋_GB2312"/>
          <w:bCs/>
          <w:sz w:val="32"/>
          <w:szCs w:val="32"/>
        </w:rPr>
        <w:t>张家坡镇</w:t>
      </w:r>
      <w:r>
        <w:rPr>
          <w:rFonts w:ascii="仿宋_GB2312" w:eastAsia="仿宋_GB2312"/>
          <w:bCs/>
          <w:sz w:val="32"/>
          <w:szCs w:val="32"/>
        </w:rPr>
        <w:t>城镇开发边界内全部为城镇集中建设区，可划分为居住生活区、综合服务区、商业服务区、工业发展区、物流仓储区、绿地休闲区。区域内应优化建设用地布局，以内涵挖潜为主，开发建设应优先利用现有建设用地、闲置地和废弃地，鼓励城市更新；区内农用地在批准改变用途前，应当按原用途使用；应当加强对水体保护线、绿地系统线、基础设施建设控制线、历史文化保护线的协同管控</w:t>
      </w:r>
      <w:r>
        <w:rPr>
          <w:rFonts w:hint="eastAsia" w:ascii="仿宋_GB2312" w:eastAsia="仿宋_GB2312"/>
          <w:bCs/>
          <w:sz w:val="32"/>
          <w:szCs w:val="32"/>
        </w:rPr>
        <w:t>。</w:t>
      </w:r>
    </w:p>
    <w:p w14:paraId="207430DC">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乡村发展区</w:t>
      </w:r>
    </w:p>
    <w:p w14:paraId="57F8DDE0">
      <w:pPr>
        <w:spacing w:line="600" w:lineRule="exact"/>
        <w:ind w:firstLine="640"/>
        <w:rPr>
          <w:rFonts w:ascii="仿宋_GB2312" w:eastAsia="仿宋_GB2312"/>
          <w:sz w:val="32"/>
          <w:szCs w:val="32"/>
        </w:rPr>
      </w:pPr>
      <w:r>
        <w:rPr>
          <w:rFonts w:hint="eastAsia" w:ascii="仿宋_GB2312" w:eastAsia="仿宋_GB2312"/>
          <w:sz w:val="32"/>
          <w:szCs w:val="32"/>
        </w:rPr>
        <w:t>乡村发展区主要分布在城镇发展区及农田保护区周边，</w:t>
      </w:r>
      <w:r>
        <w:rPr>
          <w:rFonts w:hint="eastAsia" w:ascii="仿宋_GB2312" w:hAnsi="仿宋_GB2312" w:eastAsia="仿宋_GB2312" w:cs="仿宋_GB2312"/>
          <w:sz w:val="32"/>
          <w:szCs w:val="32"/>
        </w:rPr>
        <w:t>总面积为7931.17公顷。</w:t>
      </w:r>
      <w:r>
        <w:rPr>
          <w:rFonts w:hint="eastAsia" w:ascii="仿宋_GB2312" w:eastAsia="仿宋_GB2312"/>
          <w:sz w:val="32"/>
          <w:szCs w:val="32"/>
        </w:rPr>
        <w:t>乡村发展区内应推动乡村特色产业发展和农村人居环境改善，严禁集中连片的城镇开发建设。该区域是农田保护区外，满足农业和旅游等乡村特色产业发展，允许配套生产生活设施和农民集中居住的乡村区域。应以促进农业和乡村特色产业发展、改善农民生产生活条件为导向，统筹协调村庄建设和生态保护。保障农业和乡村特色产业发展及其配套设施建设，以及为改善农村人居环境而进行的村庄建设与整治。</w:t>
      </w:r>
    </w:p>
    <w:p w14:paraId="620B4A66">
      <w:pPr>
        <w:spacing w:line="600" w:lineRule="exact"/>
        <w:ind w:firstLine="640"/>
        <w:rPr>
          <w:rFonts w:ascii="仿宋_GB2312" w:eastAsia="仿宋_GB2312"/>
          <w:bCs/>
          <w:sz w:val="32"/>
          <w:szCs w:val="32"/>
        </w:rPr>
      </w:pPr>
      <w:r>
        <w:rPr>
          <w:rFonts w:hint="eastAsia" w:ascii="仿宋_GB2312" w:eastAsia="仿宋_GB2312"/>
          <w:bCs/>
          <w:sz w:val="32"/>
          <w:szCs w:val="32"/>
        </w:rPr>
        <w:t>张家坡镇乡村发展区可划分为村庄建设区、一般农业区和林业发展区三个二级分区。村庄建设区面积为688.73</w:t>
      </w:r>
      <w:r>
        <w:rPr>
          <w:rFonts w:ascii="仿宋_GB2312" w:eastAsia="仿宋_GB2312"/>
          <w:bCs/>
          <w:sz w:val="32"/>
          <w:szCs w:val="32"/>
        </w:rPr>
        <w:t>公顷</w:t>
      </w:r>
      <w:r>
        <w:rPr>
          <w:rFonts w:hint="eastAsia" w:ascii="仿宋_GB2312" w:eastAsia="仿宋_GB2312"/>
          <w:bCs/>
          <w:sz w:val="32"/>
          <w:szCs w:val="32"/>
        </w:rPr>
        <w:t>（包含城镇开发边界内村庄的村庄建设用地以及区域基础设施用地、特殊用地等）</w:t>
      </w:r>
      <w:r>
        <w:rPr>
          <w:rFonts w:ascii="仿宋_GB2312" w:eastAsia="仿宋_GB2312"/>
          <w:bCs/>
          <w:sz w:val="32"/>
          <w:szCs w:val="32"/>
        </w:rPr>
        <w:t>，主要用途为村庄建设用地</w:t>
      </w:r>
      <w:r>
        <w:rPr>
          <w:rFonts w:hint="eastAsia" w:ascii="仿宋_GB2312" w:eastAsia="仿宋_GB2312"/>
          <w:bCs/>
          <w:sz w:val="32"/>
          <w:szCs w:val="32"/>
        </w:rPr>
        <w:t>；</w:t>
      </w:r>
      <w:r>
        <w:rPr>
          <w:rFonts w:ascii="仿宋_GB2312" w:eastAsia="仿宋_GB2312"/>
          <w:bCs/>
          <w:sz w:val="32"/>
          <w:szCs w:val="32"/>
        </w:rPr>
        <w:t>一般农业区面积为</w:t>
      </w:r>
      <w:r>
        <w:rPr>
          <w:rFonts w:hint="eastAsia" w:ascii="仿宋_GB2312" w:eastAsia="仿宋_GB2312"/>
          <w:bCs/>
          <w:sz w:val="32"/>
          <w:szCs w:val="32"/>
        </w:rPr>
        <w:t>5280.83</w:t>
      </w:r>
      <w:r>
        <w:rPr>
          <w:rFonts w:ascii="仿宋_GB2312" w:eastAsia="仿宋_GB2312"/>
          <w:bCs/>
          <w:sz w:val="32"/>
          <w:szCs w:val="32"/>
        </w:rPr>
        <w:t>公顷，主要用途为耕地、园地、</w:t>
      </w:r>
      <w:r>
        <w:rPr>
          <w:rFonts w:hint="eastAsia" w:ascii="仿宋_GB2312" w:eastAsia="仿宋_GB2312"/>
          <w:bCs/>
          <w:sz w:val="32"/>
          <w:szCs w:val="32"/>
        </w:rPr>
        <w:t>沟渠</w:t>
      </w:r>
      <w:r>
        <w:rPr>
          <w:rFonts w:ascii="仿宋_GB2312" w:eastAsia="仿宋_GB2312"/>
          <w:bCs/>
          <w:sz w:val="32"/>
          <w:szCs w:val="32"/>
        </w:rPr>
        <w:t>、</w:t>
      </w:r>
      <w:r>
        <w:rPr>
          <w:rFonts w:hint="eastAsia" w:ascii="仿宋_GB2312" w:eastAsia="仿宋_GB2312"/>
          <w:bCs/>
          <w:sz w:val="32"/>
          <w:szCs w:val="32"/>
        </w:rPr>
        <w:t>草地</w:t>
      </w:r>
      <w:r>
        <w:rPr>
          <w:rFonts w:ascii="仿宋_GB2312" w:eastAsia="仿宋_GB2312"/>
          <w:bCs/>
          <w:sz w:val="32"/>
          <w:szCs w:val="32"/>
        </w:rPr>
        <w:t>、农业设施建设用地等</w:t>
      </w:r>
      <w:r>
        <w:rPr>
          <w:rFonts w:hint="eastAsia" w:ascii="仿宋_GB2312" w:eastAsia="仿宋_GB2312"/>
          <w:bCs/>
          <w:sz w:val="32"/>
          <w:szCs w:val="32"/>
        </w:rPr>
        <w:t>；林业发展区面积1961.61公顷，</w:t>
      </w:r>
      <w:r>
        <w:rPr>
          <w:rFonts w:ascii="仿宋_GB2312" w:eastAsia="仿宋_GB2312"/>
          <w:bCs/>
          <w:sz w:val="32"/>
          <w:szCs w:val="32"/>
        </w:rPr>
        <w:t>主要用途为</w:t>
      </w:r>
      <w:r>
        <w:rPr>
          <w:rFonts w:hint="eastAsia" w:ascii="仿宋_GB2312" w:eastAsia="仿宋_GB2312"/>
          <w:bCs/>
          <w:sz w:val="32"/>
          <w:szCs w:val="32"/>
        </w:rPr>
        <w:t>林地。</w:t>
      </w:r>
    </w:p>
    <w:p w14:paraId="171D696D">
      <w:pPr>
        <w:pStyle w:val="3"/>
        <w:spacing w:before="326" w:after="326" w:afterLines="100"/>
        <w:rPr>
          <w:rFonts w:ascii="方正小标宋简体" w:eastAsia="方正小标宋简体"/>
          <w:b w:val="0"/>
          <w:sz w:val="36"/>
          <w:szCs w:val="36"/>
        </w:rPr>
      </w:pPr>
      <w:bookmarkStart w:id="67" w:name="_Toc24584"/>
      <w:bookmarkStart w:id="68" w:name="_Toc26256"/>
      <w:bookmarkStart w:id="69" w:name="_Toc5921"/>
      <w:bookmarkStart w:id="70" w:name="_Toc24956"/>
      <w:bookmarkStart w:id="71" w:name="_Toc4755"/>
      <w:bookmarkStart w:id="72" w:name="_Toc20955"/>
      <w:bookmarkStart w:id="73" w:name="_Hlk86909194"/>
      <w:r>
        <w:rPr>
          <w:rFonts w:hint="eastAsia" w:ascii="方正小标宋简体" w:eastAsia="方正小标宋简体"/>
          <w:b w:val="0"/>
          <w:sz w:val="36"/>
          <w:szCs w:val="36"/>
        </w:rPr>
        <w:t>强化支撑保障</w:t>
      </w:r>
      <w:bookmarkEnd w:id="67"/>
      <w:bookmarkEnd w:id="68"/>
      <w:bookmarkEnd w:id="69"/>
      <w:bookmarkEnd w:id="70"/>
      <w:bookmarkEnd w:id="71"/>
      <w:bookmarkEnd w:id="72"/>
    </w:p>
    <w:p w14:paraId="2EE004DC">
      <w:pPr>
        <w:pStyle w:val="4"/>
        <w:spacing w:before="163" w:beforeLines="50" w:after="163" w:afterLines="50"/>
        <w:rPr>
          <w:rFonts w:hint="eastAsia" w:ascii="黑体" w:hAnsi="黑体" w:eastAsia="黑体"/>
          <w:b w:val="0"/>
          <w:sz w:val="32"/>
        </w:rPr>
      </w:pPr>
      <w:bookmarkStart w:id="74" w:name="_Toc28693"/>
      <w:bookmarkStart w:id="75" w:name="_Toc7311"/>
      <w:bookmarkStart w:id="76" w:name="_Toc23044"/>
      <w:bookmarkStart w:id="77" w:name="_Toc60"/>
      <w:bookmarkStart w:id="78" w:name="_Toc22827"/>
      <w:r>
        <w:rPr>
          <w:rFonts w:hint="eastAsia" w:ascii="黑体" w:hAnsi="黑体" w:eastAsia="黑体"/>
          <w:b w:val="0"/>
          <w:sz w:val="32"/>
        </w:rPr>
        <w:t>综合交通系统</w:t>
      </w:r>
      <w:bookmarkEnd w:id="74"/>
      <w:bookmarkEnd w:id="75"/>
      <w:bookmarkEnd w:id="76"/>
      <w:bookmarkEnd w:id="77"/>
      <w:bookmarkEnd w:id="78"/>
    </w:p>
    <w:p w14:paraId="3BBA5F87">
      <w:pPr>
        <w:numPr>
          <w:ilvl w:val="0"/>
          <w:numId w:val="7"/>
        </w:numPr>
        <w:spacing w:before="163" w:beforeLines="50" w:after="163" w:afterLines="50" w:line="600" w:lineRule="exact"/>
        <w:ind w:firstLine="640"/>
        <w:jc w:val="left"/>
        <w:rPr>
          <w:rFonts w:hAnsi="楷体"/>
          <w:sz w:val="32"/>
          <w:szCs w:val="32"/>
        </w:rPr>
      </w:pPr>
      <w:r>
        <w:rPr>
          <w:rFonts w:hint="eastAsia" w:hAnsi="楷体"/>
          <w:sz w:val="32"/>
          <w:szCs w:val="32"/>
        </w:rPr>
        <w:t>总体目标</w:t>
      </w:r>
    </w:p>
    <w:p w14:paraId="2E4487F5">
      <w:pPr>
        <w:spacing w:line="600" w:lineRule="exact"/>
        <w:ind w:firstLine="640"/>
        <w:rPr>
          <w:rFonts w:ascii="仿宋_GB2312" w:eastAsia="仿宋_GB2312"/>
          <w:bCs/>
          <w:sz w:val="32"/>
          <w:szCs w:val="32"/>
        </w:rPr>
      </w:pPr>
      <w:r>
        <w:rPr>
          <w:rFonts w:hint="eastAsia" w:ascii="仿宋_GB2312" w:eastAsia="仿宋_GB2312"/>
          <w:bCs/>
          <w:sz w:val="32"/>
          <w:szCs w:val="32"/>
        </w:rPr>
        <w:t>以补全区域交通体系、融入区域发展格局、提升在区域交通中的地位为发展思路，构建与张家坡镇功能定位、空间产业发展相匹配的综合交通体系。</w:t>
      </w:r>
    </w:p>
    <w:p w14:paraId="485B9F4E">
      <w:pPr>
        <w:numPr>
          <w:ilvl w:val="0"/>
          <w:numId w:val="7"/>
        </w:numPr>
        <w:spacing w:before="163" w:beforeLines="50" w:after="163" w:afterLines="50" w:line="600" w:lineRule="exact"/>
        <w:ind w:firstLine="640"/>
        <w:jc w:val="left"/>
        <w:rPr>
          <w:rFonts w:hAnsi="楷体"/>
          <w:sz w:val="32"/>
          <w:szCs w:val="32"/>
        </w:rPr>
      </w:pPr>
      <w:r>
        <w:rPr>
          <w:rFonts w:hint="eastAsia" w:hAnsi="楷体"/>
          <w:sz w:val="32"/>
          <w:szCs w:val="32"/>
        </w:rPr>
        <w:t>交通发展策略</w:t>
      </w:r>
    </w:p>
    <w:p w14:paraId="237197AF">
      <w:pPr>
        <w:spacing w:line="600" w:lineRule="exact"/>
        <w:ind w:firstLine="640"/>
        <w:rPr>
          <w:rFonts w:ascii="仿宋_GB2312" w:eastAsia="仿宋_GB2312"/>
          <w:bCs/>
          <w:sz w:val="32"/>
          <w:szCs w:val="32"/>
        </w:rPr>
      </w:pPr>
      <w:r>
        <w:rPr>
          <w:rFonts w:hint="eastAsia" w:ascii="仿宋_GB2312" w:eastAsia="仿宋_GB2312"/>
          <w:bCs/>
          <w:sz w:val="32"/>
          <w:szCs w:val="32"/>
        </w:rPr>
        <w:t>1.聚力共建</w:t>
      </w:r>
      <w:r>
        <w:rPr>
          <w:rFonts w:ascii="仿宋_GB2312" w:eastAsia="仿宋_GB2312"/>
          <w:bCs/>
          <w:sz w:val="32"/>
          <w:szCs w:val="32"/>
        </w:rPr>
        <w:t>通达的交通网络</w:t>
      </w:r>
    </w:p>
    <w:p w14:paraId="63E80A0C">
      <w:pPr>
        <w:spacing w:line="600" w:lineRule="exact"/>
        <w:ind w:firstLine="640"/>
        <w:rPr>
          <w:rFonts w:ascii="仿宋_GB2312" w:eastAsia="仿宋_GB2312"/>
          <w:bCs/>
          <w:sz w:val="32"/>
          <w:szCs w:val="32"/>
        </w:rPr>
      </w:pPr>
      <w:r>
        <w:rPr>
          <w:rFonts w:ascii="仿宋_GB2312" w:eastAsia="仿宋_GB2312"/>
          <w:bCs/>
          <w:sz w:val="32"/>
          <w:szCs w:val="32"/>
        </w:rPr>
        <w:t>发挥</w:t>
      </w:r>
      <w:r>
        <w:rPr>
          <w:rFonts w:hint="eastAsia" w:ascii="仿宋_GB2312" w:eastAsia="仿宋_GB2312"/>
          <w:bCs/>
          <w:sz w:val="32"/>
          <w:szCs w:val="32"/>
        </w:rPr>
        <w:t>张家坡镇</w:t>
      </w:r>
      <w:r>
        <w:rPr>
          <w:rFonts w:ascii="仿宋_GB2312" w:eastAsia="仿宋_GB2312"/>
          <w:bCs/>
          <w:sz w:val="32"/>
          <w:szCs w:val="32"/>
        </w:rPr>
        <w:t>的区位优势，提升</w:t>
      </w:r>
      <w:r>
        <w:rPr>
          <w:rFonts w:hint="eastAsia" w:ascii="仿宋_GB2312" w:eastAsia="仿宋_GB2312"/>
          <w:bCs/>
          <w:sz w:val="32"/>
          <w:szCs w:val="32"/>
        </w:rPr>
        <w:t>张家坡镇</w:t>
      </w:r>
      <w:r>
        <w:rPr>
          <w:rFonts w:ascii="仿宋_GB2312" w:eastAsia="仿宋_GB2312"/>
          <w:bCs/>
          <w:sz w:val="32"/>
          <w:szCs w:val="32"/>
        </w:rPr>
        <w:t>镇区域交通地位，</w:t>
      </w:r>
      <w:r>
        <w:rPr>
          <w:rFonts w:hint="eastAsia" w:ascii="仿宋_GB2312" w:eastAsia="仿宋_GB2312"/>
          <w:bCs/>
          <w:sz w:val="32"/>
          <w:szCs w:val="32"/>
        </w:rPr>
        <w:t>通过青兰高速公路的改扩建以及鲁中高铁的实施，无缝衔接国家及山东省主要交通通道。</w:t>
      </w:r>
    </w:p>
    <w:p w14:paraId="6DBB500E">
      <w:pPr>
        <w:spacing w:line="600" w:lineRule="exact"/>
        <w:ind w:firstLine="640"/>
        <w:rPr>
          <w:rFonts w:ascii="仿宋_GB2312" w:eastAsia="仿宋_GB2312"/>
          <w:bCs/>
          <w:sz w:val="32"/>
          <w:szCs w:val="32"/>
        </w:rPr>
      </w:pPr>
      <w:r>
        <w:rPr>
          <w:rFonts w:hint="eastAsia" w:ascii="仿宋_GB2312" w:eastAsia="仿宋_GB2312"/>
          <w:bCs/>
          <w:sz w:val="32"/>
          <w:szCs w:val="32"/>
        </w:rPr>
        <w:t>2.融入区域发展</w:t>
      </w:r>
    </w:p>
    <w:p w14:paraId="6C8D90B0">
      <w:pPr>
        <w:spacing w:line="600" w:lineRule="exact"/>
        <w:ind w:firstLine="640"/>
        <w:rPr>
          <w:rFonts w:ascii="仿宋_GB2312" w:eastAsia="仿宋_GB2312"/>
          <w:bCs/>
          <w:sz w:val="32"/>
          <w:szCs w:val="32"/>
        </w:rPr>
      </w:pPr>
      <w:r>
        <w:rPr>
          <w:rFonts w:hint="eastAsia" w:ascii="仿宋_GB2312" w:eastAsia="仿宋_GB2312"/>
          <w:bCs/>
          <w:sz w:val="32"/>
          <w:szCs w:val="32"/>
        </w:rPr>
        <w:t>充分对接临沂市沂水县、潍坊市临朐县与沂源县石桥镇和东里镇，强化与周边区域交通衔接的同时，注意加强与沂源县城的交通联系条件改善，把张家坡镇建设成为联动临沂市沂水县、潍坊市临朐县的交通枢纽之一。</w:t>
      </w:r>
    </w:p>
    <w:p w14:paraId="79D1847F">
      <w:pPr>
        <w:spacing w:line="600" w:lineRule="exact"/>
        <w:ind w:firstLine="640"/>
        <w:rPr>
          <w:rFonts w:ascii="仿宋_GB2312" w:eastAsia="仿宋_GB2312"/>
          <w:bCs/>
          <w:sz w:val="32"/>
          <w:szCs w:val="32"/>
        </w:rPr>
      </w:pPr>
      <w:r>
        <w:rPr>
          <w:rFonts w:hint="eastAsia" w:ascii="仿宋_GB2312" w:eastAsia="仿宋_GB2312"/>
          <w:bCs/>
          <w:sz w:val="32"/>
          <w:szCs w:val="32"/>
        </w:rPr>
        <w:t>3</w:t>
      </w:r>
      <w:r>
        <w:rPr>
          <w:rFonts w:ascii="仿宋_GB2312" w:eastAsia="仿宋_GB2312"/>
          <w:bCs/>
          <w:sz w:val="32"/>
          <w:szCs w:val="32"/>
        </w:rPr>
        <w:t>.构建分级公路网络</w:t>
      </w:r>
    </w:p>
    <w:p w14:paraId="2D45013A">
      <w:pPr>
        <w:spacing w:line="600" w:lineRule="exact"/>
        <w:ind w:firstLine="640"/>
        <w:rPr>
          <w:rFonts w:ascii="仿宋_GB2312" w:eastAsia="仿宋_GB2312"/>
          <w:bCs/>
          <w:sz w:val="32"/>
          <w:szCs w:val="32"/>
        </w:rPr>
      </w:pPr>
      <w:r>
        <w:rPr>
          <w:rFonts w:ascii="仿宋_GB2312" w:eastAsia="仿宋_GB2312"/>
          <w:bCs/>
          <w:sz w:val="32"/>
          <w:szCs w:val="32"/>
        </w:rPr>
        <w:t>完善交通体系建设，分层配置交通设施、优化运输结构。</w:t>
      </w:r>
    </w:p>
    <w:p w14:paraId="2422DBB3">
      <w:pPr>
        <w:spacing w:line="600" w:lineRule="exact"/>
        <w:ind w:firstLine="640"/>
        <w:rPr>
          <w:rFonts w:ascii="仿宋_GB2312" w:eastAsia="仿宋_GB2312"/>
          <w:bCs/>
          <w:sz w:val="32"/>
          <w:szCs w:val="32"/>
        </w:rPr>
      </w:pPr>
      <w:r>
        <w:rPr>
          <w:rFonts w:hint="eastAsia" w:ascii="仿宋_GB2312" w:eastAsia="仿宋_GB2312"/>
          <w:bCs/>
          <w:sz w:val="32"/>
          <w:szCs w:val="32"/>
        </w:rPr>
        <w:t>4.</w:t>
      </w:r>
      <w:r>
        <w:rPr>
          <w:rFonts w:ascii="仿宋_GB2312" w:eastAsia="仿宋_GB2312"/>
          <w:bCs/>
          <w:sz w:val="32"/>
          <w:szCs w:val="32"/>
        </w:rPr>
        <w:t>多措并举引导</w:t>
      </w:r>
      <w:r>
        <w:rPr>
          <w:rFonts w:hint="eastAsia" w:ascii="仿宋_GB2312" w:eastAsia="仿宋_GB2312"/>
          <w:bCs/>
          <w:sz w:val="32"/>
          <w:szCs w:val="32"/>
        </w:rPr>
        <w:t>镇区</w:t>
      </w:r>
      <w:r>
        <w:rPr>
          <w:rFonts w:ascii="仿宋_GB2312" w:eastAsia="仿宋_GB2312"/>
          <w:bCs/>
          <w:sz w:val="32"/>
          <w:szCs w:val="32"/>
        </w:rPr>
        <w:t>交通发展</w:t>
      </w:r>
    </w:p>
    <w:p w14:paraId="15FB1C8A">
      <w:pPr>
        <w:spacing w:line="600" w:lineRule="exact"/>
        <w:ind w:firstLine="640"/>
        <w:rPr>
          <w:rFonts w:ascii="仿宋_GB2312" w:eastAsia="仿宋_GB2312"/>
          <w:bCs/>
          <w:sz w:val="32"/>
          <w:szCs w:val="32"/>
        </w:rPr>
      </w:pPr>
      <w:r>
        <w:rPr>
          <w:rFonts w:ascii="仿宋_GB2312" w:eastAsia="仿宋_GB2312"/>
          <w:bCs/>
          <w:sz w:val="32"/>
          <w:szCs w:val="32"/>
        </w:rPr>
        <w:t>发挥交通引导作用，塑造空间—用地—交通协调发展格局。强化内外交通联系</w:t>
      </w:r>
      <w:r>
        <w:rPr>
          <w:rFonts w:hint="eastAsia" w:ascii="仿宋_GB2312" w:eastAsia="仿宋_GB2312"/>
          <w:bCs/>
          <w:sz w:val="32"/>
          <w:szCs w:val="32"/>
        </w:rPr>
        <w:t>，</w:t>
      </w:r>
      <w:r>
        <w:rPr>
          <w:rFonts w:ascii="仿宋_GB2312" w:eastAsia="仿宋_GB2312"/>
          <w:bCs/>
          <w:sz w:val="32"/>
          <w:szCs w:val="32"/>
        </w:rPr>
        <w:t>加强省道与镇区内路网联系</w:t>
      </w:r>
      <w:r>
        <w:rPr>
          <w:rFonts w:hint="eastAsia" w:ascii="仿宋_GB2312" w:eastAsia="仿宋_GB2312"/>
          <w:bCs/>
          <w:sz w:val="32"/>
          <w:szCs w:val="32"/>
        </w:rPr>
        <w:t>；</w:t>
      </w:r>
      <w:r>
        <w:rPr>
          <w:rFonts w:ascii="仿宋_GB2312" w:eastAsia="仿宋_GB2312"/>
          <w:bCs/>
          <w:sz w:val="32"/>
          <w:szCs w:val="32"/>
        </w:rPr>
        <w:t>优化慢行交通的出行环境。通过分区引导，创建舒适安全的慢行交通空间。实现差别化的路网控制。因地制宜规划路网和道路断面，差别化配置道路设施。</w:t>
      </w:r>
      <w:r>
        <w:rPr>
          <w:rFonts w:hint="eastAsia" w:ascii="仿宋_GB2312" w:eastAsia="仿宋_GB2312"/>
          <w:bCs/>
          <w:sz w:val="32"/>
          <w:szCs w:val="32"/>
        </w:rPr>
        <w:t>结合</w:t>
      </w:r>
      <w:r>
        <w:rPr>
          <w:rFonts w:ascii="仿宋_GB2312" w:eastAsia="仿宋_GB2312"/>
          <w:bCs/>
          <w:sz w:val="32"/>
          <w:szCs w:val="32"/>
        </w:rPr>
        <w:t>加强道路交通安全设施“三同时”工作意见，</w:t>
      </w:r>
      <w:r>
        <w:rPr>
          <w:rFonts w:hint="eastAsia" w:ascii="仿宋_GB2312" w:eastAsia="仿宋_GB2312"/>
          <w:bCs/>
          <w:sz w:val="32"/>
          <w:szCs w:val="32"/>
        </w:rPr>
        <w:t>对于</w:t>
      </w:r>
      <w:r>
        <w:rPr>
          <w:rFonts w:ascii="仿宋_GB2312" w:eastAsia="仿宋_GB2312"/>
          <w:bCs/>
          <w:sz w:val="32"/>
          <w:szCs w:val="32"/>
        </w:rPr>
        <w:t>新建、改建、扩建道路</w:t>
      </w:r>
      <w:r>
        <w:rPr>
          <w:rFonts w:hint="eastAsia" w:ascii="仿宋_GB2312" w:eastAsia="仿宋_GB2312"/>
          <w:bCs/>
          <w:sz w:val="32"/>
          <w:szCs w:val="32"/>
        </w:rPr>
        <w:t>做好</w:t>
      </w:r>
      <w:r>
        <w:rPr>
          <w:rFonts w:ascii="仿宋_GB2312" w:eastAsia="仿宋_GB2312"/>
          <w:bCs/>
          <w:sz w:val="32"/>
          <w:szCs w:val="32"/>
        </w:rPr>
        <w:t>“三同时”工作</w:t>
      </w:r>
      <w:r>
        <w:rPr>
          <w:rFonts w:hint="eastAsia" w:ascii="仿宋_GB2312" w:eastAsia="仿宋_GB2312"/>
          <w:bCs/>
          <w:sz w:val="32"/>
          <w:szCs w:val="32"/>
        </w:rPr>
        <w:t>，同时对重点项目做好交通影响评价工作。通过</w:t>
      </w:r>
      <w:r>
        <w:rPr>
          <w:rFonts w:ascii="仿宋_GB2312" w:eastAsia="仿宋_GB2312"/>
          <w:bCs/>
          <w:sz w:val="32"/>
          <w:szCs w:val="32"/>
        </w:rPr>
        <w:t>加密城镇开发边界范围内支路，引导提升整体结构，</w:t>
      </w:r>
      <w:r>
        <w:rPr>
          <w:rFonts w:hint="eastAsia" w:ascii="仿宋_GB2312" w:eastAsia="仿宋_GB2312"/>
          <w:bCs/>
          <w:sz w:val="32"/>
          <w:szCs w:val="32"/>
        </w:rPr>
        <w:t>优化内部道路交通组织</w:t>
      </w:r>
      <w:r>
        <w:rPr>
          <w:rFonts w:ascii="仿宋_GB2312" w:eastAsia="仿宋_GB2312"/>
          <w:bCs/>
          <w:sz w:val="32"/>
          <w:szCs w:val="32"/>
        </w:rPr>
        <w:t>。</w:t>
      </w:r>
      <w:r>
        <w:rPr>
          <w:rFonts w:hint="eastAsia" w:ascii="仿宋_GB2312" w:eastAsia="仿宋_GB2312"/>
          <w:bCs/>
          <w:sz w:val="32"/>
          <w:szCs w:val="32"/>
        </w:rPr>
        <w:t>提升道路与国省道、县乡道相交处合理设计并完善配套交通安全设施，景观绿植应矮化栽种，保障驾驶视野，预防和减少道路交通事故的发生。</w:t>
      </w:r>
    </w:p>
    <w:p w14:paraId="53BEB5CB">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高速公路网</w:t>
      </w:r>
    </w:p>
    <w:p w14:paraId="15738F72">
      <w:pPr>
        <w:spacing w:line="600" w:lineRule="exact"/>
        <w:ind w:firstLine="640"/>
        <w:rPr>
          <w:rFonts w:ascii="仿宋_GB2312" w:eastAsia="仿宋_GB2312"/>
          <w:bCs/>
          <w:sz w:val="32"/>
          <w:szCs w:val="32"/>
        </w:rPr>
      </w:pPr>
      <w:r>
        <w:rPr>
          <w:rFonts w:hint="eastAsia" w:ascii="仿宋_GB2312" w:eastAsia="仿宋_GB2312"/>
          <w:bCs/>
          <w:sz w:val="32"/>
          <w:szCs w:val="32"/>
        </w:rPr>
        <w:t>规划对青兰高速公路进行改扩建，提升高速公路通行能力。</w:t>
      </w:r>
    </w:p>
    <w:p w14:paraId="0BAB22B3">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铁路系统规划</w:t>
      </w:r>
    </w:p>
    <w:p w14:paraId="10D6E341">
      <w:pPr>
        <w:spacing w:line="600" w:lineRule="exact"/>
        <w:ind w:firstLine="640"/>
        <w:rPr>
          <w:rFonts w:ascii="仿宋_GB2312" w:eastAsia="仿宋_GB2312"/>
          <w:bCs/>
          <w:sz w:val="32"/>
          <w:szCs w:val="32"/>
        </w:rPr>
      </w:pPr>
      <w:r>
        <w:rPr>
          <w:rFonts w:hint="eastAsia" w:ascii="仿宋_GB2312" w:eastAsia="仿宋_GB2312"/>
          <w:bCs/>
          <w:sz w:val="32"/>
          <w:szCs w:val="32"/>
        </w:rPr>
        <w:t>远期预留鲁中高铁通道，进一步融入山东省铁路网络，提升与山东省其他城市以及省外其他城市的连接，提高对外的通达能力。</w:t>
      </w:r>
    </w:p>
    <w:p w14:paraId="5FF82A95">
      <w:pPr>
        <w:numPr>
          <w:ilvl w:val="0"/>
          <w:numId w:val="7"/>
        </w:numPr>
        <w:spacing w:before="163" w:beforeLines="50" w:after="163" w:afterLines="50" w:line="600" w:lineRule="exact"/>
        <w:ind w:firstLine="640"/>
        <w:jc w:val="left"/>
        <w:rPr>
          <w:rFonts w:hAnsi="楷体"/>
          <w:sz w:val="32"/>
          <w:szCs w:val="32"/>
        </w:rPr>
      </w:pPr>
      <w:r>
        <w:rPr>
          <w:rFonts w:hint="eastAsia" w:hAnsi="楷体"/>
          <w:sz w:val="32"/>
          <w:szCs w:val="32"/>
        </w:rPr>
        <w:t>公路网规划</w:t>
      </w:r>
    </w:p>
    <w:p w14:paraId="42D135F1">
      <w:pPr>
        <w:spacing w:line="600" w:lineRule="exact"/>
        <w:ind w:firstLine="640"/>
        <w:rPr>
          <w:rFonts w:ascii="仿宋_GB2312" w:eastAsia="仿宋_GB2312"/>
          <w:bCs/>
          <w:sz w:val="32"/>
          <w:szCs w:val="32"/>
        </w:rPr>
      </w:pPr>
      <w:r>
        <w:rPr>
          <w:rFonts w:hint="eastAsia" w:ascii="仿宋_GB2312" w:eastAsia="仿宋_GB2312"/>
          <w:bCs/>
          <w:sz w:val="32"/>
          <w:szCs w:val="32"/>
        </w:rPr>
        <w:t>建设简单高效的道路交通系统，形成“十字”骨架的公路交通网络。</w:t>
      </w:r>
    </w:p>
    <w:p w14:paraId="525D1E39">
      <w:pPr>
        <w:spacing w:line="600" w:lineRule="exact"/>
        <w:ind w:firstLine="640"/>
        <w:rPr>
          <w:rFonts w:ascii="仿宋_GB2312" w:eastAsia="仿宋_GB2312"/>
          <w:bCs/>
          <w:sz w:val="32"/>
          <w:szCs w:val="32"/>
        </w:rPr>
      </w:pPr>
      <w:r>
        <w:rPr>
          <w:rFonts w:hint="eastAsia" w:ascii="仿宋_GB2312" w:eastAsia="仿宋_GB2312"/>
          <w:bCs/>
          <w:sz w:val="32"/>
          <w:szCs w:val="32"/>
        </w:rPr>
        <w:t>“十字”：指</w:t>
      </w:r>
      <w:r>
        <w:rPr>
          <w:rFonts w:ascii="仿宋_GB2312" w:eastAsia="仿宋_GB2312"/>
          <w:bCs/>
          <w:sz w:val="32"/>
          <w:szCs w:val="32"/>
        </w:rPr>
        <w:t>S229沂邳线和九东路</w:t>
      </w:r>
      <w:r>
        <w:rPr>
          <w:rFonts w:hint="eastAsia" w:ascii="仿宋_GB2312" w:eastAsia="仿宋_GB2312"/>
          <w:bCs/>
          <w:sz w:val="32"/>
          <w:szCs w:val="32"/>
        </w:rPr>
        <w:t>。</w:t>
      </w:r>
    </w:p>
    <w:p w14:paraId="59FAF059">
      <w:pPr>
        <w:numPr>
          <w:ilvl w:val="0"/>
          <w:numId w:val="7"/>
        </w:numPr>
        <w:spacing w:before="163" w:beforeLines="50" w:after="163" w:afterLines="50" w:line="600" w:lineRule="exact"/>
        <w:ind w:firstLine="640"/>
        <w:jc w:val="left"/>
        <w:rPr>
          <w:rFonts w:hAnsi="楷体"/>
          <w:sz w:val="32"/>
          <w:szCs w:val="32"/>
        </w:rPr>
      </w:pPr>
      <w:r>
        <w:rPr>
          <w:rFonts w:hint="eastAsia" w:hAnsi="楷体"/>
          <w:sz w:val="32"/>
          <w:szCs w:val="32"/>
        </w:rPr>
        <w:t>城镇开发边界内道路网</w:t>
      </w:r>
    </w:p>
    <w:p w14:paraId="05E89CA8">
      <w:pPr>
        <w:spacing w:line="600" w:lineRule="exact"/>
        <w:ind w:firstLine="640"/>
        <w:rPr>
          <w:rFonts w:ascii="仿宋_GB2312" w:eastAsia="仿宋_GB2312"/>
          <w:bCs/>
          <w:sz w:val="32"/>
          <w:szCs w:val="32"/>
        </w:rPr>
      </w:pPr>
      <w:r>
        <w:rPr>
          <w:rFonts w:hint="eastAsia" w:ascii="仿宋_GB2312" w:eastAsia="仿宋_GB2312"/>
          <w:bCs/>
          <w:sz w:val="32"/>
          <w:szCs w:val="32"/>
        </w:rPr>
        <w:t>规划城镇开发边界范围路网将形成“十字骨架”的基本形态，实现东西南北贯穿的外围通道，片区内部规划支路路网格局，形成与城镇布局形态协调、道路功能层次分明的路网结构。</w:t>
      </w:r>
    </w:p>
    <w:p w14:paraId="7D06968D">
      <w:pPr>
        <w:spacing w:line="600" w:lineRule="exact"/>
        <w:ind w:firstLine="640"/>
        <w:rPr>
          <w:rFonts w:ascii="仿宋_GB2312" w:eastAsia="仿宋_GB2312"/>
          <w:bCs/>
          <w:sz w:val="32"/>
          <w:szCs w:val="32"/>
        </w:rPr>
      </w:pPr>
      <w:r>
        <w:rPr>
          <w:rFonts w:hint="eastAsia" w:ascii="仿宋_GB2312" w:eastAsia="仿宋_GB2312"/>
          <w:bCs/>
          <w:sz w:val="32"/>
          <w:szCs w:val="32"/>
        </w:rPr>
        <w:t>路网结构：城镇支路网形成“两横、</w:t>
      </w:r>
      <w:r>
        <w:rPr>
          <w:rFonts w:hint="eastAsia" w:ascii="宋体" w:hAnsi="宋体" w:eastAsia="宋体" w:cs="宋体"/>
          <w:bCs/>
          <w:sz w:val="32"/>
          <w:szCs w:val="32"/>
        </w:rPr>
        <w:t>两</w:t>
      </w:r>
      <w:r>
        <w:rPr>
          <w:rFonts w:hint="eastAsia" w:ascii="仿宋_GB2312" w:eastAsia="仿宋_GB2312"/>
          <w:bCs/>
          <w:sz w:val="32"/>
          <w:szCs w:val="32"/>
        </w:rPr>
        <w:t>纵”的布局结构。</w:t>
      </w:r>
    </w:p>
    <w:p w14:paraId="784AA3D7">
      <w:pPr>
        <w:spacing w:line="600" w:lineRule="exact"/>
        <w:ind w:firstLine="640"/>
        <w:rPr>
          <w:rFonts w:ascii="仿宋_GB2312" w:eastAsia="仿宋_GB2312"/>
          <w:bCs/>
          <w:sz w:val="32"/>
          <w:szCs w:val="32"/>
        </w:rPr>
      </w:pPr>
      <w:r>
        <w:rPr>
          <w:rFonts w:hint="eastAsia" w:ascii="仿宋_GB2312" w:eastAsia="仿宋_GB2312"/>
          <w:bCs/>
          <w:sz w:val="32"/>
          <w:szCs w:val="32"/>
        </w:rPr>
        <w:t>“两横”：横一路、横二路。</w:t>
      </w:r>
    </w:p>
    <w:p w14:paraId="3F40744C">
      <w:pPr>
        <w:spacing w:line="600" w:lineRule="exact"/>
        <w:ind w:firstLine="640"/>
        <w:rPr>
          <w:rFonts w:ascii="仿宋_GB2312" w:eastAsia="仿宋_GB2312"/>
          <w:bCs/>
          <w:sz w:val="32"/>
          <w:szCs w:val="32"/>
        </w:rPr>
      </w:pPr>
      <w:r>
        <w:rPr>
          <w:rFonts w:hint="eastAsia" w:ascii="仿宋_GB2312" w:eastAsia="仿宋_GB2312"/>
          <w:bCs/>
          <w:sz w:val="32"/>
          <w:szCs w:val="32"/>
        </w:rPr>
        <w:t>“两纵”：纵一路、纵二路。</w:t>
      </w:r>
    </w:p>
    <w:p w14:paraId="2F02A5D7">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公共交通规划</w:t>
      </w:r>
    </w:p>
    <w:p w14:paraId="5BEF9CE4">
      <w:pPr>
        <w:spacing w:line="600" w:lineRule="exact"/>
        <w:ind w:firstLine="640"/>
        <w:rPr>
          <w:rFonts w:ascii="仿宋_GB2312" w:eastAsia="仿宋_GB2312"/>
          <w:bCs/>
          <w:sz w:val="32"/>
          <w:szCs w:val="32"/>
        </w:rPr>
      </w:pPr>
      <w:r>
        <w:rPr>
          <w:rFonts w:hint="eastAsia" w:ascii="仿宋_GB2312" w:eastAsia="仿宋_GB2312"/>
          <w:bCs/>
          <w:sz w:val="32"/>
          <w:szCs w:val="32"/>
        </w:rPr>
        <w:t>加快城乡公交建设，落实公交优先发展政策，逐步形成以常规公交干线为主体、以小公共交通和出租车为辅助的便捷高效、多元化、有特色的公交体系，优化公交线网和换乘系统，建立智能化的公交管理调度系统，提高公交服务水平、增强公交吸引力、大幅度提高公交分担率，使公共交通成为张家坡客运的主体。</w:t>
      </w:r>
    </w:p>
    <w:p w14:paraId="720C34BF">
      <w:pPr>
        <w:spacing w:line="600" w:lineRule="exact"/>
        <w:ind w:firstLine="640"/>
        <w:rPr>
          <w:rFonts w:ascii="仿宋_GB2312" w:eastAsia="仿宋_GB2312"/>
          <w:bCs/>
          <w:sz w:val="32"/>
          <w:szCs w:val="32"/>
        </w:rPr>
      </w:pPr>
      <w:r>
        <w:rPr>
          <w:rFonts w:hint="eastAsia" w:ascii="仿宋_GB2312" w:eastAsia="仿宋_GB2312"/>
          <w:bCs/>
          <w:sz w:val="32"/>
          <w:szCs w:val="32"/>
        </w:rPr>
        <w:t>规划镇区公交站距为</w:t>
      </w:r>
      <w:r>
        <w:rPr>
          <w:rFonts w:ascii="仿宋_GB2312" w:eastAsia="仿宋_GB2312"/>
          <w:bCs/>
          <w:sz w:val="32"/>
          <w:szCs w:val="32"/>
        </w:rPr>
        <w:t>400—600米，站点根据周边道路情况</w:t>
      </w:r>
      <w:r>
        <w:rPr>
          <w:rFonts w:hint="eastAsia" w:ascii="仿宋_GB2312" w:eastAsia="仿宋_GB2312"/>
          <w:bCs/>
          <w:sz w:val="32"/>
          <w:szCs w:val="32"/>
        </w:rPr>
        <w:t>确定</w:t>
      </w:r>
      <w:r>
        <w:rPr>
          <w:rFonts w:ascii="仿宋_GB2312" w:eastAsia="仿宋_GB2312"/>
          <w:bCs/>
          <w:sz w:val="32"/>
          <w:szCs w:val="32"/>
        </w:rPr>
        <w:t>。公共交通停靠车站服务面积以300米半径计算，不</w:t>
      </w:r>
      <w:r>
        <w:rPr>
          <w:rFonts w:hint="eastAsia" w:ascii="仿宋_GB2312" w:eastAsia="仿宋_GB2312"/>
          <w:bCs/>
          <w:sz w:val="32"/>
          <w:szCs w:val="32"/>
        </w:rPr>
        <w:t>得小于城镇用地面积的</w:t>
      </w:r>
      <w:r>
        <w:rPr>
          <w:rFonts w:ascii="仿宋_GB2312" w:eastAsia="仿宋_GB2312"/>
          <w:bCs/>
          <w:sz w:val="32"/>
          <w:szCs w:val="32"/>
        </w:rPr>
        <w:t>50%；以500米半径计算，不得小于90%</w:t>
      </w:r>
      <w:r>
        <w:rPr>
          <w:rFonts w:hint="eastAsia" w:ascii="仿宋_GB2312" w:eastAsia="仿宋_GB2312"/>
          <w:bCs/>
          <w:sz w:val="32"/>
          <w:szCs w:val="32"/>
        </w:rPr>
        <w:t>；公交站点的设置应按照《公路路线设计规范》（JTGD20-2017）、《城镇化地区公路工程技术标准》（JTG2112-2021）设置。</w:t>
      </w:r>
    </w:p>
    <w:p w14:paraId="438B7062">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城市静态交通</w:t>
      </w:r>
    </w:p>
    <w:p w14:paraId="4C2D1227">
      <w:pPr>
        <w:spacing w:line="600" w:lineRule="exact"/>
        <w:ind w:firstLine="640"/>
        <w:rPr>
          <w:rFonts w:ascii="仿宋_GB2312" w:eastAsia="仿宋_GB2312"/>
          <w:bCs/>
          <w:sz w:val="32"/>
          <w:szCs w:val="32"/>
        </w:rPr>
      </w:pPr>
      <w:r>
        <w:rPr>
          <w:rFonts w:hint="eastAsia" w:ascii="仿宋_GB2312" w:eastAsia="仿宋_GB2312"/>
          <w:bCs/>
          <w:sz w:val="32"/>
          <w:szCs w:val="32"/>
        </w:rPr>
        <w:t>规划形成以配建停车场为主、路边停车为补充的城镇停车格局。路边公共停车场规划布局主要考虑公建集中区域和商业集中区域，新建居住区原则上也应布置公共停车场</w:t>
      </w:r>
      <w:r>
        <w:rPr>
          <w:rFonts w:ascii="仿宋_GB2312" w:eastAsia="仿宋_GB2312"/>
          <w:bCs/>
          <w:sz w:val="32"/>
          <w:szCs w:val="32"/>
        </w:rPr>
        <w:t>。</w:t>
      </w:r>
    </w:p>
    <w:p w14:paraId="3FB167F9">
      <w:pPr>
        <w:spacing w:line="600" w:lineRule="exact"/>
        <w:ind w:firstLine="640"/>
        <w:rPr>
          <w:rFonts w:ascii="仿宋_GB2312" w:eastAsia="仿宋_GB2312"/>
          <w:bCs/>
          <w:sz w:val="32"/>
          <w:szCs w:val="32"/>
        </w:rPr>
      </w:pPr>
      <w:r>
        <w:rPr>
          <w:rFonts w:hint="eastAsia" w:ascii="仿宋_GB2312" w:eastAsia="仿宋_GB2312"/>
          <w:bCs/>
          <w:sz w:val="32"/>
          <w:szCs w:val="32"/>
        </w:rPr>
        <w:t>路边停车规划应根据路内停车规划区域内不同时间段可以提供路内停车的道路空间、路内停车场的使用特征以及相关的停车管理政策，规划设置允许停放车辆的路内停车泊位。</w:t>
      </w:r>
    </w:p>
    <w:p w14:paraId="2E28F94C">
      <w:pPr>
        <w:spacing w:line="600" w:lineRule="exact"/>
        <w:ind w:firstLine="640"/>
        <w:rPr>
          <w:rFonts w:ascii="仿宋_GB2312" w:eastAsia="仿宋_GB2312"/>
          <w:bCs/>
          <w:sz w:val="32"/>
          <w:szCs w:val="32"/>
        </w:rPr>
      </w:pPr>
      <w:r>
        <w:rPr>
          <w:rFonts w:hint="eastAsia" w:ascii="仿宋_GB2312" w:eastAsia="仿宋_GB2312"/>
          <w:bCs/>
          <w:sz w:val="32"/>
          <w:szCs w:val="32"/>
        </w:rPr>
        <w:t>路边停车对道路上的交通影响控制在：次干路服务水平不低于原负荷度的</w:t>
      </w:r>
      <w:r>
        <w:rPr>
          <w:rFonts w:ascii="仿宋_GB2312" w:eastAsia="仿宋_GB2312"/>
          <w:bCs/>
          <w:sz w:val="32"/>
          <w:szCs w:val="32"/>
        </w:rPr>
        <w:t>0.80，支路服务水平不低于原负荷度的0.85。</w:t>
      </w:r>
    </w:p>
    <w:p w14:paraId="0061F083">
      <w:pPr>
        <w:pStyle w:val="4"/>
        <w:spacing w:before="163" w:beforeLines="50" w:after="163" w:afterLines="50"/>
        <w:rPr>
          <w:rFonts w:ascii="黑体" w:hAnsi="黑体" w:eastAsia="黑体"/>
          <w:b w:val="0"/>
          <w:sz w:val="32"/>
        </w:rPr>
      </w:pPr>
      <w:bookmarkStart w:id="79" w:name="_Toc185960435"/>
      <w:r>
        <w:rPr>
          <w:rFonts w:hint="eastAsia" w:ascii="黑体" w:hAnsi="黑体" w:eastAsia="黑体"/>
          <w:b w:val="0"/>
          <w:sz w:val="32"/>
        </w:rPr>
        <w:t>完善公共服务配套</w:t>
      </w:r>
      <w:bookmarkEnd w:id="79"/>
    </w:p>
    <w:p w14:paraId="40260E19">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发展目标</w:t>
      </w:r>
    </w:p>
    <w:p w14:paraId="49FADACE">
      <w:pPr>
        <w:spacing w:line="600" w:lineRule="exact"/>
        <w:ind w:firstLine="640"/>
        <w:rPr>
          <w:rFonts w:ascii="仿宋_GB2312" w:eastAsia="仿宋_GB2312"/>
          <w:bCs/>
          <w:sz w:val="32"/>
          <w:szCs w:val="32"/>
        </w:rPr>
      </w:pPr>
      <w:r>
        <w:rPr>
          <w:rFonts w:hint="eastAsia" w:ascii="仿宋_GB2312" w:eastAsia="仿宋_GB2312"/>
          <w:bCs/>
          <w:sz w:val="32"/>
          <w:szCs w:val="32"/>
        </w:rPr>
        <w:t>规划从“以人为本”的角度出发，建立体系完善、功能齐全的公共服务设施网络，不断满足人民日益增长的美好生活需要。</w:t>
      </w:r>
    </w:p>
    <w:p w14:paraId="6CE5FEAA">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配置体系</w:t>
      </w:r>
    </w:p>
    <w:p w14:paraId="7A04E312">
      <w:pPr>
        <w:spacing w:line="600" w:lineRule="exact"/>
        <w:ind w:firstLine="640"/>
        <w:rPr>
          <w:rFonts w:ascii="仿宋_GB2312" w:eastAsia="仿宋_GB2312"/>
          <w:bCs/>
          <w:sz w:val="32"/>
          <w:szCs w:val="32"/>
        </w:rPr>
      </w:pPr>
      <w:r>
        <w:rPr>
          <w:rFonts w:hint="eastAsia" w:ascii="仿宋_GB2312" w:eastAsia="仿宋_GB2312"/>
          <w:bCs/>
          <w:sz w:val="32"/>
          <w:szCs w:val="32"/>
        </w:rPr>
        <w:t>按照相关技术导则中要求，张家坡镇公共服务设施配置体系按照乡镇社区生活圈配置体系要求，划分为乡镇层级、社区层级和行政村层级。</w:t>
      </w:r>
    </w:p>
    <w:p w14:paraId="1CC74856">
      <w:pPr>
        <w:spacing w:line="600" w:lineRule="exact"/>
        <w:ind w:firstLine="640"/>
        <w:rPr>
          <w:rFonts w:ascii="仿宋_GB2312" w:eastAsia="仿宋_GB2312"/>
          <w:bCs/>
          <w:sz w:val="32"/>
          <w:szCs w:val="32"/>
        </w:rPr>
      </w:pPr>
      <w:r>
        <w:rPr>
          <w:rFonts w:hint="eastAsia" w:ascii="仿宋_GB2312" w:eastAsia="仿宋_GB2312"/>
          <w:bCs/>
          <w:sz w:val="32"/>
          <w:szCs w:val="32"/>
        </w:rPr>
        <w:t>乡镇层级指服务范围覆盖张家坡镇镇域的公共服务设施，主要包括为医疗设施、教育设施、文化设施、体育设施、社会福利设施和商业服务等。该层级应完善基础设施配置的同时，加强为农服务功能，提升服务品质，兼顾对村庄的服务延伸。</w:t>
      </w:r>
    </w:p>
    <w:p w14:paraId="271F9DD4">
      <w:pPr>
        <w:spacing w:line="600" w:lineRule="exact"/>
        <w:ind w:firstLine="640"/>
        <w:rPr>
          <w:rFonts w:ascii="仿宋_GB2312" w:eastAsia="仿宋_GB2312"/>
          <w:bCs/>
          <w:sz w:val="32"/>
          <w:szCs w:val="32"/>
        </w:rPr>
      </w:pPr>
      <w:r>
        <w:rPr>
          <w:rFonts w:hint="eastAsia" w:ascii="仿宋_GB2312" w:eastAsia="仿宋_GB2312"/>
          <w:bCs/>
          <w:sz w:val="32"/>
          <w:szCs w:val="32"/>
        </w:rPr>
        <w:t>社区层级指服务范围覆盖村庄社区单元的公共服务设施。村庄社区单元以中心村为核心构建，张家坡镇镇域共划分4</w:t>
      </w:r>
      <w:r>
        <w:rPr>
          <w:rFonts w:ascii="仿宋_GB2312" w:eastAsia="仿宋_GB2312"/>
          <w:bCs/>
          <w:sz w:val="32"/>
          <w:szCs w:val="32"/>
        </w:rPr>
        <w:t>个村庄社区单元。具体服务设施内容包括医疗设施、教育设施、文化设施、体育设施、社会福利设施和商业服务等。该层级保障乡村基本公共服务水平，实现生活设施的便利化。</w:t>
      </w:r>
    </w:p>
    <w:p w14:paraId="059AC4F9">
      <w:pPr>
        <w:spacing w:line="600" w:lineRule="exact"/>
        <w:ind w:firstLine="640"/>
        <w:rPr>
          <w:rFonts w:ascii="仿宋_GB2312" w:eastAsia="仿宋_GB2312"/>
          <w:bCs/>
          <w:sz w:val="32"/>
          <w:szCs w:val="32"/>
        </w:rPr>
      </w:pPr>
      <w:r>
        <w:rPr>
          <w:rFonts w:hint="eastAsia" w:ascii="仿宋_GB2312" w:eastAsia="仿宋_GB2312"/>
          <w:bCs/>
          <w:sz w:val="32"/>
          <w:szCs w:val="32"/>
        </w:rPr>
        <w:t>行政村层级指服务范围覆盖行政村的公共服务设施，主要包括医疗设施、文化设施、体育设施、社会福利设施和商业服务等，教育设施比如幼儿园邻近村庄可集中设置一处。该层级应提供乡村居民生活所需的基本保障设施，加强特色引导。</w:t>
      </w:r>
    </w:p>
    <w:p w14:paraId="00921BE9">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教育设施</w:t>
      </w:r>
    </w:p>
    <w:p w14:paraId="106E8A5E">
      <w:pPr>
        <w:spacing w:line="600" w:lineRule="exact"/>
        <w:ind w:firstLine="640"/>
        <w:rPr>
          <w:rFonts w:ascii="仿宋_GB2312" w:eastAsia="仿宋_GB2312"/>
          <w:bCs/>
          <w:sz w:val="32"/>
          <w:szCs w:val="32"/>
        </w:rPr>
      </w:pPr>
      <w:r>
        <w:rPr>
          <w:rFonts w:hint="eastAsia" w:ascii="仿宋_GB2312" w:eastAsia="仿宋_GB2312"/>
          <w:bCs/>
          <w:sz w:val="32"/>
          <w:szCs w:val="32"/>
        </w:rPr>
        <w:t>到</w:t>
      </w:r>
      <w:r>
        <w:rPr>
          <w:rFonts w:ascii="仿宋_GB2312" w:eastAsia="仿宋_GB2312"/>
          <w:bCs/>
          <w:sz w:val="32"/>
          <w:szCs w:val="32"/>
        </w:rPr>
        <w:t>2035年</w:t>
      </w:r>
      <w:r>
        <w:rPr>
          <w:rFonts w:hint="eastAsia" w:ascii="仿宋_GB2312" w:eastAsia="仿宋_GB2312"/>
          <w:bCs/>
          <w:sz w:val="32"/>
          <w:szCs w:val="32"/>
        </w:rPr>
        <w:t>，依据《沂源县中小学及幼儿园布局规划（</w:t>
      </w:r>
      <w:r>
        <w:rPr>
          <w:rFonts w:ascii="仿宋_GB2312" w:eastAsia="仿宋_GB2312"/>
          <w:bCs/>
          <w:sz w:val="32"/>
          <w:szCs w:val="32"/>
        </w:rPr>
        <w:t>2019-2030年）》，镇域范围内统筹落实</w:t>
      </w:r>
      <w:r>
        <w:rPr>
          <w:rFonts w:hint="eastAsia" w:ascii="仿宋_GB2312" w:eastAsia="仿宋_GB2312"/>
          <w:bCs/>
          <w:sz w:val="32"/>
          <w:szCs w:val="32"/>
        </w:rPr>
        <w:t>九年一贯制学校</w:t>
      </w:r>
      <w:r>
        <w:rPr>
          <w:rFonts w:ascii="仿宋_GB2312" w:eastAsia="仿宋_GB2312"/>
          <w:bCs/>
          <w:sz w:val="32"/>
          <w:szCs w:val="32"/>
        </w:rPr>
        <w:t>1处，小学1处，幼儿园</w:t>
      </w:r>
      <w:r>
        <w:rPr>
          <w:rFonts w:hint="eastAsia" w:ascii="仿宋_GB2312" w:eastAsia="仿宋_GB2312"/>
          <w:bCs/>
          <w:sz w:val="32"/>
          <w:szCs w:val="32"/>
        </w:rPr>
        <w:t>2</w:t>
      </w:r>
      <w:r>
        <w:rPr>
          <w:rFonts w:ascii="仿宋_GB2312" w:eastAsia="仿宋_GB2312"/>
          <w:bCs/>
          <w:sz w:val="32"/>
          <w:szCs w:val="32"/>
        </w:rPr>
        <w:t>处。</w:t>
      </w:r>
    </w:p>
    <w:p w14:paraId="61F99DB1">
      <w:pPr>
        <w:spacing w:line="600" w:lineRule="exact"/>
        <w:ind w:firstLine="640"/>
        <w:rPr>
          <w:rFonts w:ascii="仿宋_GB2312" w:eastAsia="仿宋_GB2312"/>
          <w:bCs/>
          <w:sz w:val="32"/>
          <w:szCs w:val="32"/>
        </w:rPr>
      </w:pPr>
      <w:r>
        <w:rPr>
          <w:rFonts w:hint="eastAsia" w:ascii="仿宋_GB2312" w:eastAsia="仿宋_GB2312"/>
          <w:bCs/>
          <w:sz w:val="32"/>
          <w:szCs w:val="32"/>
        </w:rPr>
        <w:t>城镇开发边界规划范围内</w:t>
      </w:r>
      <w:r>
        <w:rPr>
          <w:rFonts w:hint="eastAsia" w:ascii="仿宋_GB2312" w:eastAsia="仿宋_GB2312"/>
          <w:sz w:val="32"/>
          <w:szCs w:val="32"/>
        </w:rPr>
        <w:t>规划保留</w:t>
      </w:r>
      <w:r>
        <w:rPr>
          <w:rFonts w:hint="eastAsia" w:ascii="仿宋_GB2312" w:eastAsia="仿宋_GB2312"/>
          <w:bCs/>
          <w:sz w:val="32"/>
          <w:szCs w:val="32"/>
        </w:rPr>
        <w:t>九年一贯制学校</w:t>
      </w:r>
      <w:r>
        <w:rPr>
          <w:rFonts w:ascii="仿宋_GB2312" w:eastAsia="仿宋_GB2312"/>
          <w:bCs/>
          <w:sz w:val="32"/>
          <w:szCs w:val="32"/>
        </w:rPr>
        <w:t>1处，幼儿园</w:t>
      </w:r>
      <w:r>
        <w:rPr>
          <w:rFonts w:hint="eastAsia" w:ascii="仿宋_GB2312" w:eastAsia="仿宋_GB2312"/>
          <w:bCs/>
          <w:sz w:val="32"/>
          <w:szCs w:val="32"/>
        </w:rPr>
        <w:t>1</w:t>
      </w:r>
      <w:r>
        <w:rPr>
          <w:rFonts w:ascii="仿宋_GB2312" w:eastAsia="仿宋_GB2312"/>
          <w:bCs/>
          <w:sz w:val="32"/>
          <w:szCs w:val="32"/>
        </w:rPr>
        <w:t>所。城镇开发边界外</w:t>
      </w:r>
      <w:r>
        <w:rPr>
          <w:rFonts w:hint="eastAsia" w:ascii="仿宋_GB2312" w:eastAsia="仿宋_GB2312"/>
          <w:bCs/>
          <w:sz w:val="32"/>
          <w:szCs w:val="32"/>
        </w:rPr>
        <w:t>流泉乡村社区</w:t>
      </w:r>
      <w:r>
        <w:rPr>
          <w:rFonts w:ascii="仿宋_GB2312" w:eastAsia="仿宋_GB2312"/>
          <w:bCs/>
          <w:sz w:val="32"/>
          <w:szCs w:val="32"/>
        </w:rPr>
        <w:t>生活圈</w:t>
      </w:r>
      <w:r>
        <w:rPr>
          <w:rFonts w:hint="eastAsia" w:ascii="仿宋_GB2312" w:eastAsia="仿宋_GB2312"/>
          <w:sz w:val="32"/>
          <w:szCs w:val="32"/>
        </w:rPr>
        <w:t>规划保留</w:t>
      </w:r>
      <w:r>
        <w:rPr>
          <w:rFonts w:ascii="仿宋_GB2312" w:eastAsia="仿宋_GB2312"/>
          <w:bCs/>
          <w:sz w:val="32"/>
          <w:szCs w:val="32"/>
        </w:rPr>
        <w:t>1处幼儿园和1处小学</w:t>
      </w:r>
      <w:r>
        <w:rPr>
          <w:rFonts w:hint="eastAsia" w:ascii="仿宋_GB2312" w:eastAsia="仿宋_GB2312"/>
          <w:bCs/>
          <w:sz w:val="32"/>
          <w:szCs w:val="32"/>
        </w:rPr>
        <w:t>；对于</w:t>
      </w:r>
      <w:r>
        <w:rPr>
          <w:rFonts w:ascii="仿宋_GB2312" w:eastAsia="仿宋_GB2312"/>
          <w:bCs/>
          <w:sz w:val="32"/>
          <w:szCs w:val="32"/>
        </w:rPr>
        <w:t>城镇开发边界外</w:t>
      </w:r>
      <w:r>
        <w:rPr>
          <w:rFonts w:hint="eastAsia" w:ascii="仿宋_GB2312" w:eastAsia="仿宋_GB2312"/>
          <w:bCs/>
          <w:sz w:val="32"/>
          <w:szCs w:val="32"/>
        </w:rPr>
        <w:t>未设置幼儿园或小学教育设施的乡村社区</w:t>
      </w:r>
      <w:r>
        <w:rPr>
          <w:rFonts w:ascii="仿宋_GB2312" w:eastAsia="仿宋_GB2312"/>
          <w:bCs/>
          <w:sz w:val="32"/>
          <w:szCs w:val="32"/>
        </w:rPr>
        <w:t>生活圈</w:t>
      </w:r>
      <w:r>
        <w:rPr>
          <w:rFonts w:hint="eastAsia" w:ascii="仿宋_GB2312" w:eastAsia="仿宋_GB2312"/>
          <w:bCs/>
          <w:sz w:val="32"/>
          <w:szCs w:val="32"/>
        </w:rPr>
        <w:t>，规划结合张家坡镇现有生源情况，充分利用现有教育设施，瓜峪乡村社区生活圈、冯家圈乡村社区生活圈、张家坡乡村社区生活圈依托城镇开发边界范围内</w:t>
      </w:r>
      <w:r>
        <w:rPr>
          <w:rFonts w:hint="eastAsia" w:ascii="仿宋_GB2312" w:eastAsia="仿宋_GB2312"/>
          <w:sz w:val="32"/>
          <w:szCs w:val="32"/>
        </w:rPr>
        <w:t>规划保留的</w:t>
      </w:r>
      <w:r>
        <w:rPr>
          <w:rFonts w:hint="eastAsia" w:ascii="仿宋_GB2312" w:eastAsia="仿宋_GB2312"/>
          <w:bCs/>
          <w:sz w:val="32"/>
          <w:szCs w:val="32"/>
        </w:rPr>
        <w:t>九年一贯制学校和</w:t>
      </w:r>
      <w:r>
        <w:rPr>
          <w:rFonts w:ascii="仿宋_GB2312" w:eastAsia="仿宋_GB2312"/>
          <w:bCs/>
          <w:sz w:val="32"/>
          <w:szCs w:val="32"/>
        </w:rPr>
        <w:t>幼儿园</w:t>
      </w:r>
      <w:r>
        <w:rPr>
          <w:rFonts w:hint="eastAsia" w:ascii="仿宋_GB2312" w:eastAsia="仿宋_GB2312"/>
          <w:bCs/>
          <w:sz w:val="32"/>
          <w:szCs w:val="32"/>
        </w:rPr>
        <w:t>解决学生入学需求</w:t>
      </w:r>
      <w:r>
        <w:rPr>
          <w:rFonts w:ascii="仿宋_GB2312" w:eastAsia="仿宋_GB2312"/>
          <w:bCs/>
          <w:sz w:val="32"/>
          <w:szCs w:val="32"/>
        </w:rPr>
        <w:t>。</w:t>
      </w:r>
    </w:p>
    <w:p w14:paraId="40EBD48C">
      <w:pPr>
        <w:spacing w:line="600" w:lineRule="exact"/>
        <w:ind w:firstLine="640"/>
        <w:rPr>
          <w:rFonts w:ascii="仿宋_GB2312" w:eastAsia="仿宋_GB2312"/>
          <w:bCs/>
          <w:sz w:val="32"/>
          <w:szCs w:val="32"/>
        </w:rPr>
      </w:pPr>
      <w:r>
        <w:rPr>
          <w:rFonts w:hint="eastAsia" w:ascii="仿宋_GB2312" w:eastAsia="仿宋_GB2312"/>
          <w:bCs/>
          <w:sz w:val="32"/>
          <w:szCs w:val="32"/>
        </w:rPr>
        <w:t>对于现状已撤并的冯家圈小学和幼儿园，对于其闲置的校舍作为教育资产进行保留，优先保障教育事业的需要，主要用于发展乡村普惠性学前教育、校外教育、劳动教育、留守儿童关爱保护等。</w:t>
      </w:r>
    </w:p>
    <w:p w14:paraId="7A0AFDC0">
      <w:pPr>
        <w:numPr>
          <w:ilvl w:val="0"/>
          <w:numId w:val="7"/>
        </w:numPr>
        <w:spacing w:before="163" w:beforeLines="50" w:after="163" w:afterLines="50" w:line="600" w:lineRule="exact"/>
        <w:ind w:firstLine="643"/>
        <w:jc w:val="left"/>
        <w:rPr>
          <w:rFonts w:hAnsi="楷体"/>
          <w:b/>
          <w:bCs/>
          <w:sz w:val="32"/>
          <w:szCs w:val="32"/>
        </w:rPr>
      </w:pPr>
      <w:r>
        <w:rPr>
          <w:rFonts w:hint="eastAsia" w:hAnsi="楷体"/>
          <w:b/>
          <w:bCs/>
          <w:sz w:val="32"/>
          <w:szCs w:val="32"/>
        </w:rPr>
        <w:t>文</w:t>
      </w:r>
      <w:r>
        <w:rPr>
          <w:rFonts w:hint="eastAsia" w:hAnsi="楷体"/>
          <w:bCs/>
          <w:sz w:val="32"/>
          <w:szCs w:val="32"/>
        </w:rPr>
        <w:t>化设施</w:t>
      </w:r>
    </w:p>
    <w:p w14:paraId="3FF18975">
      <w:pPr>
        <w:spacing w:line="600" w:lineRule="exact"/>
        <w:ind w:firstLine="640"/>
        <w:rPr>
          <w:rFonts w:ascii="仿宋_GB2312" w:eastAsia="仿宋_GB2312"/>
          <w:bCs/>
          <w:sz w:val="32"/>
          <w:szCs w:val="32"/>
        </w:rPr>
      </w:pPr>
      <w:r>
        <w:rPr>
          <w:rFonts w:hint="eastAsia" w:ascii="仿宋_GB2312" w:eastAsia="仿宋_GB2312"/>
          <w:bCs/>
          <w:sz w:val="32"/>
          <w:szCs w:val="32"/>
        </w:rPr>
        <w:t>到</w:t>
      </w:r>
      <w:r>
        <w:rPr>
          <w:rFonts w:ascii="仿宋_GB2312" w:eastAsia="仿宋_GB2312"/>
          <w:bCs/>
          <w:sz w:val="32"/>
          <w:szCs w:val="32"/>
        </w:rPr>
        <w:t>2035年</w:t>
      </w:r>
      <w:r>
        <w:rPr>
          <w:rFonts w:hint="eastAsia" w:ascii="仿宋_GB2312" w:eastAsia="仿宋_GB2312"/>
          <w:bCs/>
          <w:sz w:val="32"/>
          <w:szCs w:val="32"/>
        </w:rPr>
        <w:t>，规划布局镇级文化服务设施</w:t>
      </w:r>
      <w:r>
        <w:rPr>
          <w:rFonts w:ascii="仿宋_GB2312" w:eastAsia="仿宋_GB2312"/>
          <w:bCs/>
          <w:sz w:val="32"/>
          <w:szCs w:val="32"/>
        </w:rPr>
        <w:t>1处，为文化</w:t>
      </w:r>
      <w:r>
        <w:rPr>
          <w:rFonts w:hint="eastAsia" w:ascii="仿宋_GB2312" w:eastAsia="仿宋_GB2312"/>
          <w:bCs/>
          <w:sz w:val="32"/>
          <w:szCs w:val="32"/>
        </w:rPr>
        <w:t>活动中心</w:t>
      </w:r>
      <w:r>
        <w:rPr>
          <w:rFonts w:ascii="仿宋_GB2312" w:eastAsia="仿宋_GB2312"/>
          <w:bCs/>
          <w:sz w:val="32"/>
          <w:szCs w:val="32"/>
        </w:rPr>
        <w:t>，</w:t>
      </w:r>
      <w:r>
        <w:rPr>
          <w:rFonts w:hint="eastAsia" w:ascii="仿宋_GB2312" w:eastAsia="仿宋_GB2312"/>
          <w:bCs/>
          <w:sz w:val="32"/>
          <w:szCs w:val="32"/>
        </w:rPr>
        <w:t>结合镇政府驻地综合设置</w:t>
      </w:r>
      <w:r>
        <w:rPr>
          <w:rFonts w:ascii="仿宋_GB2312" w:eastAsia="仿宋_GB2312"/>
          <w:bCs/>
          <w:sz w:val="32"/>
          <w:szCs w:val="32"/>
        </w:rPr>
        <w:t>，</w:t>
      </w:r>
      <w:r>
        <w:rPr>
          <w:rFonts w:hint="eastAsia" w:ascii="仿宋_GB2312" w:eastAsia="仿宋_GB2312"/>
          <w:bCs/>
          <w:sz w:val="32"/>
          <w:szCs w:val="32"/>
        </w:rPr>
        <w:t>中心村及基层村设置1处文化活动室</w:t>
      </w:r>
      <w:r>
        <w:rPr>
          <w:rFonts w:ascii="仿宋_GB2312" w:eastAsia="仿宋_GB2312"/>
          <w:bCs/>
          <w:sz w:val="32"/>
          <w:szCs w:val="32"/>
        </w:rPr>
        <w:t>。</w:t>
      </w:r>
    </w:p>
    <w:p w14:paraId="1E33C2C7">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体育设施</w:t>
      </w:r>
    </w:p>
    <w:p w14:paraId="1B03A516">
      <w:pPr>
        <w:spacing w:line="600" w:lineRule="exact"/>
        <w:ind w:firstLine="640"/>
        <w:rPr>
          <w:rFonts w:ascii="仿宋_GB2312" w:eastAsia="仿宋_GB2312"/>
          <w:bCs/>
          <w:sz w:val="32"/>
          <w:szCs w:val="32"/>
        </w:rPr>
      </w:pPr>
      <w:r>
        <w:rPr>
          <w:rFonts w:hint="eastAsia" w:ascii="仿宋_GB2312" w:eastAsia="仿宋_GB2312"/>
          <w:bCs/>
          <w:sz w:val="32"/>
          <w:szCs w:val="32"/>
        </w:rPr>
        <w:t>到</w:t>
      </w:r>
      <w:r>
        <w:rPr>
          <w:rFonts w:ascii="仿宋_GB2312" w:eastAsia="仿宋_GB2312"/>
          <w:bCs/>
          <w:sz w:val="32"/>
          <w:szCs w:val="32"/>
        </w:rPr>
        <w:t>2035年</w:t>
      </w:r>
      <w:r>
        <w:rPr>
          <w:rFonts w:hint="eastAsia" w:ascii="仿宋_GB2312" w:eastAsia="仿宋_GB2312"/>
          <w:bCs/>
          <w:sz w:val="32"/>
          <w:szCs w:val="32"/>
        </w:rPr>
        <w:t>，城镇开发边界内设置</w:t>
      </w:r>
      <w:r>
        <w:rPr>
          <w:rFonts w:ascii="仿宋_GB2312" w:eastAsia="仿宋_GB2312"/>
          <w:bCs/>
          <w:sz w:val="32"/>
          <w:szCs w:val="32"/>
        </w:rPr>
        <w:t>1处小型多功能运动</w:t>
      </w:r>
      <w:r>
        <w:rPr>
          <w:rFonts w:hint="eastAsia" w:ascii="仿宋_GB2312" w:eastAsia="仿宋_GB2312"/>
          <w:bCs/>
          <w:sz w:val="32"/>
          <w:szCs w:val="32"/>
        </w:rPr>
        <w:t>（球类）场地</w:t>
      </w:r>
      <w:r>
        <w:rPr>
          <w:rFonts w:ascii="仿宋_GB2312" w:eastAsia="仿宋_GB2312"/>
          <w:bCs/>
          <w:sz w:val="32"/>
          <w:szCs w:val="32"/>
        </w:rPr>
        <w:t>，</w:t>
      </w:r>
      <w:r>
        <w:rPr>
          <w:rFonts w:hint="eastAsia" w:ascii="仿宋_GB2312" w:eastAsia="仿宋_GB2312"/>
          <w:bCs/>
          <w:sz w:val="32"/>
          <w:szCs w:val="32"/>
        </w:rPr>
        <w:t>中心村及基层村设置</w:t>
      </w:r>
      <w:r>
        <w:rPr>
          <w:rFonts w:ascii="仿宋_GB2312" w:eastAsia="仿宋_GB2312"/>
          <w:bCs/>
          <w:sz w:val="32"/>
          <w:szCs w:val="32"/>
        </w:rPr>
        <w:t>1处室外综合健身广场。到2035年，人均体育场地面积不低于4.0平方米，全民健身设施步行15分钟覆盖率约达到90%。</w:t>
      </w:r>
    </w:p>
    <w:p w14:paraId="3338C41B">
      <w:pPr>
        <w:numPr>
          <w:ilvl w:val="0"/>
          <w:numId w:val="7"/>
        </w:numPr>
        <w:spacing w:before="163" w:beforeLines="50" w:after="163" w:afterLines="50" w:line="600" w:lineRule="exact"/>
        <w:ind w:firstLine="640"/>
        <w:jc w:val="left"/>
        <w:rPr>
          <w:rFonts w:hAnsi="楷体"/>
          <w:bCs/>
          <w:sz w:val="32"/>
          <w:szCs w:val="32"/>
        </w:rPr>
      </w:pPr>
      <w:r>
        <w:rPr>
          <w:rFonts w:hAnsi="楷体"/>
          <w:bCs/>
          <w:sz w:val="32"/>
          <w:szCs w:val="32"/>
        </w:rPr>
        <w:t>医疗设施</w:t>
      </w:r>
    </w:p>
    <w:p w14:paraId="67EF45E3">
      <w:pPr>
        <w:spacing w:line="600" w:lineRule="exact"/>
        <w:ind w:firstLine="640"/>
        <w:rPr>
          <w:rFonts w:ascii="仿宋_GB2312" w:eastAsia="仿宋_GB2312"/>
          <w:bCs/>
          <w:sz w:val="32"/>
          <w:szCs w:val="32"/>
        </w:rPr>
      </w:pPr>
      <w:r>
        <w:rPr>
          <w:rFonts w:hint="eastAsia" w:ascii="仿宋_GB2312" w:eastAsia="仿宋_GB2312"/>
          <w:bCs/>
          <w:sz w:val="32"/>
          <w:szCs w:val="32"/>
        </w:rPr>
        <w:t>到</w:t>
      </w:r>
      <w:r>
        <w:rPr>
          <w:rFonts w:ascii="仿宋_GB2312" w:eastAsia="仿宋_GB2312"/>
          <w:bCs/>
          <w:sz w:val="32"/>
          <w:szCs w:val="32"/>
        </w:rPr>
        <w:t>2035年</w:t>
      </w:r>
      <w:r>
        <w:rPr>
          <w:rFonts w:hint="eastAsia" w:ascii="仿宋_GB2312" w:eastAsia="仿宋_GB2312"/>
          <w:bCs/>
          <w:sz w:val="32"/>
          <w:szCs w:val="32"/>
        </w:rPr>
        <w:t>，全镇规划乡镇卫生院1</w:t>
      </w:r>
      <w:r>
        <w:rPr>
          <w:rFonts w:ascii="仿宋_GB2312" w:eastAsia="仿宋_GB2312"/>
          <w:bCs/>
          <w:sz w:val="32"/>
          <w:szCs w:val="32"/>
        </w:rPr>
        <w:t>处，</w:t>
      </w:r>
      <w:r>
        <w:rPr>
          <w:rFonts w:hint="eastAsia" w:ascii="仿宋_GB2312" w:eastAsia="仿宋_GB2312"/>
          <w:bCs/>
          <w:sz w:val="32"/>
          <w:szCs w:val="32"/>
        </w:rPr>
        <w:t>为张家坡卫生院，</w:t>
      </w:r>
      <w:r>
        <w:rPr>
          <w:rFonts w:ascii="仿宋_GB2312" w:eastAsia="仿宋_GB2312"/>
          <w:bCs/>
          <w:sz w:val="32"/>
          <w:szCs w:val="32"/>
        </w:rPr>
        <w:t>位于城镇开发边界内</w:t>
      </w:r>
      <w:r>
        <w:rPr>
          <w:rFonts w:hint="eastAsia" w:ascii="仿宋_GB2312" w:eastAsia="仿宋_GB2312"/>
          <w:bCs/>
          <w:sz w:val="32"/>
          <w:szCs w:val="32"/>
        </w:rPr>
        <w:t>为张家坡卫生院；镇域内城镇开发边界中心村各设置卫生服务站一处，基层村各设置1处卫生室，也可根据基层村实际情况进行联合设置。形成“乡镇卫生院—卫生服务站—卫生室”的医疗卫生体系。到</w:t>
      </w:r>
      <w:r>
        <w:rPr>
          <w:rFonts w:ascii="仿宋_GB2312" w:eastAsia="仿宋_GB2312"/>
          <w:bCs/>
          <w:sz w:val="32"/>
          <w:szCs w:val="32"/>
        </w:rPr>
        <w:t>2035年，规划人均医疗设施用地不小于0.</w:t>
      </w:r>
      <w:r>
        <w:rPr>
          <w:rFonts w:hint="eastAsia" w:ascii="仿宋_GB2312" w:eastAsia="仿宋_GB2312"/>
          <w:bCs/>
          <w:sz w:val="32"/>
          <w:szCs w:val="32"/>
        </w:rPr>
        <w:t>59</w:t>
      </w:r>
      <w:r>
        <w:rPr>
          <w:rFonts w:ascii="仿宋_GB2312" w:eastAsia="仿宋_GB2312"/>
          <w:bCs/>
          <w:sz w:val="32"/>
          <w:szCs w:val="32"/>
        </w:rPr>
        <w:t>平方米，每千人口医疗卫生机构床位数不少于</w:t>
      </w:r>
      <w:r>
        <w:rPr>
          <w:rFonts w:hint="eastAsia" w:ascii="仿宋_GB2312" w:eastAsia="仿宋_GB2312"/>
          <w:bCs/>
          <w:sz w:val="32"/>
          <w:szCs w:val="32"/>
        </w:rPr>
        <w:t>1.4</w:t>
      </w:r>
      <w:r>
        <w:rPr>
          <w:rFonts w:ascii="仿宋_GB2312" w:eastAsia="仿宋_GB2312"/>
          <w:bCs/>
          <w:sz w:val="32"/>
          <w:szCs w:val="32"/>
        </w:rPr>
        <w:t>张。</w:t>
      </w:r>
    </w:p>
    <w:p w14:paraId="1FAB5F9A">
      <w:pPr>
        <w:numPr>
          <w:ilvl w:val="0"/>
          <w:numId w:val="7"/>
        </w:numPr>
        <w:spacing w:before="163" w:beforeLines="50" w:after="163" w:afterLines="50" w:line="600" w:lineRule="exact"/>
        <w:ind w:firstLine="640"/>
        <w:jc w:val="left"/>
        <w:rPr>
          <w:rFonts w:hAnsi="楷体"/>
          <w:sz w:val="32"/>
          <w:szCs w:val="32"/>
        </w:rPr>
      </w:pPr>
      <w:r>
        <w:rPr>
          <w:rFonts w:hint="eastAsia" w:hAnsi="楷体"/>
          <w:sz w:val="32"/>
          <w:szCs w:val="32"/>
        </w:rPr>
        <w:t>社会福利设施</w:t>
      </w:r>
    </w:p>
    <w:p w14:paraId="6CB5F407">
      <w:pPr>
        <w:spacing w:line="600" w:lineRule="exact"/>
        <w:ind w:firstLine="640"/>
        <w:rPr>
          <w:rFonts w:ascii="仿宋_GB2312" w:eastAsia="仿宋_GB2312"/>
          <w:bCs/>
          <w:sz w:val="32"/>
          <w:szCs w:val="32"/>
        </w:rPr>
      </w:pPr>
      <w:r>
        <w:rPr>
          <w:rFonts w:hint="eastAsia" w:ascii="仿宋_GB2312" w:eastAsia="仿宋_GB2312"/>
          <w:bCs/>
          <w:sz w:val="32"/>
          <w:szCs w:val="32"/>
        </w:rPr>
        <w:t>到</w:t>
      </w:r>
      <w:r>
        <w:rPr>
          <w:rFonts w:ascii="仿宋_GB2312" w:eastAsia="仿宋_GB2312"/>
          <w:bCs/>
          <w:sz w:val="32"/>
          <w:szCs w:val="32"/>
        </w:rPr>
        <w:t>2035年</w:t>
      </w:r>
      <w:r>
        <w:rPr>
          <w:rFonts w:hint="eastAsia" w:ascii="仿宋_GB2312" w:eastAsia="仿宋_GB2312"/>
          <w:bCs/>
          <w:sz w:val="32"/>
          <w:szCs w:val="32"/>
        </w:rPr>
        <w:t>，</w:t>
      </w:r>
      <w:r>
        <w:rPr>
          <w:rFonts w:ascii="仿宋_GB2312" w:eastAsia="仿宋_GB2312"/>
          <w:bCs/>
          <w:sz w:val="32"/>
          <w:szCs w:val="32"/>
        </w:rPr>
        <w:t>城镇开发边界内规划镇级养老院1处</w:t>
      </w:r>
      <w:r>
        <w:rPr>
          <w:rFonts w:hint="eastAsia" w:ascii="仿宋_GB2312" w:eastAsia="仿宋_GB2312"/>
          <w:bCs/>
          <w:sz w:val="32"/>
          <w:szCs w:val="32"/>
        </w:rPr>
        <w:t>，床位数100张，同时结合养老院设置张家坡镇综合养老服务中心；张家坡镇卫生院医养结合设置养老床位数200张；</w:t>
      </w:r>
      <w:r>
        <w:rPr>
          <w:rFonts w:ascii="仿宋_GB2312" w:eastAsia="仿宋_GB2312"/>
          <w:bCs/>
          <w:sz w:val="32"/>
          <w:szCs w:val="32"/>
        </w:rPr>
        <w:t>城镇开发边界外</w:t>
      </w:r>
      <w:r>
        <w:rPr>
          <w:rFonts w:hint="eastAsia" w:ascii="仿宋_GB2312" w:eastAsia="仿宋_GB2312"/>
          <w:bCs/>
          <w:sz w:val="32"/>
          <w:szCs w:val="32"/>
        </w:rPr>
        <w:t>规划1处阳三峪康养中心，设置床位数100张。</w:t>
      </w:r>
      <w:r>
        <w:rPr>
          <w:rFonts w:ascii="仿宋_GB2312" w:eastAsia="仿宋_GB2312"/>
          <w:bCs/>
          <w:sz w:val="32"/>
          <w:szCs w:val="32"/>
        </w:rPr>
        <w:t>各</w:t>
      </w:r>
      <w:r>
        <w:rPr>
          <w:rFonts w:hint="eastAsia" w:ascii="仿宋_GB2312" w:eastAsia="仿宋_GB2312"/>
          <w:bCs/>
          <w:sz w:val="32"/>
          <w:szCs w:val="32"/>
        </w:rPr>
        <w:t>乡村</w:t>
      </w:r>
      <w:r>
        <w:rPr>
          <w:rFonts w:ascii="仿宋_GB2312" w:eastAsia="仿宋_GB2312"/>
          <w:bCs/>
          <w:sz w:val="32"/>
          <w:szCs w:val="32"/>
        </w:rPr>
        <w:t>社区生活圈设置</w:t>
      </w:r>
      <w:r>
        <w:rPr>
          <w:rFonts w:hint="eastAsia" w:ascii="仿宋_GB2312" w:eastAsia="仿宋_GB2312"/>
          <w:bCs/>
          <w:sz w:val="32"/>
          <w:szCs w:val="32"/>
        </w:rPr>
        <w:t>民生综合体，兼具幸福院功能；规划落实沂源县公墓建设项目及《沂源县公墓专项规划（</w:t>
      </w:r>
      <w:r>
        <w:rPr>
          <w:rFonts w:ascii="仿宋_GB2312" w:eastAsia="仿宋_GB2312"/>
          <w:bCs/>
          <w:sz w:val="32"/>
          <w:szCs w:val="32"/>
        </w:rPr>
        <w:t>2023-2035 年）》，落实镇级公墓</w:t>
      </w:r>
      <w:r>
        <w:rPr>
          <w:rFonts w:hint="eastAsia" w:ascii="仿宋_GB2312" w:eastAsia="仿宋_GB2312"/>
          <w:bCs/>
          <w:sz w:val="32"/>
          <w:szCs w:val="32"/>
        </w:rPr>
        <w:t>及</w:t>
      </w:r>
      <w:r>
        <w:rPr>
          <w:rFonts w:ascii="仿宋_GB2312" w:eastAsia="仿宋_GB2312"/>
          <w:bCs/>
          <w:sz w:val="32"/>
          <w:szCs w:val="32"/>
        </w:rPr>
        <w:t>村级公墓</w:t>
      </w:r>
      <w:r>
        <w:rPr>
          <w:rFonts w:hint="eastAsia" w:ascii="仿宋_GB2312" w:eastAsia="仿宋_GB2312"/>
          <w:bCs/>
          <w:sz w:val="32"/>
          <w:szCs w:val="32"/>
        </w:rPr>
        <w:t>，各行政均建设有村级公墓。</w:t>
      </w:r>
    </w:p>
    <w:p w14:paraId="2E3BAF91">
      <w:pPr>
        <w:pStyle w:val="3"/>
        <w:spacing w:before="326" w:after="326" w:afterLines="100"/>
        <w:rPr>
          <w:rFonts w:ascii="方正小标宋简体" w:eastAsia="方正小标宋简体"/>
          <w:b w:val="0"/>
          <w:sz w:val="36"/>
          <w:szCs w:val="36"/>
        </w:rPr>
      </w:pPr>
      <w:r>
        <w:rPr>
          <w:rFonts w:hint="eastAsia" w:ascii="方正小标宋简体" w:eastAsia="方正小标宋简体"/>
          <w:b w:val="0"/>
          <w:sz w:val="36"/>
          <w:szCs w:val="36"/>
        </w:rPr>
        <w:t>生态修复与国土综合整治</w:t>
      </w:r>
    </w:p>
    <w:p w14:paraId="23816D9C">
      <w:pPr>
        <w:pStyle w:val="4"/>
        <w:spacing w:before="163" w:beforeLines="50" w:after="163" w:afterLines="50"/>
        <w:rPr>
          <w:rFonts w:hint="eastAsia" w:ascii="黑体" w:hAnsi="黑体" w:eastAsia="黑体"/>
          <w:b w:val="0"/>
          <w:sz w:val="32"/>
        </w:rPr>
      </w:pPr>
      <w:bookmarkStart w:id="80" w:name="_Toc30339"/>
      <w:bookmarkStart w:id="81" w:name="_Toc28736"/>
      <w:bookmarkStart w:id="82" w:name="_Toc9248"/>
      <w:bookmarkStart w:id="83" w:name="_Toc25398"/>
      <w:bookmarkStart w:id="84" w:name="_Toc30658"/>
      <w:r>
        <w:rPr>
          <w:rFonts w:hint="eastAsia" w:ascii="黑体" w:hAnsi="黑体" w:eastAsia="黑体"/>
          <w:b w:val="0"/>
          <w:sz w:val="32"/>
        </w:rPr>
        <w:t>生态修复</w:t>
      </w:r>
    </w:p>
    <w:p w14:paraId="4F698882">
      <w:pPr>
        <w:numPr>
          <w:ilvl w:val="0"/>
          <w:numId w:val="7"/>
        </w:numPr>
        <w:spacing w:before="163" w:beforeLines="50" w:after="163" w:afterLines="50" w:line="600" w:lineRule="exact"/>
        <w:ind w:firstLine="640"/>
        <w:jc w:val="left"/>
        <w:rPr>
          <w:rFonts w:hAnsi="楷体"/>
          <w:sz w:val="32"/>
          <w:szCs w:val="32"/>
        </w:rPr>
      </w:pPr>
      <w:r>
        <w:rPr>
          <w:rFonts w:hint="eastAsia" w:hAnsi="楷体"/>
          <w:sz w:val="32"/>
          <w:szCs w:val="32"/>
        </w:rPr>
        <w:t>土壤污染治理和水生态修复</w:t>
      </w:r>
    </w:p>
    <w:p w14:paraId="620A5806">
      <w:pPr>
        <w:spacing w:line="600" w:lineRule="exact"/>
        <w:ind w:firstLine="640"/>
        <w:rPr>
          <w:rFonts w:ascii="仿宋_GB2312" w:eastAsia="仿宋_GB2312"/>
          <w:bCs/>
          <w:sz w:val="32"/>
          <w:szCs w:val="32"/>
        </w:rPr>
      </w:pPr>
      <w:r>
        <w:rPr>
          <w:rFonts w:hint="eastAsia" w:ascii="仿宋_GB2312" w:eastAsia="仿宋_GB2312"/>
          <w:bCs/>
          <w:sz w:val="32"/>
          <w:szCs w:val="32"/>
        </w:rPr>
        <w:t>1.土壤污染治理</w:t>
      </w:r>
    </w:p>
    <w:p w14:paraId="7000AF96">
      <w:pPr>
        <w:spacing w:line="600" w:lineRule="exact"/>
        <w:ind w:firstLine="640"/>
        <w:rPr>
          <w:rFonts w:ascii="仿宋_GB2312" w:eastAsia="仿宋_GB2312"/>
          <w:bCs/>
          <w:sz w:val="32"/>
          <w:szCs w:val="32"/>
        </w:rPr>
      </w:pPr>
      <w:r>
        <w:rPr>
          <w:rFonts w:hint="eastAsia" w:ascii="仿宋_GB2312" w:eastAsia="仿宋_GB2312"/>
          <w:bCs/>
          <w:sz w:val="32"/>
          <w:szCs w:val="32"/>
        </w:rPr>
        <w:t>积极</w:t>
      </w:r>
      <w:r>
        <w:rPr>
          <w:rFonts w:ascii="仿宋_GB2312" w:eastAsia="仿宋_GB2312"/>
          <w:bCs/>
          <w:sz w:val="32"/>
          <w:szCs w:val="32"/>
        </w:rPr>
        <w:t>配合完成农用地土壤污染调查。对辖区内重点行业企业用地实施土壤污染调查。保护和提升耕地土壤质量。加强永久基本农田保护，确保永久基本农田面积不减少、土壤环境质量不下降。固废与生活垃圾治理有效控制。加强提高危险废物规范化管理，加大危险废物处置力度，积极疏通危险废物合法安全处置渠道。推进生活垃圾处置力度。保洁体系全覆盖，生活垃圾无害化处理设施运行规范，处理能力能满足生活需要，农村生活垃圾密闭运输率、压缩转运率达到100%，无害化处理达到96%以上</w:t>
      </w:r>
      <w:r>
        <w:rPr>
          <w:rFonts w:hint="eastAsia" w:ascii="仿宋_GB2312" w:eastAsia="仿宋_GB2312"/>
          <w:bCs/>
          <w:sz w:val="32"/>
          <w:szCs w:val="32"/>
        </w:rPr>
        <w:t>。</w:t>
      </w:r>
    </w:p>
    <w:p w14:paraId="05C29768">
      <w:pPr>
        <w:spacing w:line="600" w:lineRule="exact"/>
        <w:ind w:firstLine="640"/>
        <w:rPr>
          <w:rFonts w:ascii="仿宋_GB2312" w:eastAsia="仿宋_GB2312"/>
          <w:bCs/>
          <w:sz w:val="32"/>
          <w:szCs w:val="32"/>
        </w:rPr>
      </w:pPr>
      <w:r>
        <w:rPr>
          <w:rFonts w:hint="eastAsia" w:ascii="仿宋_GB2312" w:eastAsia="仿宋_GB2312"/>
          <w:bCs/>
          <w:sz w:val="32"/>
          <w:szCs w:val="32"/>
        </w:rPr>
        <w:t>2.水生态修复</w:t>
      </w:r>
    </w:p>
    <w:p w14:paraId="16D91925">
      <w:pPr>
        <w:spacing w:line="600" w:lineRule="exact"/>
        <w:ind w:firstLine="640"/>
        <w:rPr>
          <w:rFonts w:ascii="仿宋_GB2312" w:eastAsia="仿宋_GB2312"/>
          <w:bCs/>
          <w:sz w:val="32"/>
          <w:szCs w:val="32"/>
        </w:rPr>
      </w:pPr>
      <w:r>
        <w:rPr>
          <w:rFonts w:hint="eastAsia" w:ascii="仿宋_GB2312" w:eastAsia="仿宋_GB2312"/>
          <w:bCs/>
          <w:sz w:val="32"/>
          <w:szCs w:val="32"/>
        </w:rPr>
        <w:t>加强河道水产养殖清理。沿河各村对河道内的垃圾、非法捕鱼进行集中清理，严禁从事水产养殖活动，同时设立禁养标志，严格控制河道养殖污染。全面落实“河长制”。按照“一河一策”方案，落实河长巡河制，加快实施河流治污工程，杜绝污水流入支渠河道。</w:t>
      </w:r>
    </w:p>
    <w:p w14:paraId="4BF51B49">
      <w:pPr>
        <w:spacing w:line="600" w:lineRule="exact"/>
        <w:ind w:firstLine="640"/>
        <w:rPr>
          <w:rFonts w:ascii="仿宋_GB2312" w:eastAsia="仿宋_GB2312"/>
          <w:bCs/>
          <w:sz w:val="32"/>
          <w:szCs w:val="32"/>
        </w:rPr>
      </w:pPr>
      <w:r>
        <w:rPr>
          <w:rFonts w:ascii="仿宋_GB2312" w:eastAsia="仿宋_GB2312"/>
          <w:bCs/>
          <w:sz w:val="32"/>
          <w:szCs w:val="32"/>
        </w:rPr>
        <w:t>开展农业面源污染治理。加大全镇养殖场污染治理</w:t>
      </w:r>
      <w:r>
        <w:rPr>
          <w:rFonts w:hint="eastAsia" w:ascii="仿宋_GB2312" w:eastAsia="仿宋_GB2312"/>
          <w:bCs/>
          <w:sz w:val="32"/>
          <w:szCs w:val="32"/>
        </w:rPr>
        <w:t>工作，强化规模化养殖场粪污综合利用和污染治理，落实“种养结合、以地定畜”的要求，加强粪污还田，雨污分流、粪便污水资源化利用。控制种植业面源污染。推进化肥、农药施用量减量化。控制秸秆还田污染水体。加大秸秆资源化利用渠道，杜绝秸秆抛沟入河现象。</w:t>
      </w:r>
    </w:p>
    <w:p w14:paraId="1C585720">
      <w:pPr>
        <w:spacing w:line="600" w:lineRule="exact"/>
        <w:ind w:firstLine="640"/>
        <w:rPr>
          <w:rFonts w:ascii="仿宋_GB2312" w:eastAsia="仿宋_GB2312"/>
          <w:bCs/>
          <w:sz w:val="32"/>
          <w:szCs w:val="32"/>
        </w:rPr>
      </w:pPr>
      <w:r>
        <w:rPr>
          <w:rFonts w:hint="eastAsia" w:ascii="仿宋_GB2312" w:eastAsia="仿宋_GB2312"/>
          <w:bCs/>
          <w:sz w:val="32"/>
          <w:szCs w:val="32"/>
        </w:rPr>
        <w:t>水生态修复应以河道生态修复为重点，逐步恢复河道生态功能，水体感观变清、变净；落实《沂源县国土空间总体规划（</w:t>
      </w:r>
      <w:r>
        <w:rPr>
          <w:rFonts w:ascii="仿宋_GB2312" w:eastAsia="仿宋_GB2312"/>
          <w:bCs/>
          <w:sz w:val="32"/>
          <w:szCs w:val="32"/>
        </w:rPr>
        <w:t>2021-2035年）》确定的</w:t>
      </w:r>
      <w:r>
        <w:rPr>
          <w:rFonts w:hint="eastAsia" w:ascii="仿宋_GB2312" w:eastAsia="仿宋_GB2312"/>
          <w:bCs/>
          <w:sz w:val="32"/>
          <w:szCs w:val="32"/>
        </w:rPr>
        <w:t>红水河河道拦蓄、清淤疏浚工程，重点任务为清障清淤，疏通河道及景观修复。规划近期目标水生态修复重点工程为红水河生态修复工程。</w:t>
      </w:r>
    </w:p>
    <w:p w14:paraId="6EA0D605">
      <w:pPr>
        <w:numPr>
          <w:ilvl w:val="0"/>
          <w:numId w:val="7"/>
        </w:numPr>
        <w:spacing w:before="163" w:beforeLines="50" w:after="163" w:afterLines="50" w:line="600" w:lineRule="exact"/>
        <w:ind w:firstLine="640"/>
        <w:jc w:val="left"/>
        <w:rPr>
          <w:rFonts w:hAnsi="楷体"/>
          <w:b/>
          <w:sz w:val="32"/>
          <w:szCs w:val="32"/>
        </w:rPr>
      </w:pPr>
      <w:r>
        <w:rPr>
          <w:rFonts w:hint="eastAsia" w:hAnsi="楷体"/>
          <w:bCs/>
          <w:sz w:val="32"/>
          <w:szCs w:val="32"/>
        </w:rPr>
        <w:t>已</w:t>
      </w:r>
      <w:r>
        <w:rPr>
          <w:rFonts w:hAnsi="楷体"/>
          <w:bCs/>
          <w:sz w:val="32"/>
          <w:szCs w:val="32"/>
        </w:rPr>
        <w:t>关闭露天矿山地质环境治理</w:t>
      </w:r>
    </w:p>
    <w:p w14:paraId="45D30DB8">
      <w:pPr>
        <w:spacing w:line="600" w:lineRule="exact"/>
        <w:ind w:firstLine="640"/>
        <w:rPr>
          <w:rFonts w:ascii="仿宋_GB2312" w:eastAsia="仿宋_GB2312"/>
          <w:bCs/>
          <w:sz w:val="32"/>
          <w:szCs w:val="32"/>
        </w:rPr>
      </w:pPr>
      <w:r>
        <w:rPr>
          <w:rFonts w:hint="eastAsia" w:ascii="仿宋_GB2312" w:eastAsia="仿宋_GB2312"/>
          <w:bCs/>
          <w:sz w:val="32"/>
          <w:szCs w:val="32"/>
        </w:rPr>
        <w:t>镇域内采矿用地均为非资源采集类。主要特征为数量少、规模小、未破化地质。环境治理要以污染治理为抓手，确实做好环境评价工作，以科学技术为基础，做到“易耕则耕、易林则林、易建则建”精准定位治理方向，优化土地集约节约利用。</w:t>
      </w:r>
    </w:p>
    <w:p w14:paraId="64357051">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生态环境综合修复</w:t>
      </w:r>
    </w:p>
    <w:p w14:paraId="5E8B33A0">
      <w:pPr>
        <w:spacing w:line="600" w:lineRule="exact"/>
        <w:ind w:firstLine="640"/>
        <w:rPr>
          <w:rFonts w:ascii="仿宋_GB2312" w:eastAsia="仿宋_GB2312"/>
          <w:bCs/>
          <w:sz w:val="32"/>
          <w:szCs w:val="32"/>
        </w:rPr>
      </w:pPr>
      <w:r>
        <w:rPr>
          <w:rFonts w:hint="eastAsia" w:ascii="仿宋_GB2312" w:eastAsia="仿宋_GB2312"/>
          <w:bCs/>
          <w:sz w:val="32"/>
          <w:szCs w:val="32"/>
        </w:rPr>
        <w:t>镇域内生态环境综合修复应统筹山水林田湖草为一个生命共同体，要系统的全方位、全地域、全过程展开。土壤污染形式较为严峻，要开创新型的农业种植模式，解决土壤酸化、土壤板结问题。水生态环境首要任务是保持整体稳定，加强红水河等水质检测工作。对环境干扰源要加强源头把控，要按源头分类分项制定管控策略。加快一类、二类产业节水改进步伐，有效控制地下水超采形势加剧。增加森林覆盖面积，重点加强具有护岸、护田、护路功能的林地抚育更新工作。对于生产建设或自然灾害新损毁的土地保障进行修复</w:t>
      </w:r>
      <w:r>
        <w:rPr>
          <w:rFonts w:ascii="仿宋_GB2312" w:eastAsia="仿宋_GB2312"/>
          <w:bCs/>
          <w:sz w:val="32"/>
          <w:szCs w:val="32"/>
        </w:rPr>
        <w:t>。加强生态廊道建设，要充分依靠水系和道路等带状特性，通过绿化建设的方式形成动植物生态廊道，推动廊道互通互联</w:t>
      </w:r>
      <w:r>
        <w:rPr>
          <w:rFonts w:hint="eastAsia" w:ascii="仿宋_GB2312" w:eastAsia="仿宋_GB2312"/>
          <w:bCs/>
          <w:sz w:val="32"/>
          <w:szCs w:val="32"/>
        </w:rPr>
        <w:t>建设。同时落实《沂源县国土空间总体规划（</w:t>
      </w:r>
      <w:r>
        <w:rPr>
          <w:rFonts w:ascii="仿宋_GB2312" w:eastAsia="仿宋_GB2312"/>
          <w:bCs/>
          <w:sz w:val="32"/>
          <w:szCs w:val="32"/>
        </w:rPr>
        <w:t>2021-2035年）》确定的全域土地综合整治项目，涉及桃花坪村等7个村庄，整体推进乡村生态修复，促进耕地保护和土地集约节约利用，改善农村人居环境，助推乡村全面振兴。</w:t>
      </w:r>
    </w:p>
    <w:p w14:paraId="6E9512E8">
      <w:pPr>
        <w:pStyle w:val="4"/>
        <w:spacing w:before="163" w:beforeLines="50" w:after="163" w:afterLines="50"/>
        <w:rPr>
          <w:rFonts w:ascii="黑体" w:hAnsi="黑体" w:eastAsia="黑体"/>
          <w:b w:val="0"/>
          <w:sz w:val="32"/>
        </w:rPr>
      </w:pPr>
      <w:bookmarkStart w:id="85" w:name="_Toc185960440"/>
      <w:r>
        <w:rPr>
          <w:rFonts w:hint="eastAsia" w:ascii="黑体" w:hAnsi="黑体" w:eastAsia="黑体"/>
          <w:b w:val="0"/>
          <w:sz w:val="32"/>
        </w:rPr>
        <w:t>国土综合整治</w:t>
      </w:r>
      <w:bookmarkEnd w:id="85"/>
    </w:p>
    <w:p w14:paraId="7D62E1F7">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农用地综合整治</w:t>
      </w:r>
    </w:p>
    <w:p w14:paraId="2AC09881">
      <w:pPr>
        <w:spacing w:line="600" w:lineRule="exact"/>
        <w:ind w:firstLine="640"/>
        <w:rPr>
          <w:rFonts w:ascii="仿宋_GB2312" w:eastAsia="仿宋_GB2312"/>
          <w:bCs/>
          <w:sz w:val="32"/>
          <w:szCs w:val="32"/>
        </w:rPr>
      </w:pPr>
      <w:r>
        <w:rPr>
          <w:rFonts w:hint="eastAsia" w:ascii="仿宋_GB2312" w:eastAsia="仿宋_GB2312"/>
          <w:bCs/>
          <w:sz w:val="32"/>
          <w:szCs w:val="32"/>
        </w:rPr>
        <w:t>农用地综合整治应遵循实事求是的原则，主动探索农业生产与生态保护协调发展的方式。在此基础上，推动农用地整合优化。通过整合优化后形成的优质空间资源，加大向镇域内主要农业产业链倾斜，从而提高农用地空间利用率。以农业生产适宜性评价结果为依据，确定镇域内农用地整治应以扩充耕地为主要目标，协调配套的道路、林网、沟渠、坑塘、零星建设用地和其他土地的空间关系，落实《沂源县国土空间总体规划（</w:t>
      </w:r>
      <w:r>
        <w:rPr>
          <w:rFonts w:ascii="仿宋_GB2312" w:eastAsia="仿宋_GB2312"/>
          <w:bCs/>
          <w:sz w:val="32"/>
          <w:szCs w:val="32"/>
        </w:rPr>
        <w:t>2021-2035年）》</w:t>
      </w:r>
      <w:r>
        <w:rPr>
          <w:rFonts w:hint="eastAsia" w:ascii="仿宋_GB2312" w:eastAsia="仿宋_GB2312"/>
          <w:bCs/>
          <w:sz w:val="32"/>
          <w:szCs w:val="32"/>
        </w:rPr>
        <w:t>确定的全域土地综合整治项目，涉及桃花坪村等</w:t>
      </w:r>
      <w:r>
        <w:rPr>
          <w:rFonts w:ascii="仿宋_GB2312" w:eastAsia="仿宋_GB2312"/>
          <w:bCs/>
          <w:sz w:val="32"/>
          <w:szCs w:val="32"/>
        </w:rPr>
        <w:t>7个村庄</w:t>
      </w:r>
      <w:r>
        <w:rPr>
          <w:rFonts w:hint="eastAsia" w:ascii="仿宋_GB2312" w:eastAsia="仿宋_GB2312"/>
          <w:bCs/>
          <w:sz w:val="32"/>
          <w:szCs w:val="32"/>
        </w:rPr>
        <w:t>，整体推进农用地整理，促进耕地保护和土地集约节约利用，改善农村人居环境，助推乡村全面振兴。</w:t>
      </w:r>
    </w:p>
    <w:p w14:paraId="51258375">
      <w:pPr>
        <w:spacing w:line="600" w:lineRule="exact"/>
        <w:ind w:firstLine="640"/>
        <w:rPr>
          <w:rFonts w:ascii="仿宋_GB2312" w:eastAsia="仿宋_GB2312"/>
          <w:bCs/>
          <w:sz w:val="32"/>
          <w:szCs w:val="32"/>
        </w:rPr>
      </w:pPr>
      <w:r>
        <w:rPr>
          <w:rFonts w:hint="eastAsia" w:ascii="仿宋_GB2312" w:eastAsia="仿宋_GB2312"/>
          <w:bCs/>
          <w:sz w:val="32"/>
          <w:szCs w:val="32"/>
        </w:rPr>
        <w:t>规划到</w:t>
      </w:r>
      <w:r>
        <w:rPr>
          <w:rFonts w:ascii="仿宋_GB2312" w:eastAsia="仿宋_GB2312"/>
          <w:bCs/>
          <w:sz w:val="32"/>
          <w:szCs w:val="32"/>
        </w:rPr>
        <w:t>2035年，通过农用地</w:t>
      </w:r>
      <w:r>
        <w:rPr>
          <w:rFonts w:hint="eastAsia" w:ascii="仿宋_GB2312" w:eastAsia="仿宋_GB2312"/>
          <w:bCs/>
          <w:sz w:val="32"/>
          <w:szCs w:val="32"/>
        </w:rPr>
        <w:t>综合</w:t>
      </w:r>
      <w:r>
        <w:rPr>
          <w:rFonts w:ascii="仿宋_GB2312" w:eastAsia="仿宋_GB2312"/>
          <w:bCs/>
          <w:sz w:val="32"/>
          <w:szCs w:val="32"/>
        </w:rPr>
        <w:t>整治，争取增加</w:t>
      </w:r>
      <w:r>
        <w:rPr>
          <w:rFonts w:hint="eastAsia" w:ascii="仿宋_GB2312" w:eastAsia="仿宋_GB2312"/>
          <w:bCs/>
          <w:sz w:val="32"/>
          <w:szCs w:val="32"/>
        </w:rPr>
        <w:t>37.05公顷耕地。</w:t>
      </w:r>
    </w:p>
    <w:p w14:paraId="3745E6FA">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宜耕后备资源开发</w:t>
      </w:r>
    </w:p>
    <w:p w14:paraId="31B31BDD">
      <w:pPr>
        <w:spacing w:line="600" w:lineRule="exact"/>
        <w:ind w:firstLine="640"/>
        <w:rPr>
          <w:rFonts w:ascii="仿宋_GB2312" w:eastAsia="仿宋_GB2312"/>
          <w:bCs/>
          <w:sz w:val="32"/>
          <w:szCs w:val="32"/>
        </w:rPr>
      </w:pPr>
      <w:r>
        <w:rPr>
          <w:rFonts w:hint="eastAsia" w:ascii="仿宋_GB2312" w:eastAsia="仿宋_GB2312"/>
          <w:bCs/>
          <w:sz w:val="32"/>
          <w:szCs w:val="32"/>
        </w:rPr>
        <w:t>在不破坏生态环境的前提下，适度开发宜耕后备土地资源以增加有效耕地面积，促进土地资源可持续利用。张家坡镇镇域范围内宜耕后备资源总面积为20.81公顷</w:t>
      </w:r>
      <w:r>
        <w:rPr>
          <w:rFonts w:ascii="仿宋_GB2312" w:eastAsia="仿宋_GB2312"/>
          <w:bCs/>
          <w:sz w:val="32"/>
          <w:szCs w:val="32"/>
        </w:rPr>
        <w:t>，主要为草地</w:t>
      </w:r>
      <w:r>
        <w:rPr>
          <w:rFonts w:hint="eastAsia" w:ascii="仿宋_GB2312" w:eastAsia="仿宋_GB2312"/>
          <w:bCs/>
          <w:sz w:val="32"/>
          <w:szCs w:val="32"/>
        </w:rPr>
        <w:t>和裸岩石砾地。</w:t>
      </w:r>
    </w:p>
    <w:p w14:paraId="4A847ADB">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建设用地整治</w:t>
      </w:r>
    </w:p>
    <w:p w14:paraId="3FDBD2DC">
      <w:pPr>
        <w:spacing w:line="600" w:lineRule="exact"/>
        <w:ind w:firstLine="640"/>
        <w:rPr>
          <w:rFonts w:ascii="仿宋_GB2312" w:eastAsia="仿宋_GB2312"/>
          <w:bCs/>
          <w:sz w:val="32"/>
          <w:szCs w:val="32"/>
        </w:rPr>
      </w:pPr>
      <w:r>
        <w:rPr>
          <w:rFonts w:hint="eastAsia" w:ascii="仿宋_GB2312" w:eastAsia="仿宋_GB2312"/>
          <w:bCs/>
          <w:sz w:val="32"/>
          <w:szCs w:val="32"/>
        </w:rPr>
        <w:t>建设用地整治要以问题导向方式确定潜力范围。镇域内村庄建设用地规模过大，其主要用途为农村宅基地</w:t>
      </w:r>
      <w:r>
        <w:rPr>
          <w:rFonts w:ascii="仿宋_GB2312" w:eastAsia="仿宋_GB2312"/>
          <w:bCs/>
          <w:sz w:val="32"/>
          <w:szCs w:val="32"/>
        </w:rPr>
        <w:t>。建设用地整理应研判人口发展趋势，加大城乡建设用地调查力度，明确具体建设用地利用率</w:t>
      </w:r>
      <w:r>
        <w:rPr>
          <w:rFonts w:hint="eastAsia" w:ascii="仿宋_GB2312" w:eastAsia="仿宋_GB2312"/>
          <w:bCs/>
          <w:sz w:val="32"/>
          <w:szCs w:val="32"/>
        </w:rPr>
        <w:t>，规划建设用地整治66.08公顷。同时落实《沂源县国土空间总体规划（</w:t>
      </w:r>
      <w:r>
        <w:rPr>
          <w:rFonts w:ascii="仿宋_GB2312" w:eastAsia="仿宋_GB2312"/>
          <w:bCs/>
          <w:sz w:val="32"/>
          <w:szCs w:val="32"/>
        </w:rPr>
        <w:t>2021-2035年）》确定的全域土地综合整治项目，涉及桃花坪村等7个村庄，整体推进建设用地整理，促进耕地保护和土地集约节约利用，改善农村人居环境，助推乡村全面振兴</w:t>
      </w:r>
      <w:r>
        <w:rPr>
          <w:rFonts w:hint="eastAsia" w:ascii="仿宋_GB2312" w:eastAsia="仿宋_GB2312"/>
          <w:bCs/>
          <w:sz w:val="32"/>
          <w:szCs w:val="32"/>
        </w:rPr>
        <w:t>。</w:t>
      </w:r>
    </w:p>
    <w:p w14:paraId="1C26B3E7">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可恢复地类复垦</w:t>
      </w:r>
    </w:p>
    <w:p w14:paraId="1953C942">
      <w:pPr>
        <w:spacing w:line="600" w:lineRule="exact"/>
        <w:ind w:firstLine="640"/>
        <w:rPr>
          <w:rFonts w:ascii="仿宋_GB2312" w:eastAsia="仿宋_GB2312"/>
          <w:bCs/>
          <w:sz w:val="32"/>
          <w:szCs w:val="32"/>
        </w:rPr>
      </w:pPr>
      <w:r>
        <w:rPr>
          <w:rFonts w:hint="eastAsia" w:ascii="仿宋_GB2312" w:eastAsia="仿宋_GB2312"/>
          <w:bCs/>
          <w:sz w:val="32"/>
          <w:szCs w:val="32"/>
        </w:rPr>
        <w:t>结合</w:t>
      </w:r>
      <w:r>
        <w:rPr>
          <w:rFonts w:ascii="仿宋_GB2312" w:eastAsia="仿宋_GB2312"/>
          <w:bCs/>
          <w:sz w:val="32"/>
          <w:szCs w:val="32"/>
        </w:rPr>
        <w:t>2020年国土变更调查数据</w:t>
      </w:r>
      <w:r>
        <w:rPr>
          <w:rFonts w:hint="eastAsia" w:ascii="仿宋_GB2312" w:eastAsia="仿宋_GB2312"/>
          <w:bCs/>
          <w:sz w:val="32"/>
          <w:szCs w:val="32"/>
        </w:rPr>
        <w:t>，农用地标注为</w:t>
      </w:r>
      <w:r>
        <w:rPr>
          <w:rFonts w:ascii="仿宋_GB2312" w:eastAsia="仿宋_GB2312"/>
          <w:bCs/>
          <w:sz w:val="32"/>
          <w:szCs w:val="32"/>
        </w:rPr>
        <w:t>“即可恢复”</w:t>
      </w:r>
      <w:r>
        <w:rPr>
          <w:rFonts w:hint="eastAsia" w:ascii="仿宋_GB2312" w:eastAsia="仿宋_GB2312"/>
          <w:bCs/>
          <w:sz w:val="32"/>
          <w:szCs w:val="32"/>
        </w:rPr>
        <w:t>或者</w:t>
      </w:r>
      <w:r>
        <w:rPr>
          <w:rFonts w:ascii="仿宋_GB2312" w:eastAsia="仿宋_GB2312"/>
          <w:bCs/>
          <w:sz w:val="32"/>
          <w:szCs w:val="32"/>
        </w:rPr>
        <w:t>“工程恢复”</w:t>
      </w:r>
      <w:r>
        <w:rPr>
          <w:rFonts w:hint="eastAsia" w:ascii="仿宋_GB2312" w:eastAsia="仿宋_GB2312"/>
          <w:bCs/>
          <w:sz w:val="32"/>
          <w:szCs w:val="32"/>
        </w:rPr>
        <w:t>用地面积62.02公顷，规划落实《沂源县国土空间总体规划（</w:t>
      </w:r>
      <w:r>
        <w:rPr>
          <w:rFonts w:ascii="仿宋_GB2312" w:eastAsia="仿宋_GB2312"/>
          <w:bCs/>
          <w:sz w:val="32"/>
          <w:szCs w:val="32"/>
        </w:rPr>
        <w:t>2021-2035年）</w:t>
      </w:r>
      <w:r>
        <w:rPr>
          <w:rFonts w:hint="eastAsia" w:ascii="仿宋_GB2312" w:eastAsia="仿宋_GB2312"/>
          <w:bCs/>
          <w:sz w:val="32"/>
          <w:szCs w:val="32"/>
        </w:rPr>
        <w:t>》划定的永久基本农田及永久基本农田核实处置数据，对于划定的永久基本农田及永久基本农田核实处置数据中地类为果园的可恢复地类复垦为耕地，总面积11.88公顷。</w:t>
      </w:r>
    </w:p>
    <w:p w14:paraId="274B2E74">
      <w:pPr>
        <w:numPr>
          <w:ilvl w:val="0"/>
          <w:numId w:val="7"/>
        </w:numPr>
        <w:spacing w:before="163" w:beforeLines="50" w:after="163" w:afterLines="50" w:line="600" w:lineRule="exact"/>
        <w:ind w:firstLine="640"/>
        <w:jc w:val="left"/>
        <w:rPr>
          <w:rFonts w:hAnsi="楷体"/>
          <w:bCs/>
          <w:sz w:val="32"/>
          <w:szCs w:val="32"/>
        </w:rPr>
      </w:pPr>
      <w:r>
        <w:rPr>
          <w:rFonts w:hint="eastAsia" w:hAnsi="楷体"/>
          <w:bCs/>
          <w:sz w:val="32"/>
          <w:szCs w:val="32"/>
        </w:rPr>
        <w:t>高标准农田建设</w:t>
      </w:r>
    </w:p>
    <w:p w14:paraId="4C433888">
      <w:pPr>
        <w:spacing w:line="600" w:lineRule="exact"/>
        <w:ind w:firstLine="640"/>
        <w:rPr>
          <w:rFonts w:ascii="仿宋_GB2312" w:eastAsia="仿宋_GB2312"/>
          <w:bCs/>
          <w:sz w:val="32"/>
          <w:szCs w:val="32"/>
        </w:rPr>
      </w:pPr>
      <w:r>
        <w:rPr>
          <w:rFonts w:hint="eastAsia" w:ascii="仿宋_GB2312" w:eastAsia="仿宋_GB2312"/>
          <w:bCs/>
          <w:sz w:val="32"/>
          <w:szCs w:val="32"/>
        </w:rPr>
        <w:t>落实《沂源县国土空间总体规划（</w:t>
      </w:r>
      <w:r>
        <w:rPr>
          <w:rFonts w:ascii="仿宋_GB2312" w:eastAsia="仿宋_GB2312"/>
          <w:bCs/>
          <w:sz w:val="32"/>
          <w:szCs w:val="32"/>
        </w:rPr>
        <w:t>2021-2035年）》</w:t>
      </w:r>
      <w:r>
        <w:rPr>
          <w:rFonts w:hint="eastAsia" w:ascii="仿宋_GB2312" w:eastAsia="仿宋_GB2312"/>
          <w:bCs/>
          <w:sz w:val="32"/>
          <w:szCs w:val="32"/>
        </w:rPr>
        <w:t>确定的高标准农田建设工程，提升基本农田质量、改善农业生产条件、发挥基本农田生态功能；提高耕地质量等级，提升土地利用率和耕地产出效能，提高农业综合生产力，建设规模78.47公顷。</w:t>
      </w:r>
    </w:p>
    <w:p w14:paraId="3292FBD8">
      <w:pPr>
        <w:ind w:firstLine="400"/>
        <w:rPr>
          <w:rFonts w:hint="eastAsia"/>
        </w:rPr>
      </w:pPr>
    </w:p>
    <w:p w14:paraId="0E149E87">
      <w:pPr>
        <w:pStyle w:val="2"/>
        <w:ind w:firstLine="400"/>
        <w:rPr>
          <w:rFonts w:hint="eastAsia"/>
        </w:rPr>
      </w:pPr>
    </w:p>
    <w:bookmarkEnd w:id="73"/>
    <w:bookmarkEnd w:id="80"/>
    <w:bookmarkEnd w:id="81"/>
    <w:bookmarkEnd w:id="82"/>
    <w:bookmarkEnd w:id="83"/>
    <w:bookmarkEnd w:id="84"/>
    <w:p w14:paraId="1A7235DE">
      <w:pPr>
        <w:pStyle w:val="3"/>
        <w:spacing w:before="326" w:after="326" w:afterLines="100"/>
        <w:rPr>
          <w:rFonts w:ascii="方正小标宋简体" w:eastAsia="方正小标宋简体"/>
          <w:b w:val="0"/>
          <w:sz w:val="36"/>
          <w:szCs w:val="36"/>
        </w:rPr>
      </w:pPr>
      <w:bookmarkStart w:id="86" w:name="_Toc9638"/>
      <w:bookmarkStart w:id="87" w:name="_Toc21701"/>
      <w:bookmarkStart w:id="88" w:name="_Toc2615"/>
      <w:bookmarkStart w:id="89" w:name="_Toc12179"/>
      <w:bookmarkStart w:id="90" w:name="_Toc15389"/>
      <w:bookmarkStart w:id="91" w:name="_Toc3582"/>
      <w:bookmarkStart w:id="92" w:name="_Toc21747"/>
      <w:bookmarkStart w:id="93" w:name="_Toc31705"/>
      <w:bookmarkStart w:id="94" w:name="_Toc22291"/>
      <w:bookmarkStart w:id="95" w:name="_Toc13339"/>
      <w:r>
        <w:rPr>
          <w:rFonts w:hint="eastAsia" w:ascii="方正小标宋简体" w:eastAsia="方正小标宋简体"/>
          <w:b w:val="0"/>
          <w:sz w:val="36"/>
          <w:szCs w:val="36"/>
        </w:rPr>
        <w:t>城镇开发边界范围规划布局</w:t>
      </w:r>
      <w:bookmarkEnd w:id="86"/>
      <w:bookmarkEnd w:id="87"/>
      <w:bookmarkEnd w:id="88"/>
      <w:bookmarkEnd w:id="89"/>
      <w:bookmarkEnd w:id="90"/>
      <w:bookmarkEnd w:id="91"/>
      <w:bookmarkEnd w:id="92"/>
      <w:bookmarkEnd w:id="93"/>
      <w:bookmarkEnd w:id="94"/>
      <w:bookmarkEnd w:id="95"/>
    </w:p>
    <w:p w14:paraId="3FE61B91">
      <w:pPr>
        <w:pStyle w:val="4"/>
        <w:spacing w:before="163" w:beforeLines="50" w:after="163" w:afterLines="50"/>
        <w:rPr>
          <w:rFonts w:ascii="黑体" w:hAnsi="黑体" w:eastAsia="黑体"/>
          <w:b w:val="0"/>
          <w:sz w:val="32"/>
        </w:rPr>
      </w:pPr>
      <w:bookmarkStart w:id="96" w:name="_Toc597"/>
      <w:bookmarkStart w:id="97" w:name="_Toc19650"/>
      <w:bookmarkStart w:id="98" w:name="_Toc28875"/>
      <w:bookmarkStart w:id="99" w:name="_Toc1699"/>
      <w:bookmarkStart w:id="100" w:name="_Toc12889"/>
      <w:bookmarkStart w:id="101" w:name="_Hlk89284177"/>
      <w:r>
        <w:rPr>
          <w:rFonts w:hint="eastAsia" w:ascii="黑体" w:hAnsi="黑体" w:eastAsia="黑体"/>
          <w:b w:val="0"/>
          <w:sz w:val="32"/>
        </w:rPr>
        <w:t>用地布局</w:t>
      </w:r>
      <w:bookmarkEnd w:id="96"/>
      <w:bookmarkEnd w:id="97"/>
      <w:bookmarkEnd w:id="98"/>
      <w:bookmarkEnd w:id="99"/>
      <w:bookmarkEnd w:id="100"/>
    </w:p>
    <w:p w14:paraId="67FD5F01">
      <w:pPr>
        <w:pStyle w:val="86"/>
        <w:ind w:firstLine="640"/>
        <w:outlineLvl w:val="9"/>
        <w:rPr>
          <w:rStyle w:val="34"/>
          <w:b w:val="0"/>
          <w:bCs w:val="0"/>
          <w:color w:val="auto"/>
        </w:rPr>
      </w:pPr>
      <w:bookmarkStart w:id="102" w:name="_Toc16893"/>
      <w:bookmarkStart w:id="103" w:name="_Toc259"/>
      <w:bookmarkStart w:id="104" w:name="_Toc28636"/>
      <w:r>
        <w:rPr>
          <w:rStyle w:val="34"/>
          <w:rFonts w:hint="eastAsia"/>
          <w:b w:val="0"/>
          <w:bCs w:val="0"/>
          <w:color w:val="auto"/>
        </w:rPr>
        <w:t>规划分区</w:t>
      </w:r>
      <w:bookmarkEnd w:id="102"/>
      <w:bookmarkEnd w:id="103"/>
      <w:bookmarkEnd w:id="104"/>
      <w:r>
        <w:rPr>
          <w:rStyle w:val="34"/>
          <w:rFonts w:hint="eastAsia"/>
          <w:b w:val="0"/>
          <w:bCs w:val="0"/>
          <w:color w:val="auto"/>
        </w:rPr>
        <w:t>管控</w:t>
      </w:r>
    </w:p>
    <w:p w14:paraId="68C90EA6">
      <w:pPr>
        <w:spacing w:line="600" w:lineRule="exact"/>
        <w:ind w:firstLine="640"/>
        <w:rPr>
          <w:rFonts w:ascii="仿宋_GB2312" w:eastAsia="仿宋_GB2312"/>
          <w:bCs/>
          <w:sz w:val="32"/>
          <w:szCs w:val="32"/>
        </w:rPr>
      </w:pPr>
      <w:r>
        <w:rPr>
          <w:rFonts w:hint="eastAsia" w:ascii="仿宋_GB2312" w:eastAsia="仿宋_GB2312"/>
          <w:bCs/>
          <w:sz w:val="32"/>
          <w:szCs w:val="32"/>
        </w:rPr>
        <w:t>依据用地功能对规划用地进行结构性控制，划分为居住生活区、综合服务区、商业商务区、工业发展区、物流仓储区、绿地休闲区。</w:t>
      </w:r>
    </w:p>
    <w:p w14:paraId="7F316838">
      <w:pPr>
        <w:spacing w:line="600" w:lineRule="exact"/>
        <w:ind w:firstLine="640"/>
        <w:rPr>
          <w:rFonts w:ascii="仿宋_GB2312" w:eastAsia="仿宋_GB2312"/>
          <w:bCs/>
          <w:sz w:val="32"/>
          <w:szCs w:val="32"/>
        </w:rPr>
      </w:pPr>
      <w:r>
        <w:rPr>
          <w:rFonts w:hint="eastAsia" w:ascii="仿宋_GB2312" w:eastAsia="仿宋_GB2312"/>
          <w:bCs/>
          <w:sz w:val="32"/>
          <w:szCs w:val="32"/>
        </w:rPr>
        <w:t>居住生活区。以住宅建筑和居住配套设施为主要功能导向的区域，以现状居住以及城镇建设拓展为主，注重乡村社区生活圈乡镇层级的建设。鼓励各类用地调整为教育设施、养老设施、公用设施、服务本地居民的小型公共服务设施、绿地和广场用地等；限制各类用地调整为易对居住生活区产生影响的工业、物流仓储等用地，总面积为10.94</w:t>
      </w:r>
      <w:r>
        <w:rPr>
          <w:rFonts w:ascii="仿宋_GB2312" w:eastAsia="仿宋_GB2312"/>
          <w:bCs/>
          <w:sz w:val="32"/>
          <w:szCs w:val="32"/>
        </w:rPr>
        <w:t>公顷。</w:t>
      </w:r>
    </w:p>
    <w:p w14:paraId="16D827F4">
      <w:pPr>
        <w:spacing w:line="600" w:lineRule="exact"/>
        <w:ind w:firstLine="640"/>
        <w:rPr>
          <w:rFonts w:ascii="仿宋_GB2312" w:eastAsia="仿宋_GB2312"/>
          <w:bCs/>
          <w:sz w:val="32"/>
          <w:szCs w:val="32"/>
        </w:rPr>
      </w:pPr>
      <w:r>
        <w:rPr>
          <w:rFonts w:hint="eastAsia" w:ascii="仿宋_GB2312" w:eastAsia="仿宋_GB2312"/>
          <w:bCs/>
          <w:sz w:val="32"/>
          <w:szCs w:val="32"/>
        </w:rPr>
        <w:t>综合服务区。合理布局各类公共管理与公共服务用地，鼓励用地功能调整为行政办公、文化、体育、医疗、教育、社会福利、绿地和广场等，限制各类用地调整为居住、工业、物流仓储等用地，总面积为15.92</w:t>
      </w:r>
      <w:r>
        <w:rPr>
          <w:rFonts w:ascii="仿宋_GB2312" w:eastAsia="仿宋_GB2312"/>
          <w:bCs/>
          <w:sz w:val="32"/>
          <w:szCs w:val="32"/>
        </w:rPr>
        <w:t>公顷。</w:t>
      </w:r>
    </w:p>
    <w:p w14:paraId="28BF0753">
      <w:pPr>
        <w:spacing w:line="600" w:lineRule="exact"/>
        <w:ind w:firstLine="640"/>
        <w:rPr>
          <w:rFonts w:ascii="仿宋_GB2312" w:eastAsia="仿宋_GB2312"/>
          <w:bCs/>
          <w:sz w:val="32"/>
          <w:szCs w:val="32"/>
        </w:rPr>
      </w:pPr>
      <w:r>
        <w:rPr>
          <w:rFonts w:hint="eastAsia" w:ascii="仿宋_GB2312" w:eastAsia="仿宋_GB2312"/>
          <w:bCs/>
          <w:sz w:val="32"/>
          <w:szCs w:val="32"/>
        </w:rPr>
        <w:t>商业商务区。以提供商业、商务办公等就业岗位为主要功能导向的区域。用地以商业服务业用地为主导，兼容绿地与开敞空间用地、公共管理与公共服务用地。商业商务区是城镇提供商业服务、商务办公的核心空间，应集约紧凑，满足服务等级、规模及类型要求。区内适度布局必要的公共服务设施，控制新增居住用地规模，限制布局工业、物流仓储等用地。在保障商业商务主要功能导向的前提下，鼓励多元功能的适度混合，总面积为11.17</w:t>
      </w:r>
      <w:r>
        <w:rPr>
          <w:rFonts w:ascii="仿宋_GB2312" w:eastAsia="仿宋_GB2312"/>
          <w:bCs/>
          <w:sz w:val="32"/>
          <w:szCs w:val="32"/>
        </w:rPr>
        <w:t>公顷。</w:t>
      </w:r>
    </w:p>
    <w:p w14:paraId="39B00E8C">
      <w:pPr>
        <w:spacing w:line="600" w:lineRule="exact"/>
        <w:ind w:firstLine="640"/>
        <w:rPr>
          <w:rFonts w:ascii="仿宋_GB2312" w:eastAsia="仿宋_GB2312"/>
          <w:bCs/>
          <w:sz w:val="32"/>
          <w:szCs w:val="32"/>
        </w:rPr>
      </w:pPr>
      <w:r>
        <w:rPr>
          <w:rFonts w:hint="eastAsia" w:ascii="仿宋_GB2312" w:eastAsia="仿宋_GB2312"/>
          <w:bCs/>
          <w:sz w:val="32"/>
          <w:szCs w:val="32"/>
        </w:rPr>
        <w:t>工业发展区。严格遵守工业用地防护距离要求，注重完善公共服务设施配套。用地以工业用地为主导，兼容绿地与开敞空间用地，在满足安全的条件下，适当布局为企业服务与配套的商业服务业用地、公共管理与公共服务用地，限制各类用地调整为居住用地。统筹安排生产性功能布局，提升生产运行效率，与周边其他用地和功能区协调好安全防护关系，保障其他城镇功能安全有序运行，总面积为0.29</w:t>
      </w:r>
      <w:r>
        <w:rPr>
          <w:rFonts w:ascii="仿宋_GB2312" w:eastAsia="仿宋_GB2312"/>
          <w:bCs/>
          <w:sz w:val="32"/>
          <w:szCs w:val="32"/>
        </w:rPr>
        <w:t>公顷。</w:t>
      </w:r>
    </w:p>
    <w:p w14:paraId="60F38382">
      <w:pPr>
        <w:spacing w:line="600" w:lineRule="exact"/>
        <w:ind w:firstLine="640"/>
        <w:rPr>
          <w:rFonts w:ascii="仿宋_GB2312" w:eastAsia="仿宋_GB2312"/>
          <w:bCs/>
          <w:sz w:val="32"/>
          <w:szCs w:val="32"/>
        </w:rPr>
      </w:pPr>
      <w:r>
        <w:rPr>
          <w:rFonts w:hint="eastAsia" w:ascii="仿宋_GB2312" w:eastAsia="仿宋_GB2312"/>
          <w:bCs/>
          <w:sz w:val="32"/>
          <w:szCs w:val="32"/>
        </w:rPr>
        <w:t>物流仓储区。主要以现状物流仓储用地为主，兼容绿地与开敞空间用地、交通场站用地，适当布局为企业服务与配套的商业服务业用地、公共管理与公共服务用地，限制各类用地调整为居住用地，总面积为2.46</w:t>
      </w:r>
      <w:r>
        <w:rPr>
          <w:rFonts w:ascii="仿宋_GB2312" w:eastAsia="仿宋_GB2312"/>
          <w:bCs/>
          <w:sz w:val="32"/>
          <w:szCs w:val="32"/>
        </w:rPr>
        <w:t>公顷。</w:t>
      </w:r>
    </w:p>
    <w:p w14:paraId="55248B76">
      <w:pPr>
        <w:spacing w:line="600" w:lineRule="exact"/>
        <w:ind w:firstLine="640"/>
        <w:rPr>
          <w:rFonts w:hint="eastAsia" w:ascii="仿宋_GB2312" w:eastAsia="仿宋_GB2312"/>
          <w:bCs/>
          <w:sz w:val="32"/>
          <w:szCs w:val="32"/>
        </w:rPr>
      </w:pPr>
      <w:r>
        <w:rPr>
          <w:rFonts w:hint="eastAsia" w:ascii="仿宋_GB2312" w:eastAsia="仿宋_GB2312"/>
          <w:bCs/>
          <w:sz w:val="32"/>
          <w:szCs w:val="32"/>
        </w:rPr>
        <w:t>绿地休闲区。主要包括城镇开发边界范围内公园绿地、广场用地等开敞空间，用地以绿地与开敞空间用地为主导，可适当布局为绿地和开敞空间用地配套的管理及服务设施用地、社会停车场用地。限制布局除必要的小型公共服务、配套商业服务和公用设施以外的用地，总面积为3.52</w:t>
      </w:r>
      <w:r>
        <w:rPr>
          <w:rFonts w:ascii="仿宋_GB2312" w:eastAsia="仿宋_GB2312"/>
          <w:bCs/>
          <w:sz w:val="32"/>
          <w:szCs w:val="32"/>
        </w:rPr>
        <w:t>公顷。</w:t>
      </w:r>
    </w:p>
    <w:p w14:paraId="063EEC6A">
      <w:pPr>
        <w:pStyle w:val="4"/>
        <w:spacing w:before="163" w:beforeLines="50" w:after="163" w:afterLines="50"/>
        <w:rPr>
          <w:rFonts w:ascii="黑体" w:hAnsi="黑体" w:eastAsia="黑体"/>
          <w:b w:val="0"/>
          <w:sz w:val="32"/>
        </w:rPr>
      </w:pPr>
      <w:bookmarkStart w:id="105" w:name="_Toc22427"/>
      <w:bookmarkStart w:id="106" w:name="_Toc19148"/>
      <w:bookmarkStart w:id="107" w:name="_Toc24327"/>
      <w:bookmarkStart w:id="108" w:name="_Toc16723"/>
      <w:bookmarkStart w:id="109" w:name="_Toc5505"/>
      <w:r>
        <w:rPr>
          <w:rFonts w:hint="eastAsia" w:ascii="黑体" w:hAnsi="黑体" w:eastAsia="黑体"/>
          <w:b w:val="0"/>
          <w:sz w:val="32"/>
        </w:rPr>
        <w:t>城镇住房建设</w:t>
      </w:r>
      <w:bookmarkEnd w:id="105"/>
      <w:bookmarkEnd w:id="106"/>
      <w:bookmarkEnd w:id="107"/>
      <w:bookmarkEnd w:id="108"/>
      <w:bookmarkEnd w:id="109"/>
    </w:p>
    <w:p w14:paraId="378DFE63">
      <w:pPr>
        <w:pStyle w:val="86"/>
        <w:ind w:firstLine="640"/>
        <w:outlineLvl w:val="9"/>
        <w:rPr>
          <w:rStyle w:val="34"/>
          <w:b w:val="0"/>
          <w:bCs w:val="0"/>
          <w:color w:val="auto"/>
        </w:rPr>
      </w:pPr>
      <w:r>
        <w:rPr>
          <w:rStyle w:val="34"/>
          <w:rFonts w:hint="eastAsia"/>
          <w:b w:val="0"/>
          <w:bCs w:val="0"/>
          <w:color w:val="auto"/>
        </w:rPr>
        <w:t>住房保障</w:t>
      </w:r>
    </w:p>
    <w:p w14:paraId="348BACCA">
      <w:pPr>
        <w:pStyle w:val="6"/>
        <w:spacing w:line="600" w:lineRule="exact"/>
        <w:ind w:firstLine="640"/>
        <w:rPr>
          <w:rFonts w:ascii="仿宋_GB2312" w:hAnsi="楷体_GB2312" w:eastAsia="仿宋_GB2312" w:cs="楷体_GB2312"/>
          <w:sz w:val="32"/>
          <w:szCs w:val="32"/>
          <w:shd w:val="clear" w:color="auto" w:fill="auto"/>
        </w:rPr>
      </w:pPr>
      <w:r>
        <w:rPr>
          <w:rFonts w:hint="eastAsia" w:ascii="仿宋_GB2312" w:hAnsi="楷体_GB2312" w:eastAsia="仿宋_GB2312" w:cs="楷体_GB2312"/>
          <w:sz w:val="32"/>
          <w:szCs w:val="32"/>
          <w:shd w:val="clear" w:color="auto" w:fill="auto"/>
        </w:rPr>
        <w:t>建立健全农村低收入群体等重点对象住房安全保障长效机制，实现“地域分布”“保障对象”两个基本全覆盖，实现“住有所居，居有所安”。优化住房供应结构，满足多层次住房需求；合理引导居住用地布局，优化职住空间匹配；提高住房建设标准，加强绿色节能。</w:t>
      </w:r>
    </w:p>
    <w:p w14:paraId="2F84FF2C">
      <w:pPr>
        <w:pStyle w:val="86"/>
        <w:ind w:firstLine="640"/>
        <w:outlineLvl w:val="9"/>
        <w:rPr>
          <w:rStyle w:val="34"/>
          <w:b w:val="0"/>
          <w:bCs w:val="0"/>
          <w:color w:val="auto"/>
        </w:rPr>
      </w:pPr>
      <w:r>
        <w:rPr>
          <w:rStyle w:val="34"/>
          <w:rFonts w:hint="eastAsia"/>
          <w:b w:val="0"/>
          <w:bCs w:val="0"/>
          <w:color w:val="auto"/>
        </w:rPr>
        <w:t>居住社区</w:t>
      </w:r>
    </w:p>
    <w:p w14:paraId="6BDC0D0B">
      <w:pPr>
        <w:pStyle w:val="6"/>
        <w:spacing w:line="600" w:lineRule="exact"/>
        <w:ind w:firstLine="640"/>
        <w:rPr>
          <w:rFonts w:ascii="仿宋_GB2312" w:hAnsi="楷体_GB2312" w:eastAsia="仿宋_GB2312" w:cs="楷体_GB2312"/>
          <w:sz w:val="32"/>
          <w:szCs w:val="32"/>
          <w:shd w:val="clear" w:color="auto" w:fill="auto"/>
        </w:rPr>
      </w:pPr>
      <w:r>
        <w:rPr>
          <w:rFonts w:hint="eastAsia" w:ascii="仿宋_GB2312" w:hAnsi="楷体_GB2312" w:eastAsia="仿宋_GB2312" w:cs="楷体_GB2312"/>
          <w:sz w:val="32"/>
          <w:szCs w:val="32"/>
          <w:shd w:val="clear" w:color="auto" w:fill="auto"/>
        </w:rPr>
        <w:t>推动内涵提升，建设宜居社区。合理引导居住用地布局，优化职住空间匹配；提高住房建设标准，加强绿色节能，多措并举实现“住有所居，居有所安”。健全完善各类公共服务体系，提高保障和改善民生水平，加强和创新社会治理，以人民生活更加幸福美好为总体目标，以社区生活圈为居民日常生活的基本单元，建设多层级、全覆盖、满足“人民美好生活需要”的社区生活圈。重点加强乡镇层级公共服务设施的建设，提高设施服务水平。</w:t>
      </w:r>
    </w:p>
    <w:bookmarkEnd w:id="101"/>
    <w:p w14:paraId="238B3CC7">
      <w:pPr>
        <w:pStyle w:val="6"/>
        <w:spacing w:line="600" w:lineRule="exact"/>
        <w:ind w:firstLine="640"/>
        <w:rPr>
          <w:rFonts w:ascii="黑体" w:hAnsi="黑体" w:eastAsia="黑体" w:cs="楷体_GB2312"/>
          <w:bCs/>
          <w:sz w:val="32"/>
          <w:szCs w:val="32"/>
        </w:rPr>
      </w:pPr>
    </w:p>
    <w:p w14:paraId="506AB41D">
      <w:pPr>
        <w:pStyle w:val="6"/>
        <w:spacing w:line="600" w:lineRule="exact"/>
        <w:ind w:firstLine="640"/>
        <w:rPr>
          <w:rFonts w:ascii="黑体" w:hAnsi="黑体" w:eastAsia="黑体" w:cs="楷体_GB2312"/>
          <w:bCs/>
          <w:sz w:val="32"/>
          <w:szCs w:val="32"/>
        </w:rPr>
      </w:pPr>
    </w:p>
    <w:p w14:paraId="51236391">
      <w:pPr>
        <w:pStyle w:val="6"/>
        <w:spacing w:line="600" w:lineRule="exact"/>
        <w:ind w:firstLine="640"/>
        <w:rPr>
          <w:rFonts w:ascii="黑体" w:hAnsi="黑体" w:eastAsia="黑体" w:cs="楷体_GB2312"/>
          <w:bCs/>
          <w:sz w:val="32"/>
          <w:szCs w:val="32"/>
        </w:rPr>
      </w:pPr>
    </w:p>
    <w:p w14:paraId="7710FFD4">
      <w:pPr>
        <w:pStyle w:val="6"/>
        <w:spacing w:line="600" w:lineRule="exact"/>
        <w:ind w:firstLine="640"/>
        <w:rPr>
          <w:rFonts w:ascii="黑体" w:hAnsi="黑体" w:eastAsia="黑体" w:cs="楷体_GB2312"/>
          <w:bCs/>
          <w:sz w:val="32"/>
          <w:szCs w:val="32"/>
        </w:rPr>
      </w:pPr>
    </w:p>
    <w:p w14:paraId="5E281B55">
      <w:pPr>
        <w:pStyle w:val="6"/>
        <w:spacing w:line="600" w:lineRule="exact"/>
        <w:ind w:firstLine="640"/>
        <w:rPr>
          <w:rFonts w:ascii="黑体" w:hAnsi="黑体" w:eastAsia="黑体" w:cs="楷体_GB2312"/>
          <w:bCs/>
          <w:sz w:val="32"/>
          <w:szCs w:val="32"/>
        </w:rPr>
      </w:pPr>
    </w:p>
    <w:p w14:paraId="2481A1E1">
      <w:pPr>
        <w:pStyle w:val="6"/>
        <w:spacing w:line="600" w:lineRule="exact"/>
        <w:ind w:firstLine="640"/>
        <w:rPr>
          <w:rFonts w:hint="eastAsia" w:ascii="黑体" w:hAnsi="黑体" w:eastAsia="黑体" w:cs="楷体_GB2312"/>
          <w:bCs/>
          <w:color w:val="FF0000"/>
          <w:sz w:val="32"/>
          <w:szCs w:val="32"/>
          <w:lang w:val="en-US" w:eastAsia="zh-CN"/>
        </w:rPr>
      </w:pPr>
      <w:r>
        <w:rPr>
          <w:rFonts w:hint="eastAsia" w:ascii="黑体" w:hAnsi="黑体" w:eastAsia="黑体" w:cs="楷体_GB2312"/>
          <w:bCs/>
          <w:color w:val="FF0000"/>
          <w:sz w:val="32"/>
          <w:szCs w:val="32"/>
        </w:rPr>
        <w:t>一、公布</w:t>
      </w:r>
      <w:r>
        <w:rPr>
          <w:rFonts w:hint="eastAsia" w:ascii="黑体" w:hAnsi="黑体" w:eastAsia="黑体" w:cs="楷体_GB2312"/>
          <w:bCs/>
          <w:color w:val="FF0000"/>
          <w:sz w:val="32"/>
          <w:szCs w:val="32"/>
          <w:lang w:val="en-US" w:eastAsia="zh-CN"/>
        </w:rPr>
        <w:t>单位</w:t>
      </w:r>
      <w:bookmarkStart w:id="110" w:name="_GoBack"/>
      <w:bookmarkEnd w:id="110"/>
    </w:p>
    <w:p w14:paraId="5E2CDB14">
      <w:pPr>
        <w:ind w:firstLine="560"/>
        <w:rPr>
          <w:rFonts w:ascii="宋体" w:hAnsi="宋体" w:eastAsia="宋体" w:cs="宋体"/>
          <w:color w:val="FF0000"/>
          <w:sz w:val="28"/>
          <w:szCs w:val="28"/>
        </w:rPr>
      </w:pPr>
      <w:r>
        <w:rPr>
          <w:rFonts w:hint="eastAsia" w:ascii="宋体" w:hAnsi="宋体" w:eastAsia="宋体" w:cs="宋体"/>
          <w:color w:val="FF0000"/>
          <w:sz w:val="28"/>
          <w:szCs w:val="28"/>
        </w:rPr>
        <w:t>沂源县</w:t>
      </w:r>
      <w:r>
        <w:rPr>
          <w:rFonts w:hint="eastAsia" w:ascii="宋体" w:hAnsi="宋体" w:eastAsia="宋体" w:cs="宋体"/>
          <w:color w:val="FF0000"/>
          <w:sz w:val="28"/>
          <w:szCs w:val="28"/>
          <w:lang w:val="en-US" w:eastAsia="zh-CN"/>
        </w:rPr>
        <w:t>张家坡镇</w:t>
      </w:r>
      <w:r>
        <w:rPr>
          <w:rFonts w:hint="eastAsia" w:ascii="宋体" w:hAnsi="宋体" w:eastAsia="宋体" w:cs="宋体"/>
          <w:color w:val="FF0000"/>
          <w:sz w:val="28"/>
          <w:szCs w:val="28"/>
        </w:rPr>
        <w:t>人民政府</w:t>
      </w:r>
    </w:p>
    <w:p w14:paraId="072FF681">
      <w:pPr>
        <w:pStyle w:val="11"/>
        <w:ind w:firstLine="640"/>
        <w:rPr>
          <w:rFonts w:ascii="黑体" w:hAnsi="黑体" w:eastAsia="黑体"/>
          <w:bCs/>
          <w:color w:val="FF0000"/>
          <w:sz w:val="32"/>
          <w:szCs w:val="32"/>
          <w:shd w:val="clear" w:color="auto" w:fill="FFFFFF"/>
        </w:rPr>
      </w:pPr>
      <w:r>
        <w:rPr>
          <w:rFonts w:hint="eastAsia" w:ascii="黑体" w:hAnsi="黑体" w:eastAsia="黑体"/>
          <w:bCs/>
          <w:color w:val="FF0000"/>
          <w:sz w:val="32"/>
          <w:szCs w:val="32"/>
          <w:shd w:val="clear" w:color="auto" w:fill="FFFFFF"/>
        </w:rPr>
        <w:t>二、联系方式</w:t>
      </w:r>
    </w:p>
    <w:p w14:paraId="75E44223">
      <w:pPr>
        <w:pStyle w:val="26"/>
        <w:spacing w:beforeAutospacing="0" w:afterAutospacing="0"/>
        <w:ind w:firstLine="560"/>
        <w:rPr>
          <w:rFonts w:hint="default" w:ascii="宋体" w:hAnsi="宋体" w:eastAsia="宋体" w:cs="宋体"/>
          <w:color w:val="FF0000"/>
          <w:kern w:val="2"/>
          <w:sz w:val="28"/>
          <w:szCs w:val="28"/>
          <w:lang w:val="en-US" w:eastAsia="zh-CN"/>
        </w:rPr>
      </w:pPr>
      <w:r>
        <w:rPr>
          <w:rFonts w:hint="eastAsia" w:ascii="宋体" w:hAnsi="宋体" w:eastAsia="宋体" w:cs="宋体"/>
          <w:color w:val="FF0000"/>
          <w:kern w:val="2"/>
          <w:sz w:val="28"/>
          <w:szCs w:val="28"/>
        </w:rPr>
        <w:t>联系电话： 沂源县</w:t>
      </w:r>
      <w:r>
        <w:rPr>
          <w:rFonts w:hint="eastAsia" w:ascii="宋体" w:hAnsi="宋体" w:eastAsia="宋体" w:cs="宋体"/>
          <w:color w:val="FF0000"/>
          <w:kern w:val="2"/>
          <w:sz w:val="28"/>
          <w:szCs w:val="28"/>
          <w:lang w:val="en-US" w:eastAsia="zh-CN"/>
        </w:rPr>
        <w:t>张家坡镇人民政府</w:t>
      </w:r>
      <w:r>
        <w:rPr>
          <w:rFonts w:hint="eastAsia" w:ascii="宋体" w:hAnsi="宋体" w:eastAsia="宋体" w:cs="宋体"/>
          <w:color w:val="FF0000"/>
          <w:kern w:val="2"/>
          <w:sz w:val="28"/>
          <w:szCs w:val="28"/>
        </w:rPr>
        <w:t xml:space="preserve">  </w:t>
      </w:r>
      <w:r>
        <w:rPr>
          <w:rFonts w:ascii="宋体" w:hAnsi="宋体" w:eastAsia="宋体" w:cs="宋体"/>
          <w:color w:val="FF0000"/>
          <w:kern w:val="2"/>
          <w:sz w:val="28"/>
          <w:szCs w:val="28"/>
        </w:rPr>
        <w:t>0533-</w:t>
      </w:r>
      <w:r>
        <w:rPr>
          <w:rFonts w:hint="eastAsia" w:ascii="宋体" w:hAnsi="宋体" w:eastAsia="宋体" w:cs="宋体"/>
          <w:color w:val="FF0000"/>
          <w:kern w:val="2"/>
          <w:sz w:val="28"/>
          <w:szCs w:val="28"/>
          <w:lang w:val="en-US" w:eastAsia="zh-CN"/>
        </w:rPr>
        <w:t>3360039</w:t>
      </w:r>
    </w:p>
    <w:p w14:paraId="4A6D55AF">
      <w:pPr>
        <w:ind w:firstLine="400"/>
      </w:pPr>
    </w:p>
    <w:p w14:paraId="032DE6F1">
      <w:pPr>
        <w:pStyle w:val="2"/>
        <w:ind w:firstLine="400"/>
      </w:pPr>
    </w:p>
    <w:p w14:paraId="00A5A4E4">
      <w:pPr>
        <w:ind w:firstLine="400"/>
      </w:pPr>
    </w:p>
    <w:p w14:paraId="6AF421A2">
      <w:pPr>
        <w:pStyle w:val="2"/>
        <w:ind w:firstLine="400"/>
      </w:pPr>
    </w:p>
    <w:p w14:paraId="6D021EC4">
      <w:pPr>
        <w:ind w:firstLine="400"/>
      </w:pPr>
    </w:p>
    <w:p w14:paraId="63DDE44A">
      <w:pPr>
        <w:pStyle w:val="2"/>
        <w:ind w:firstLine="400"/>
      </w:pPr>
    </w:p>
    <w:p w14:paraId="4451EE36">
      <w:pPr>
        <w:ind w:firstLine="400"/>
      </w:pPr>
    </w:p>
    <w:p w14:paraId="618FCEB4">
      <w:pPr>
        <w:pStyle w:val="2"/>
        <w:ind w:firstLine="400"/>
      </w:pPr>
    </w:p>
    <w:p w14:paraId="7BC8BDC6">
      <w:pPr>
        <w:ind w:firstLine="400"/>
      </w:pPr>
    </w:p>
    <w:p w14:paraId="4E250178">
      <w:pPr>
        <w:pStyle w:val="2"/>
        <w:ind w:firstLine="400"/>
      </w:pPr>
    </w:p>
    <w:p w14:paraId="7465A226">
      <w:pPr>
        <w:ind w:firstLine="400"/>
      </w:pPr>
    </w:p>
    <w:p w14:paraId="50E660EF">
      <w:pPr>
        <w:pStyle w:val="2"/>
        <w:ind w:firstLine="400"/>
      </w:pPr>
    </w:p>
    <w:p w14:paraId="4D7C4C9C">
      <w:pPr>
        <w:ind w:firstLine="400"/>
      </w:pPr>
    </w:p>
    <w:p w14:paraId="5628738A">
      <w:pPr>
        <w:pStyle w:val="2"/>
        <w:ind w:firstLine="400"/>
      </w:pPr>
    </w:p>
    <w:p w14:paraId="061CD767">
      <w:pPr>
        <w:ind w:firstLine="400"/>
      </w:pPr>
    </w:p>
    <w:p w14:paraId="0A707AAB">
      <w:pPr>
        <w:pStyle w:val="2"/>
        <w:ind w:firstLine="400"/>
      </w:pPr>
    </w:p>
    <w:p w14:paraId="57655139">
      <w:pPr>
        <w:widowControl/>
        <w:spacing w:line="240" w:lineRule="auto"/>
        <w:ind w:firstLine="0" w:firstLineChars="0"/>
        <w:jc w:val="left"/>
      </w:pPr>
      <w:r>
        <w:br w:type="page"/>
      </w:r>
    </w:p>
    <w:p w14:paraId="0C3E3E8A">
      <w:pPr>
        <w:pStyle w:val="2"/>
        <w:ind w:firstLine="0" w:firstLineChars="0"/>
        <w:rPr>
          <w:rFonts w:ascii="黑体" w:hAnsi="黑体" w:eastAsia="黑体"/>
          <w:bCs/>
          <w:sz w:val="32"/>
          <w:szCs w:val="32"/>
        </w:rPr>
      </w:pPr>
      <w:r>
        <w:rPr>
          <w:rFonts w:hint="eastAsia" w:ascii="黑体" w:hAnsi="黑体" w:eastAsia="黑体"/>
          <w:bCs/>
          <w:sz w:val="32"/>
          <w:szCs w:val="32"/>
        </w:rPr>
        <w:t>三、附图</w:t>
      </w:r>
    </w:p>
    <w:p w14:paraId="6294663C">
      <w:pPr>
        <w:pStyle w:val="2"/>
        <w:ind w:firstLine="0" w:firstLineChars="0"/>
        <w:rPr>
          <w:rStyle w:val="34"/>
          <w:rFonts w:ascii="仿宋_GB2312" w:hAnsi="仿宋_GB2312" w:eastAsia="仿宋_GB2312" w:cs="仿宋_GB2312"/>
          <w:b w:val="0"/>
          <w:bCs w:val="0"/>
          <w:sz w:val="32"/>
          <w:szCs w:val="32"/>
        </w:rPr>
      </w:pPr>
      <w:r>
        <w:rPr>
          <w:rStyle w:val="34"/>
          <w:rFonts w:hint="eastAsia" w:ascii="仿宋_GB2312" w:hAnsi="仿宋_GB2312" w:eastAsia="仿宋_GB2312" w:cs="仿宋_GB2312"/>
          <w:b w:val="0"/>
          <w:bCs w:val="0"/>
          <w:sz w:val="32"/>
          <w:szCs w:val="32"/>
        </w:rPr>
        <w:t>1.国土空间总体格局规划图</w:t>
      </w:r>
    </w:p>
    <w:p w14:paraId="03E2B687">
      <w:pPr>
        <w:ind w:firstLine="0" w:firstLineChars="0"/>
      </w:pPr>
      <w:r>
        <w:rPr>
          <w:rFonts w:hint="eastAsia"/>
        </w:rPr>
        <w:drawing>
          <wp:inline distT="0" distB="0" distL="114300" distR="114300">
            <wp:extent cx="5255895" cy="7442835"/>
            <wp:effectExtent l="0" t="0" r="190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14:paraId="7BC86B4C">
      <w:pPr>
        <w:pStyle w:val="2"/>
        <w:ind w:firstLine="400"/>
      </w:pPr>
    </w:p>
    <w:p w14:paraId="119D07D6">
      <w:pPr>
        <w:pStyle w:val="2"/>
        <w:ind w:firstLine="0" w:firstLineChars="0"/>
        <w:rPr>
          <w:rStyle w:val="34"/>
          <w:rFonts w:ascii="仿宋_GB2312" w:hAnsi="仿宋_GB2312" w:eastAsia="仿宋_GB2312" w:cs="仿宋_GB2312"/>
          <w:b w:val="0"/>
          <w:bCs w:val="0"/>
          <w:sz w:val="32"/>
          <w:szCs w:val="32"/>
        </w:rPr>
      </w:pPr>
      <w:r>
        <w:rPr>
          <w:rStyle w:val="34"/>
          <w:rFonts w:hint="eastAsia" w:ascii="仿宋_GB2312" w:hAnsi="仿宋_GB2312" w:eastAsia="仿宋_GB2312" w:cs="仿宋_GB2312"/>
          <w:b w:val="0"/>
          <w:bCs w:val="0"/>
          <w:sz w:val="32"/>
          <w:szCs w:val="32"/>
        </w:rPr>
        <w:t>2.国土空间规划分区图</w:t>
      </w:r>
    </w:p>
    <w:p w14:paraId="5F9BD6F1">
      <w:pPr>
        <w:ind w:firstLine="0" w:firstLineChars="0"/>
      </w:pPr>
      <w:r>
        <w:rPr>
          <w:rFonts w:hint="eastAsia"/>
        </w:rPr>
        <w:drawing>
          <wp:inline distT="0" distB="0" distL="114300" distR="114300">
            <wp:extent cx="5255895" cy="7442835"/>
            <wp:effectExtent l="0" t="0" r="190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14:paraId="4A68FB31">
      <w:pPr>
        <w:pStyle w:val="2"/>
        <w:ind w:firstLine="400"/>
      </w:pPr>
    </w:p>
    <w:p w14:paraId="5942F35D">
      <w:pPr>
        <w:ind w:firstLine="400"/>
      </w:pPr>
    </w:p>
    <w:p w14:paraId="3C7DDB58">
      <w:pPr>
        <w:pStyle w:val="2"/>
        <w:ind w:firstLine="0" w:firstLineChars="0"/>
        <w:rPr>
          <w:rStyle w:val="34"/>
          <w:rFonts w:ascii="仿宋_GB2312" w:hAnsi="仿宋_GB2312" w:eastAsia="仿宋_GB2312" w:cs="仿宋_GB2312"/>
          <w:b w:val="0"/>
          <w:bCs w:val="0"/>
          <w:sz w:val="32"/>
          <w:szCs w:val="32"/>
        </w:rPr>
      </w:pPr>
      <w:r>
        <w:rPr>
          <w:rStyle w:val="34"/>
          <w:rFonts w:hint="eastAsia" w:ascii="仿宋_GB2312" w:hAnsi="仿宋_GB2312" w:eastAsia="仿宋_GB2312" w:cs="仿宋_GB2312"/>
          <w:b w:val="0"/>
          <w:bCs w:val="0"/>
          <w:sz w:val="32"/>
          <w:szCs w:val="32"/>
        </w:rPr>
        <w:t>3.生态修复和综合整治规划图</w:t>
      </w:r>
    </w:p>
    <w:p w14:paraId="0AC72E5E">
      <w:pPr>
        <w:ind w:firstLine="0" w:firstLineChars="0"/>
      </w:pPr>
      <w:r>
        <w:rPr>
          <w:rFonts w:hint="eastAsia"/>
        </w:rPr>
        <w:drawing>
          <wp:inline distT="0" distB="0" distL="114300" distR="114300">
            <wp:extent cx="5255895" cy="7442835"/>
            <wp:effectExtent l="0" t="0" r="190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14:paraId="26A4FE6D">
      <w:pPr>
        <w:pStyle w:val="2"/>
        <w:ind w:firstLine="400"/>
      </w:pPr>
    </w:p>
    <w:p w14:paraId="130B7F66">
      <w:pPr>
        <w:ind w:firstLine="400"/>
      </w:pPr>
    </w:p>
    <w:p w14:paraId="20050A1D">
      <w:pPr>
        <w:pStyle w:val="2"/>
        <w:ind w:firstLine="0" w:firstLineChars="0"/>
        <w:rPr>
          <w:rStyle w:val="34"/>
          <w:rFonts w:ascii="仿宋_GB2312" w:hAnsi="仿宋_GB2312" w:eastAsia="仿宋_GB2312" w:cs="仿宋_GB2312"/>
          <w:b w:val="0"/>
          <w:bCs w:val="0"/>
          <w:sz w:val="32"/>
          <w:szCs w:val="32"/>
        </w:rPr>
      </w:pPr>
      <w:r>
        <w:rPr>
          <w:rStyle w:val="34"/>
          <w:rFonts w:hint="eastAsia" w:ascii="仿宋_GB2312" w:hAnsi="仿宋_GB2312" w:eastAsia="仿宋_GB2312" w:cs="仿宋_GB2312"/>
          <w:b w:val="0"/>
          <w:bCs w:val="0"/>
          <w:sz w:val="32"/>
          <w:szCs w:val="32"/>
        </w:rPr>
        <w:t>4.产业发展规划图</w:t>
      </w:r>
    </w:p>
    <w:p w14:paraId="12B55E52">
      <w:pPr>
        <w:pStyle w:val="2"/>
        <w:ind w:firstLine="0" w:firstLineChars="0"/>
      </w:pPr>
      <w:r>
        <w:rPr>
          <w:rFonts w:hint="eastAsia"/>
        </w:rPr>
        <w:drawing>
          <wp:inline distT="0" distB="0" distL="114300" distR="114300">
            <wp:extent cx="5255895" cy="7442835"/>
            <wp:effectExtent l="0" t="0" r="190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14:paraId="679320B3">
      <w:pPr>
        <w:ind w:firstLine="400"/>
      </w:pPr>
    </w:p>
    <w:p w14:paraId="5463F57F">
      <w:pPr>
        <w:pStyle w:val="2"/>
        <w:ind w:firstLine="400"/>
      </w:pPr>
    </w:p>
    <w:p w14:paraId="67D67B9C">
      <w:pPr>
        <w:pStyle w:val="2"/>
        <w:ind w:firstLine="0" w:firstLineChars="0"/>
        <w:rPr>
          <w:rStyle w:val="34"/>
          <w:rFonts w:ascii="仿宋_GB2312" w:hAnsi="仿宋_GB2312" w:eastAsia="仿宋_GB2312" w:cs="仿宋_GB2312"/>
          <w:b w:val="0"/>
          <w:bCs w:val="0"/>
          <w:sz w:val="32"/>
          <w:szCs w:val="32"/>
        </w:rPr>
      </w:pPr>
      <w:r>
        <w:rPr>
          <w:rStyle w:val="34"/>
          <w:rFonts w:hint="eastAsia" w:ascii="仿宋_GB2312" w:hAnsi="仿宋_GB2312" w:eastAsia="仿宋_GB2312" w:cs="仿宋_GB2312"/>
          <w:b w:val="0"/>
          <w:bCs w:val="0"/>
          <w:sz w:val="32"/>
          <w:szCs w:val="32"/>
        </w:rPr>
        <w:t>5.综合交通规划图</w:t>
      </w:r>
    </w:p>
    <w:p w14:paraId="5B83C58C">
      <w:pPr>
        <w:ind w:firstLine="0" w:firstLineChars="0"/>
      </w:pPr>
      <w:r>
        <w:rPr>
          <w:rFonts w:hint="eastAsia"/>
        </w:rPr>
        <w:drawing>
          <wp:inline distT="0" distB="0" distL="114300" distR="114300">
            <wp:extent cx="5255895" cy="7442835"/>
            <wp:effectExtent l="0" t="0" r="190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14:paraId="5E5C988F">
      <w:pPr>
        <w:pStyle w:val="2"/>
        <w:ind w:firstLine="400"/>
      </w:pPr>
    </w:p>
    <w:p w14:paraId="737CDE31">
      <w:pPr>
        <w:ind w:firstLine="400"/>
      </w:pPr>
    </w:p>
    <w:p w14:paraId="074A3D81">
      <w:pPr>
        <w:pStyle w:val="2"/>
        <w:ind w:firstLine="0" w:firstLineChars="0"/>
        <w:rPr>
          <w:rStyle w:val="34"/>
          <w:rFonts w:ascii="仿宋_GB2312" w:hAnsi="仿宋_GB2312" w:eastAsia="仿宋_GB2312" w:cs="仿宋_GB2312"/>
          <w:b w:val="0"/>
          <w:bCs w:val="0"/>
          <w:sz w:val="32"/>
          <w:szCs w:val="32"/>
        </w:rPr>
      </w:pPr>
      <w:r>
        <w:rPr>
          <w:rStyle w:val="34"/>
          <w:rFonts w:hint="eastAsia" w:ascii="仿宋_GB2312" w:hAnsi="仿宋_GB2312" w:eastAsia="仿宋_GB2312" w:cs="仿宋_GB2312"/>
          <w:b w:val="0"/>
          <w:bCs w:val="0"/>
          <w:sz w:val="32"/>
          <w:szCs w:val="32"/>
        </w:rPr>
        <w:t>6.公共服务设施规划图</w:t>
      </w:r>
    </w:p>
    <w:p w14:paraId="7555CEF7">
      <w:pPr>
        <w:pStyle w:val="2"/>
        <w:ind w:firstLine="0" w:firstLineChars="0"/>
      </w:pPr>
      <w:r>
        <w:rPr>
          <w:rFonts w:hint="eastAsia"/>
        </w:rPr>
        <w:drawing>
          <wp:inline distT="0" distB="0" distL="114300" distR="114300">
            <wp:extent cx="5255895" cy="7442835"/>
            <wp:effectExtent l="0" t="0" r="190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p w14:paraId="14627FA7">
      <w:pPr>
        <w:ind w:firstLine="400"/>
      </w:pPr>
    </w:p>
    <w:p w14:paraId="619C41CE">
      <w:pPr>
        <w:pStyle w:val="2"/>
        <w:ind w:firstLine="400"/>
      </w:pPr>
    </w:p>
    <w:p w14:paraId="192FE5FE">
      <w:pPr>
        <w:pStyle w:val="2"/>
        <w:ind w:firstLine="0" w:firstLineChars="0"/>
        <w:rPr>
          <w:rStyle w:val="34"/>
          <w:rFonts w:ascii="仿宋_GB2312" w:hAnsi="仿宋_GB2312" w:eastAsia="仿宋_GB2312" w:cs="仿宋_GB2312"/>
          <w:b w:val="0"/>
          <w:bCs w:val="0"/>
          <w:sz w:val="32"/>
          <w:szCs w:val="32"/>
        </w:rPr>
      </w:pPr>
      <w:r>
        <w:rPr>
          <w:rStyle w:val="34"/>
          <w:rFonts w:hint="eastAsia" w:ascii="仿宋_GB2312" w:hAnsi="仿宋_GB2312" w:eastAsia="仿宋_GB2312" w:cs="仿宋_GB2312"/>
          <w:b w:val="0"/>
          <w:bCs w:val="0"/>
          <w:sz w:val="32"/>
          <w:szCs w:val="32"/>
        </w:rPr>
        <w:t>7.城镇开发边界范围国土空间规划分区图</w:t>
      </w:r>
    </w:p>
    <w:p w14:paraId="002E597E">
      <w:pPr>
        <w:ind w:firstLine="0" w:firstLineChars="0"/>
      </w:pPr>
      <w:r>
        <w:rPr>
          <w:rFonts w:hint="eastAsia"/>
        </w:rPr>
        <w:drawing>
          <wp:inline distT="0" distB="0" distL="114300" distR="114300">
            <wp:extent cx="5255895" cy="7442835"/>
            <wp:effectExtent l="0" t="0" r="190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5947" cy="7442835"/>
                    </a:xfrm>
                    <a:prstGeom prst="rect">
                      <a:avLst/>
                    </a:prstGeom>
                  </pic:spPr>
                </pic:pic>
              </a:graphicData>
            </a:graphic>
          </wp:inline>
        </w:drawing>
      </w:r>
    </w:p>
    <w:sectPr>
      <w:footerReference r:id="rId11" w:type="default"/>
      <w:pgSz w:w="11906" w:h="16838"/>
      <w:pgMar w:top="1440" w:right="1797" w:bottom="1440" w:left="1797" w:header="851" w:footer="992" w:gutter="0"/>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00"/>
      </w:pPr>
      <w:r>
        <w:separator/>
      </w:r>
    </w:p>
  </w:endnote>
  <w:endnote w:type="continuationSeparator" w:id="1">
    <w:p>
      <w:pPr>
        <w:spacing w:line="240" w:lineRule="auto"/>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04850">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32ECC">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9F8BE">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143DA">
    <w:pPr>
      <w:pStyle w:val="18"/>
      <w:tabs>
        <w:tab w:val="left" w:pos="4710"/>
        <w:tab w:val="clear" w:pos="4153"/>
        <w:tab w:val="clear" w:pos="8306"/>
      </w:tabs>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00"/>
      </w:pPr>
      <w:r>
        <w:separator/>
      </w:r>
    </w:p>
  </w:footnote>
  <w:footnote w:type="continuationSeparator" w:id="1">
    <w:p>
      <w:pPr>
        <w:spacing w:line="360" w:lineRule="auto"/>
        <w:ind w:firstLine="4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EB8EA">
    <w:pPr>
      <w:pStyle w:val="19"/>
      <w:pBdr>
        <w:bottom w:val="none" w:color="auto" w:sz="0" w:space="1"/>
      </w:pBdr>
      <w:spacing w:line="240" w:lineRule="auto"/>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8E38A">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A0E9B">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EFD08E"/>
    <w:multiLevelType w:val="multilevel"/>
    <w:tmpl w:val="BAEFD08E"/>
    <w:lvl w:ilvl="0" w:tentative="0">
      <w:start w:val="1"/>
      <w:numFmt w:val="chineseCountingThousand"/>
      <w:pStyle w:val="3"/>
      <w:suff w:val="nothing"/>
      <w:lvlText w:val="第%1章　"/>
      <w:lvlJc w:val="left"/>
      <w:pPr>
        <w:ind w:left="0" w:firstLine="0"/>
      </w:pPr>
      <w:rPr>
        <w:rFonts w:hint="eastAsia" w:ascii="方正小标宋简体" w:eastAsia="方正小标宋简体"/>
        <w:b w:val="0"/>
        <w:bCs/>
        <w:i w:val="0"/>
        <w:iCs/>
        <w:sz w:val="36"/>
        <w:szCs w:val="36"/>
      </w:rPr>
    </w:lvl>
    <w:lvl w:ilvl="1" w:tentative="0">
      <w:start w:val="1"/>
      <w:numFmt w:val="chineseCountingThousand"/>
      <w:pStyle w:val="4"/>
      <w:suff w:val="nothing"/>
      <w:lvlText w:val="第%2节　"/>
      <w:lvlJc w:val="left"/>
      <w:pPr>
        <w:ind w:left="0" w:firstLine="0"/>
      </w:pPr>
      <w:rPr>
        <w:rFonts w:hint="eastAsia"/>
        <w:b w:val="0"/>
        <w:bCs w:val="0"/>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079102AD"/>
    <w:multiLevelType w:val="multilevel"/>
    <w:tmpl w:val="079102AD"/>
    <w:lvl w:ilvl="0" w:tentative="0">
      <w:start w:val="1"/>
      <w:numFmt w:val="decimal"/>
      <w:pStyle w:val="79"/>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2">
    <w:nsid w:val="1BCDC85E"/>
    <w:multiLevelType w:val="singleLevel"/>
    <w:tmpl w:val="1BCDC85E"/>
    <w:lvl w:ilvl="0" w:tentative="0">
      <w:start w:val="1"/>
      <w:numFmt w:val="decimal"/>
      <w:pStyle w:val="86"/>
      <w:suff w:val="space"/>
      <w:lvlText w:val="第%1条"/>
      <w:lvlJc w:val="left"/>
      <w:pPr>
        <w:ind w:left="0" w:firstLine="0"/>
      </w:pPr>
      <w:rPr>
        <w:rFonts w:hint="eastAsia"/>
        <w:b w:val="0"/>
        <w:bCs/>
        <w:lang w:val="en-US"/>
      </w:rPr>
    </w:lvl>
  </w:abstractNum>
  <w:abstractNum w:abstractNumId="3">
    <w:nsid w:val="5603797C"/>
    <w:multiLevelType w:val="multilevel"/>
    <w:tmpl w:val="5603797C"/>
    <w:lvl w:ilvl="0" w:tentative="0">
      <w:start w:val="1"/>
      <w:numFmt w:val="upperLetter"/>
      <w:pStyle w:val="8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6CEA2025"/>
    <w:multiLevelType w:val="multilevel"/>
    <w:tmpl w:val="6CEA2025"/>
    <w:lvl w:ilvl="0" w:tentative="0">
      <w:start w:val="1"/>
      <w:numFmt w:val="none"/>
      <w:pStyle w:val="76"/>
      <w:suff w:val="nothing"/>
      <w:lvlText w:val="%1"/>
      <w:lvlJc w:val="left"/>
      <w:pPr>
        <w:ind w:left="0" w:firstLine="0"/>
      </w:pPr>
      <w:rPr>
        <w:rFonts w:hint="eastAsia"/>
      </w:rPr>
    </w:lvl>
    <w:lvl w:ilvl="1" w:tentative="0">
      <w:start w:val="1"/>
      <w:numFmt w:val="decimal"/>
      <w:pStyle w:val="74"/>
      <w:suff w:val="nothing"/>
      <w:lvlText w:val="%1%2　"/>
      <w:lvlJc w:val="left"/>
      <w:pPr>
        <w:ind w:left="0" w:firstLine="0"/>
      </w:pPr>
      <w:rPr>
        <w:rFonts w:hint="eastAsia" w:ascii="黑体" w:eastAsia="黑体"/>
        <w:b w:val="0"/>
        <w:i w:val="0"/>
        <w:sz w:val="21"/>
      </w:rPr>
    </w:lvl>
    <w:lvl w:ilvl="2" w:tentative="0">
      <w:start w:val="1"/>
      <w:numFmt w:val="decimal"/>
      <w:pStyle w:val="7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70"/>
      <w:suff w:val="nothing"/>
      <w:lvlText w:val="%1%2.%3.%4　"/>
      <w:lvlJc w:val="left"/>
      <w:pPr>
        <w:ind w:left="0" w:firstLine="0"/>
      </w:pPr>
      <w:rPr>
        <w:rFonts w:hint="eastAsia" w:ascii="黑体" w:eastAsia="黑体"/>
        <w:b w:val="0"/>
        <w:i w:val="0"/>
        <w:sz w:val="21"/>
      </w:rPr>
    </w:lvl>
    <w:lvl w:ilvl="4" w:tentative="0">
      <w:start w:val="1"/>
      <w:numFmt w:val="decimal"/>
      <w:pStyle w:val="71"/>
      <w:suff w:val="nothing"/>
      <w:lvlText w:val="%1%2.%3.%4.%5　"/>
      <w:lvlJc w:val="left"/>
      <w:pPr>
        <w:ind w:left="0" w:firstLine="0"/>
      </w:pPr>
      <w:rPr>
        <w:rFonts w:hint="eastAsia" w:ascii="黑体" w:eastAsia="黑体"/>
        <w:b w:val="0"/>
        <w:i w:val="0"/>
        <w:sz w:val="21"/>
      </w:rPr>
    </w:lvl>
    <w:lvl w:ilvl="5" w:tentative="0">
      <w:start w:val="1"/>
      <w:numFmt w:val="decimal"/>
      <w:pStyle w:val="72"/>
      <w:suff w:val="nothing"/>
      <w:lvlText w:val="%1%2.%3.%4.%5.%6　"/>
      <w:lvlJc w:val="left"/>
      <w:pPr>
        <w:ind w:left="0" w:firstLine="0"/>
      </w:pPr>
      <w:rPr>
        <w:rFonts w:hint="eastAsia" w:ascii="黑体" w:eastAsia="黑体"/>
        <w:b w:val="0"/>
        <w:i w:val="0"/>
        <w:sz w:val="21"/>
      </w:rPr>
    </w:lvl>
    <w:lvl w:ilvl="6" w:tentative="0">
      <w:start w:val="1"/>
      <w:numFmt w:val="decimal"/>
      <w:pStyle w:val="7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6DBF04F4"/>
    <w:multiLevelType w:val="multilevel"/>
    <w:tmpl w:val="6DBF04F4"/>
    <w:lvl w:ilvl="0" w:tentative="0">
      <w:start w:val="1"/>
      <w:numFmt w:val="none"/>
      <w:pStyle w:val="77"/>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6">
    <w:nsid w:val="7D905512"/>
    <w:multiLevelType w:val="multilevel"/>
    <w:tmpl w:val="7D905512"/>
    <w:lvl w:ilvl="0" w:tentative="0">
      <w:start w:val="1"/>
      <w:numFmt w:val="decimal"/>
      <w:pStyle w:val="51"/>
      <w:lvlText w:val="%1."/>
      <w:lvlJc w:val="left"/>
      <w:pPr>
        <w:tabs>
          <w:tab w:val="left" w:pos="425"/>
        </w:tabs>
        <w:ind w:left="425" w:hanging="425"/>
      </w:pPr>
      <w:rPr>
        <w:rFonts w:hint="eastAsia"/>
      </w:rPr>
    </w:lvl>
    <w:lvl w:ilvl="1" w:tentative="0">
      <w:start w:val="1"/>
      <w:numFmt w:val="decimal"/>
      <w:lvlText w:val="%1.%2."/>
      <w:lvlJc w:val="left"/>
      <w:pPr>
        <w:tabs>
          <w:tab w:val="left" w:pos="662"/>
        </w:tabs>
        <w:ind w:left="662" w:hanging="567"/>
      </w:pPr>
      <w:rPr>
        <w:rFonts w:hint="eastAsia"/>
      </w:rPr>
    </w:lvl>
    <w:lvl w:ilvl="2" w:tentative="0">
      <w:start w:val="1"/>
      <w:numFmt w:val="decimal"/>
      <w:pStyle w:val="5"/>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 w:numId="2">
    <w:abstractNumId w:val="6"/>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Dk3ZTMwNmNmMGU5OTRmODRlNjY3ZWZkN2NmYmQifQ=="/>
  </w:docVars>
  <w:rsids>
    <w:rsidRoot w:val="006D7965"/>
    <w:rsid w:val="000003EB"/>
    <w:rsid w:val="00000A93"/>
    <w:rsid w:val="00001A1D"/>
    <w:rsid w:val="00001BAF"/>
    <w:rsid w:val="00003293"/>
    <w:rsid w:val="00003899"/>
    <w:rsid w:val="00003A70"/>
    <w:rsid w:val="00004217"/>
    <w:rsid w:val="00005976"/>
    <w:rsid w:val="0000690A"/>
    <w:rsid w:val="00007AD1"/>
    <w:rsid w:val="000119DC"/>
    <w:rsid w:val="00012145"/>
    <w:rsid w:val="000135E3"/>
    <w:rsid w:val="000159E7"/>
    <w:rsid w:val="00015B1D"/>
    <w:rsid w:val="00015C3B"/>
    <w:rsid w:val="00020114"/>
    <w:rsid w:val="000211F5"/>
    <w:rsid w:val="000277FD"/>
    <w:rsid w:val="000311A4"/>
    <w:rsid w:val="00031B26"/>
    <w:rsid w:val="00034225"/>
    <w:rsid w:val="00034891"/>
    <w:rsid w:val="00034FDA"/>
    <w:rsid w:val="00036600"/>
    <w:rsid w:val="000376A4"/>
    <w:rsid w:val="00041251"/>
    <w:rsid w:val="00041FC5"/>
    <w:rsid w:val="00043387"/>
    <w:rsid w:val="00044B5F"/>
    <w:rsid w:val="00044BC9"/>
    <w:rsid w:val="00045492"/>
    <w:rsid w:val="0004631B"/>
    <w:rsid w:val="00047E60"/>
    <w:rsid w:val="00051838"/>
    <w:rsid w:val="00052352"/>
    <w:rsid w:val="0005332C"/>
    <w:rsid w:val="000553BB"/>
    <w:rsid w:val="00056564"/>
    <w:rsid w:val="00060271"/>
    <w:rsid w:val="00062A8D"/>
    <w:rsid w:val="00063422"/>
    <w:rsid w:val="00067039"/>
    <w:rsid w:val="000741FE"/>
    <w:rsid w:val="000743EA"/>
    <w:rsid w:val="00075E41"/>
    <w:rsid w:val="0008105D"/>
    <w:rsid w:val="000814EB"/>
    <w:rsid w:val="00084D83"/>
    <w:rsid w:val="00085F16"/>
    <w:rsid w:val="00090035"/>
    <w:rsid w:val="000901BF"/>
    <w:rsid w:val="00090294"/>
    <w:rsid w:val="0009075B"/>
    <w:rsid w:val="000909A6"/>
    <w:rsid w:val="00091013"/>
    <w:rsid w:val="00092EAC"/>
    <w:rsid w:val="00093322"/>
    <w:rsid w:val="000941C0"/>
    <w:rsid w:val="00094226"/>
    <w:rsid w:val="000949A5"/>
    <w:rsid w:val="00094B0A"/>
    <w:rsid w:val="0009555B"/>
    <w:rsid w:val="00095A55"/>
    <w:rsid w:val="000A002F"/>
    <w:rsid w:val="000A106D"/>
    <w:rsid w:val="000A13B7"/>
    <w:rsid w:val="000A21A3"/>
    <w:rsid w:val="000A4944"/>
    <w:rsid w:val="000A4E30"/>
    <w:rsid w:val="000A6515"/>
    <w:rsid w:val="000B0D6E"/>
    <w:rsid w:val="000B0DA0"/>
    <w:rsid w:val="000B10FD"/>
    <w:rsid w:val="000B203F"/>
    <w:rsid w:val="000B205E"/>
    <w:rsid w:val="000B42F4"/>
    <w:rsid w:val="000C0082"/>
    <w:rsid w:val="000C0774"/>
    <w:rsid w:val="000C1743"/>
    <w:rsid w:val="000C2CB0"/>
    <w:rsid w:val="000C3AC2"/>
    <w:rsid w:val="000C6B1C"/>
    <w:rsid w:val="000D12F8"/>
    <w:rsid w:val="000D140A"/>
    <w:rsid w:val="000D2B7B"/>
    <w:rsid w:val="000D529C"/>
    <w:rsid w:val="000D5549"/>
    <w:rsid w:val="000D5753"/>
    <w:rsid w:val="000D6B4D"/>
    <w:rsid w:val="000D756D"/>
    <w:rsid w:val="000E53E6"/>
    <w:rsid w:val="000E6289"/>
    <w:rsid w:val="000E68D1"/>
    <w:rsid w:val="000E69F0"/>
    <w:rsid w:val="000E708F"/>
    <w:rsid w:val="000E7E95"/>
    <w:rsid w:val="000F4123"/>
    <w:rsid w:val="000F5885"/>
    <w:rsid w:val="000F62C4"/>
    <w:rsid w:val="000F6EC4"/>
    <w:rsid w:val="000F7EA2"/>
    <w:rsid w:val="00100668"/>
    <w:rsid w:val="00100ED6"/>
    <w:rsid w:val="00101FA5"/>
    <w:rsid w:val="00103396"/>
    <w:rsid w:val="00103F41"/>
    <w:rsid w:val="001051F6"/>
    <w:rsid w:val="00105521"/>
    <w:rsid w:val="001068C3"/>
    <w:rsid w:val="00107736"/>
    <w:rsid w:val="00112750"/>
    <w:rsid w:val="001138C0"/>
    <w:rsid w:val="001175D5"/>
    <w:rsid w:val="00121380"/>
    <w:rsid w:val="00125D65"/>
    <w:rsid w:val="00126A2D"/>
    <w:rsid w:val="00130460"/>
    <w:rsid w:val="00132545"/>
    <w:rsid w:val="00132DB2"/>
    <w:rsid w:val="00132DF0"/>
    <w:rsid w:val="001335D7"/>
    <w:rsid w:val="00135135"/>
    <w:rsid w:val="001357DB"/>
    <w:rsid w:val="00137FE8"/>
    <w:rsid w:val="0014246C"/>
    <w:rsid w:val="0014264B"/>
    <w:rsid w:val="001429AD"/>
    <w:rsid w:val="00144073"/>
    <w:rsid w:val="001449E5"/>
    <w:rsid w:val="00144AC8"/>
    <w:rsid w:val="00145189"/>
    <w:rsid w:val="00147CB9"/>
    <w:rsid w:val="0015101D"/>
    <w:rsid w:val="00151372"/>
    <w:rsid w:val="001513A0"/>
    <w:rsid w:val="0015569D"/>
    <w:rsid w:val="00156560"/>
    <w:rsid w:val="0015667E"/>
    <w:rsid w:val="00156DD1"/>
    <w:rsid w:val="00157F67"/>
    <w:rsid w:val="00161C4F"/>
    <w:rsid w:val="00162367"/>
    <w:rsid w:val="001647FD"/>
    <w:rsid w:val="00164C24"/>
    <w:rsid w:val="00164F90"/>
    <w:rsid w:val="001654B0"/>
    <w:rsid w:val="00165753"/>
    <w:rsid w:val="00165EF0"/>
    <w:rsid w:val="0016610F"/>
    <w:rsid w:val="00166820"/>
    <w:rsid w:val="00167B54"/>
    <w:rsid w:val="00170C1E"/>
    <w:rsid w:val="00173CB7"/>
    <w:rsid w:val="00174945"/>
    <w:rsid w:val="0017548C"/>
    <w:rsid w:val="00176A72"/>
    <w:rsid w:val="001777CA"/>
    <w:rsid w:val="0018009F"/>
    <w:rsid w:val="00180FDC"/>
    <w:rsid w:val="00181B09"/>
    <w:rsid w:val="001827DF"/>
    <w:rsid w:val="00182D25"/>
    <w:rsid w:val="0018436E"/>
    <w:rsid w:val="00185E01"/>
    <w:rsid w:val="001863CC"/>
    <w:rsid w:val="00186F26"/>
    <w:rsid w:val="001913BA"/>
    <w:rsid w:val="00191573"/>
    <w:rsid w:val="001927A9"/>
    <w:rsid w:val="00192CF2"/>
    <w:rsid w:val="001935BB"/>
    <w:rsid w:val="00194DAC"/>
    <w:rsid w:val="001952F1"/>
    <w:rsid w:val="00195E73"/>
    <w:rsid w:val="00196071"/>
    <w:rsid w:val="00196148"/>
    <w:rsid w:val="001962A6"/>
    <w:rsid w:val="00196425"/>
    <w:rsid w:val="0019675B"/>
    <w:rsid w:val="001A24AA"/>
    <w:rsid w:val="001A2660"/>
    <w:rsid w:val="001A4A2E"/>
    <w:rsid w:val="001A565D"/>
    <w:rsid w:val="001B0077"/>
    <w:rsid w:val="001B15DC"/>
    <w:rsid w:val="001B1DC4"/>
    <w:rsid w:val="001B232B"/>
    <w:rsid w:val="001C04BB"/>
    <w:rsid w:val="001C1837"/>
    <w:rsid w:val="001C23E1"/>
    <w:rsid w:val="001C2689"/>
    <w:rsid w:val="001C3437"/>
    <w:rsid w:val="001C5783"/>
    <w:rsid w:val="001D0D77"/>
    <w:rsid w:val="001D1086"/>
    <w:rsid w:val="001D13DE"/>
    <w:rsid w:val="001D1C71"/>
    <w:rsid w:val="001D2C33"/>
    <w:rsid w:val="001D2F36"/>
    <w:rsid w:val="001D434F"/>
    <w:rsid w:val="001D4EC3"/>
    <w:rsid w:val="001D4F05"/>
    <w:rsid w:val="001D5139"/>
    <w:rsid w:val="001D7D3C"/>
    <w:rsid w:val="001D7E3B"/>
    <w:rsid w:val="001E0E9C"/>
    <w:rsid w:val="001E1F3A"/>
    <w:rsid w:val="001E3066"/>
    <w:rsid w:val="001E3FA7"/>
    <w:rsid w:val="001E57A9"/>
    <w:rsid w:val="001E6B87"/>
    <w:rsid w:val="001E7BEE"/>
    <w:rsid w:val="001F012B"/>
    <w:rsid w:val="001F06E9"/>
    <w:rsid w:val="001F1B04"/>
    <w:rsid w:val="001F1C7B"/>
    <w:rsid w:val="001F359C"/>
    <w:rsid w:val="001F4EDD"/>
    <w:rsid w:val="001F6E75"/>
    <w:rsid w:val="001F7479"/>
    <w:rsid w:val="001F7585"/>
    <w:rsid w:val="001F778B"/>
    <w:rsid w:val="00201FF7"/>
    <w:rsid w:val="0020243C"/>
    <w:rsid w:val="0020246B"/>
    <w:rsid w:val="00202D64"/>
    <w:rsid w:val="00204414"/>
    <w:rsid w:val="00205708"/>
    <w:rsid w:val="00205AAB"/>
    <w:rsid w:val="00205DA5"/>
    <w:rsid w:val="00210080"/>
    <w:rsid w:val="002102A8"/>
    <w:rsid w:val="0021269C"/>
    <w:rsid w:val="002147FC"/>
    <w:rsid w:val="0021767F"/>
    <w:rsid w:val="00222E08"/>
    <w:rsid w:val="002242E5"/>
    <w:rsid w:val="00226B06"/>
    <w:rsid w:val="002278F4"/>
    <w:rsid w:val="00227BF4"/>
    <w:rsid w:val="00227EDB"/>
    <w:rsid w:val="00232E5E"/>
    <w:rsid w:val="00237975"/>
    <w:rsid w:val="002408A4"/>
    <w:rsid w:val="002417A7"/>
    <w:rsid w:val="002434EA"/>
    <w:rsid w:val="002442ED"/>
    <w:rsid w:val="00244C80"/>
    <w:rsid w:val="002451BB"/>
    <w:rsid w:val="002451E0"/>
    <w:rsid w:val="002452DD"/>
    <w:rsid w:val="00246B61"/>
    <w:rsid w:val="0024778B"/>
    <w:rsid w:val="002504B2"/>
    <w:rsid w:val="002507DB"/>
    <w:rsid w:val="0025405D"/>
    <w:rsid w:val="00262208"/>
    <w:rsid w:val="00263D5C"/>
    <w:rsid w:val="00265861"/>
    <w:rsid w:val="00265CFF"/>
    <w:rsid w:val="00266DDB"/>
    <w:rsid w:val="00270728"/>
    <w:rsid w:val="002707BF"/>
    <w:rsid w:val="00270D4E"/>
    <w:rsid w:val="0027121C"/>
    <w:rsid w:val="002742EE"/>
    <w:rsid w:val="0027512D"/>
    <w:rsid w:val="002816E5"/>
    <w:rsid w:val="002827E8"/>
    <w:rsid w:val="00282904"/>
    <w:rsid w:val="002844A0"/>
    <w:rsid w:val="0028480B"/>
    <w:rsid w:val="00284B08"/>
    <w:rsid w:val="00286085"/>
    <w:rsid w:val="00291A78"/>
    <w:rsid w:val="002928C7"/>
    <w:rsid w:val="0029365D"/>
    <w:rsid w:val="00294A7D"/>
    <w:rsid w:val="00297D0D"/>
    <w:rsid w:val="002A002A"/>
    <w:rsid w:val="002A376F"/>
    <w:rsid w:val="002A4AF2"/>
    <w:rsid w:val="002A4C54"/>
    <w:rsid w:val="002A6779"/>
    <w:rsid w:val="002A6DFC"/>
    <w:rsid w:val="002A729A"/>
    <w:rsid w:val="002A7542"/>
    <w:rsid w:val="002A7A34"/>
    <w:rsid w:val="002A7F79"/>
    <w:rsid w:val="002B0092"/>
    <w:rsid w:val="002B14F4"/>
    <w:rsid w:val="002B4226"/>
    <w:rsid w:val="002B610A"/>
    <w:rsid w:val="002B7E48"/>
    <w:rsid w:val="002B7FF9"/>
    <w:rsid w:val="002C223E"/>
    <w:rsid w:val="002C39C1"/>
    <w:rsid w:val="002C4563"/>
    <w:rsid w:val="002C5305"/>
    <w:rsid w:val="002C7A30"/>
    <w:rsid w:val="002D1CFB"/>
    <w:rsid w:val="002D38EC"/>
    <w:rsid w:val="002D3BED"/>
    <w:rsid w:val="002D5093"/>
    <w:rsid w:val="002D50FC"/>
    <w:rsid w:val="002E15EB"/>
    <w:rsid w:val="002E2C0D"/>
    <w:rsid w:val="002E3A61"/>
    <w:rsid w:val="002E4A39"/>
    <w:rsid w:val="002E56DE"/>
    <w:rsid w:val="002E6E2B"/>
    <w:rsid w:val="002E7C5F"/>
    <w:rsid w:val="002F0953"/>
    <w:rsid w:val="002F203E"/>
    <w:rsid w:val="002F2095"/>
    <w:rsid w:val="002F2747"/>
    <w:rsid w:val="002F3CF9"/>
    <w:rsid w:val="002F4AF0"/>
    <w:rsid w:val="002F56A3"/>
    <w:rsid w:val="002F5753"/>
    <w:rsid w:val="00300B39"/>
    <w:rsid w:val="00312014"/>
    <w:rsid w:val="00312578"/>
    <w:rsid w:val="003131F2"/>
    <w:rsid w:val="00313BD5"/>
    <w:rsid w:val="00314A97"/>
    <w:rsid w:val="00315610"/>
    <w:rsid w:val="00316C68"/>
    <w:rsid w:val="00321C3C"/>
    <w:rsid w:val="00322084"/>
    <w:rsid w:val="00322BEA"/>
    <w:rsid w:val="00323048"/>
    <w:rsid w:val="003234F4"/>
    <w:rsid w:val="00323BB8"/>
    <w:rsid w:val="00324875"/>
    <w:rsid w:val="003268CA"/>
    <w:rsid w:val="00326D8E"/>
    <w:rsid w:val="00327CB1"/>
    <w:rsid w:val="0033229E"/>
    <w:rsid w:val="00333A2A"/>
    <w:rsid w:val="00335FDA"/>
    <w:rsid w:val="0033609A"/>
    <w:rsid w:val="00337D20"/>
    <w:rsid w:val="00337FC2"/>
    <w:rsid w:val="00341F85"/>
    <w:rsid w:val="00342217"/>
    <w:rsid w:val="00342279"/>
    <w:rsid w:val="003448CA"/>
    <w:rsid w:val="003474C3"/>
    <w:rsid w:val="003521C1"/>
    <w:rsid w:val="00352CCE"/>
    <w:rsid w:val="0035440D"/>
    <w:rsid w:val="00356040"/>
    <w:rsid w:val="00357355"/>
    <w:rsid w:val="00357C62"/>
    <w:rsid w:val="00357EB9"/>
    <w:rsid w:val="00357ED6"/>
    <w:rsid w:val="00361E6B"/>
    <w:rsid w:val="00362DE0"/>
    <w:rsid w:val="00364938"/>
    <w:rsid w:val="003651A3"/>
    <w:rsid w:val="003651D7"/>
    <w:rsid w:val="00365F23"/>
    <w:rsid w:val="003660F3"/>
    <w:rsid w:val="00366955"/>
    <w:rsid w:val="00366F0A"/>
    <w:rsid w:val="00367DA2"/>
    <w:rsid w:val="00372913"/>
    <w:rsid w:val="00372C41"/>
    <w:rsid w:val="00373381"/>
    <w:rsid w:val="00373868"/>
    <w:rsid w:val="0037428A"/>
    <w:rsid w:val="0037512F"/>
    <w:rsid w:val="00375F9B"/>
    <w:rsid w:val="0037632B"/>
    <w:rsid w:val="003769B7"/>
    <w:rsid w:val="00377670"/>
    <w:rsid w:val="0038019E"/>
    <w:rsid w:val="00380494"/>
    <w:rsid w:val="003808BC"/>
    <w:rsid w:val="0038179A"/>
    <w:rsid w:val="00381CF3"/>
    <w:rsid w:val="00382FE8"/>
    <w:rsid w:val="003836A5"/>
    <w:rsid w:val="00384FDA"/>
    <w:rsid w:val="003870E8"/>
    <w:rsid w:val="00391D6F"/>
    <w:rsid w:val="00394425"/>
    <w:rsid w:val="003952A2"/>
    <w:rsid w:val="00395693"/>
    <w:rsid w:val="0039685D"/>
    <w:rsid w:val="003A09E7"/>
    <w:rsid w:val="003A2F86"/>
    <w:rsid w:val="003A4A73"/>
    <w:rsid w:val="003A6553"/>
    <w:rsid w:val="003A6F33"/>
    <w:rsid w:val="003B1A59"/>
    <w:rsid w:val="003B1E6F"/>
    <w:rsid w:val="003B528D"/>
    <w:rsid w:val="003B723C"/>
    <w:rsid w:val="003B795E"/>
    <w:rsid w:val="003C1B6A"/>
    <w:rsid w:val="003C3736"/>
    <w:rsid w:val="003C50B5"/>
    <w:rsid w:val="003C52B2"/>
    <w:rsid w:val="003C5EEE"/>
    <w:rsid w:val="003C737C"/>
    <w:rsid w:val="003C7D0D"/>
    <w:rsid w:val="003D19D4"/>
    <w:rsid w:val="003D1DF7"/>
    <w:rsid w:val="003D1F7C"/>
    <w:rsid w:val="003D28B1"/>
    <w:rsid w:val="003D2D39"/>
    <w:rsid w:val="003D4134"/>
    <w:rsid w:val="003D7142"/>
    <w:rsid w:val="003E084C"/>
    <w:rsid w:val="003E0A31"/>
    <w:rsid w:val="003E10DD"/>
    <w:rsid w:val="003E207D"/>
    <w:rsid w:val="003E4B75"/>
    <w:rsid w:val="003E4BA2"/>
    <w:rsid w:val="003E5762"/>
    <w:rsid w:val="003E5A01"/>
    <w:rsid w:val="003E5ECD"/>
    <w:rsid w:val="003E6335"/>
    <w:rsid w:val="003E6B6E"/>
    <w:rsid w:val="003E7060"/>
    <w:rsid w:val="003E75D6"/>
    <w:rsid w:val="003F1175"/>
    <w:rsid w:val="003F1538"/>
    <w:rsid w:val="003F32D1"/>
    <w:rsid w:val="003F3318"/>
    <w:rsid w:val="003F3D3E"/>
    <w:rsid w:val="003F429B"/>
    <w:rsid w:val="003F68DB"/>
    <w:rsid w:val="003F77FE"/>
    <w:rsid w:val="003F7AF7"/>
    <w:rsid w:val="00402EE1"/>
    <w:rsid w:val="0040370E"/>
    <w:rsid w:val="004047DF"/>
    <w:rsid w:val="00404C81"/>
    <w:rsid w:val="004059D7"/>
    <w:rsid w:val="00406448"/>
    <w:rsid w:val="004065E9"/>
    <w:rsid w:val="00406D23"/>
    <w:rsid w:val="00407039"/>
    <w:rsid w:val="00407E87"/>
    <w:rsid w:val="00412EDA"/>
    <w:rsid w:val="00413029"/>
    <w:rsid w:val="00413C44"/>
    <w:rsid w:val="00413F4F"/>
    <w:rsid w:val="00416CDC"/>
    <w:rsid w:val="00420809"/>
    <w:rsid w:val="004228C8"/>
    <w:rsid w:val="00425252"/>
    <w:rsid w:val="00431D9F"/>
    <w:rsid w:val="00431FCF"/>
    <w:rsid w:val="00433FA3"/>
    <w:rsid w:val="004355D4"/>
    <w:rsid w:val="00435BEF"/>
    <w:rsid w:val="00436CEB"/>
    <w:rsid w:val="00437682"/>
    <w:rsid w:val="004378E7"/>
    <w:rsid w:val="004419CB"/>
    <w:rsid w:val="004420EF"/>
    <w:rsid w:val="00442525"/>
    <w:rsid w:val="004427DC"/>
    <w:rsid w:val="00442B9A"/>
    <w:rsid w:val="00442F71"/>
    <w:rsid w:val="0044473A"/>
    <w:rsid w:val="004454AC"/>
    <w:rsid w:val="00445A5C"/>
    <w:rsid w:val="00446549"/>
    <w:rsid w:val="00447453"/>
    <w:rsid w:val="0044781D"/>
    <w:rsid w:val="0045221C"/>
    <w:rsid w:val="004525FE"/>
    <w:rsid w:val="00453BDD"/>
    <w:rsid w:val="00453E48"/>
    <w:rsid w:val="00454F99"/>
    <w:rsid w:val="004562C2"/>
    <w:rsid w:val="0045664D"/>
    <w:rsid w:val="00457DBB"/>
    <w:rsid w:val="00462D09"/>
    <w:rsid w:val="004668EF"/>
    <w:rsid w:val="00470260"/>
    <w:rsid w:val="00471612"/>
    <w:rsid w:val="00471919"/>
    <w:rsid w:val="00471DEA"/>
    <w:rsid w:val="00473B7A"/>
    <w:rsid w:val="0047426F"/>
    <w:rsid w:val="0047473C"/>
    <w:rsid w:val="00477EE4"/>
    <w:rsid w:val="00480AD0"/>
    <w:rsid w:val="00481135"/>
    <w:rsid w:val="00481207"/>
    <w:rsid w:val="00482F6E"/>
    <w:rsid w:val="004836B7"/>
    <w:rsid w:val="004862B2"/>
    <w:rsid w:val="00490E15"/>
    <w:rsid w:val="00490EC1"/>
    <w:rsid w:val="00491048"/>
    <w:rsid w:val="004916D9"/>
    <w:rsid w:val="00491DCF"/>
    <w:rsid w:val="004922A7"/>
    <w:rsid w:val="0049290F"/>
    <w:rsid w:val="0049313C"/>
    <w:rsid w:val="00493688"/>
    <w:rsid w:val="004942A5"/>
    <w:rsid w:val="0049591E"/>
    <w:rsid w:val="004A0662"/>
    <w:rsid w:val="004A0E13"/>
    <w:rsid w:val="004A12DF"/>
    <w:rsid w:val="004A1FA5"/>
    <w:rsid w:val="004A254D"/>
    <w:rsid w:val="004A2FE4"/>
    <w:rsid w:val="004A34B6"/>
    <w:rsid w:val="004A390A"/>
    <w:rsid w:val="004A3E93"/>
    <w:rsid w:val="004A4673"/>
    <w:rsid w:val="004B00B2"/>
    <w:rsid w:val="004B07CD"/>
    <w:rsid w:val="004B08C5"/>
    <w:rsid w:val="004B2906"/>
    <w:rsid w:val="004B2B78"/>
    <w:rsid w:val="004B308B"/>
    <w:rsid w:val="004B3992"/>
    <w:rsid w:val="004B4D1B"/>
    <w:rsid w:val="004B72F7"/>
    <w:rsid w:val="004C2EC4"/>
    <w:rsid w:val="004C3656"/>
    <w:rsid w:val="004C6A06"/>
    <w:rsid w:val="004D1B89"/>
    <w:rsid w:val="004D4D07"/>
    <w:rsid w:val="004D696A"/>
    <w:rsid w:val="004D73EA"/>
    <w:rsid w:val="004E006A"/>
    <w:rsid w:val="004E0D48"/>
    <w:rsid w:val="004E1097"/>
    <w:rsid w:val="004E1299"/>
    <w:rsid w:val="004E1348"/>
    <w:rsid w:val="004E25BD"/>
    <w:rsid w:val="004E2602"/>
    <w:rsid w:val="004E2611"/>
    <w:rsid w:val="004E2DD2"/>
    <w:rsid w:val="004E3296"/>
    <w:rsid w:val="004E4C3A"/>
    <w:rsid w:val="004E4DC0"/>
    <w:rsid w:val="004E52F6"/>
    <w:rsid w:val="004E5663"/>
    <w:rsid w:val="004F111F"/>
    <w:rsid w:val="004F11C5"/>
    <w:rsid w:val="004F2782"/>
    <w:rsid w:val="004F42EC"/>
    <w:rsid w:val="004F4642"/>
    <w:rsid w:val="004F5B5A"/>
    <w:rsid w:val="004F7847"/>
    <w:rsid w:val="005013FA"/>
    <w:rsid w:val="00501619"/>
    <w:rsid w:val="005019DE"/>
    <w:rsid w:val="005024B9"/>
    <w:rsid w:val="00503098"/>
    <w:rsid w:val="005051AF"/>
    <w:rsid w:val="0051043A"/>
    <w:rsid w:val="0051075C"/>
    <w:rsid w:val="00511B58"/>
    <w:rsid w:val="00511D55"/>
    <w:rsid w:val="00513BCF"/>
    <w:rsid w:val="00513FEC"/>
    <w:rsid w:val="0051406F"/>
    <w:rsid w:val="00515D66"/>
    <w:rsid w:val="005167B3"/>
    <w:rsid w:val="0051680D"/>
    <w:rsid w:val="00516A2B"/>
    <w:rsid w:val="00516B64"/>
    <w:rsid w:val="00520699"/>
    <w:rsid w:val="00521205"/>
    <w:rsid w:val="00521A9C"/>
    <w:rsid w:val="00521CA2"/>
    <w:rsid w:val="00521F92"/>
    <w:rsid w:val="00522087"/>
    <w:rsid w:val="00523EB0"/>
    <w:rsid w:val="00526683"/>
    <w:rsid w:val="00526D0D"/>
    <w:rsid w:val="00530384"/>
    <w:rsid w:val="005305CC"/>
    <w:rsid w:val="00530DDD"/>
    <w:rsid w:val="005320DF"/>
    <w:rsid w:val="00532775"/>
    <w:rsid w:val="00533B7F"/>
    <w:rsid w:val="0053479C"/>
    <w:rsid w:val="0054013E"/>
    <w:rsid w:val="00543FCB"/>
    <w:rsid w:val="0054528F"/>
    <w:rsid w:val="0054670D"/>
    <w:rsid w:val="00546761"/>
    <w:rsid w:val="00547080"/>
    <w:rsid w:val="00547EEB"/>
    <w:rsid w:val="00547EEF"/>
    <w:rsid w:val="0055034C"/>
    <w:rsid w:val="00550D9B"/>
    <w:rsid w:val="00551B4D"/>
    <w:rsid w:val="005535FA"/>
    <w:rsid w:val="00553843"/>
    <w:rsid w:val="0055407E"/>
    <w:rsid w:val="00555030"/>
    <w:rsid w:val="005572FD"/>
    <w:rsid w:val="005573E2"/>
    <w:rsid w:val="00557CD4"/>
    <w:rsid w:val="00557D41"/>
    <w:rsid w:val="00561E67"/>
    <w:rsid w:val="00562300"/>
    <w:rsid w:val="00563833"/>
    <w:rsid w:val="00566ECB"/>
    <w:rsid w:val="00571B44"/>
    <w:rsid w:val="00572E16"/>
    <w:rsid w:val="00572F06"/>
    <w:rsid w:val="00573397"/>
    <w:rsid w:val="00576FCD"/>
    <w:rsid w:val="0057799E"/>
    <w:rsid w:val="00581E6E"/>
    <w:rsid w:val="00582484"/>
    <w:rsid w:val="005826F1"/>
    <w:rsid w:val="00582BC8"/>
    <w:rsid w:val="005834C8"/>
    <w:rsid w:val="0058394A"/>
    <w:rsid w:val="00584348"/>
    <w:rsid w:val="00587180"/>
    <w:rsid w:val="005872F1"/>
    <w:rsid w:val="005909A5"/>
    <w:rsid w:val="00591CB0"/>
    <w:rsid w:val="00592D4E"/>
    <w:rsid w:val="0059437D"/>
    <w:rsid w:val="0059443C"/>
    <w:rsid w:val="00595F34"/>
    <w:rsid w:val="0059686D"/>
    <w:rsid w:val="005A028F"/>
    <w:rsid w:val="005A3D9D"/>
    <w:rsid w:val="005A4277"/>
    <w:rsid w:val="005A4A3E"/>
    <w:rsid w:val="005A4A88"/>
    <w:rsid w:val="005A58B3"/>
    <w:rsid w:val="005A5B74"/>
    <w:rsid w:val="005A6040"/>
    <w:rsid w:val="005A6ED4"/>
    <w:rsid w:val="005B00C8"/>
    <w:rsid w:val="005B0472"/>
    <w:rsid w:val="005B18BC"/>
    <w:rsid w:val="005B1ED2"/>
    <w:rsid w:val="005B345C"/>
    <w:rsid w:val="005B352D"/>
    <w:rsid w:val="005B5A56"/>
    <w:rsid w:val="005B5AC5"/>
    <w:rsid w:val="005B6270"/>
    <w:rsid w:val="005C0031"/>
    <w:rsid w:val="005C0F7D"/>
    <w:rsid w:val="005C3AA3"/>
    <w:rsid w:val="005C5A50"/>
    <w:rsid w:val="005C6585"/>
    <w:rsid w:val="005D18FB"/>
    <w:rsid w:val="005D1FC3"/>
    <w:rsid w:val="005D260C"/>
    <w:rsid w:val="005D29E0"/>
    <w:rsid w:val="005D32A0"/>
    <w:rsid w:val="005D3EBA"/>
    <w:rsid w:val="005D41E9"/>
    <w:rsid w:val="005D5807"/>
    <w:rsid w:val="005D6BBC"/>
    <w:rsid w:val="005D7521"/>
    <w:rsid w:val="005D7761"/>
    <w:rsid w:val="005D79F0"/>
    <w:rsid w:val="005E1EA8"/>
    <w:rsid w:val="005E32D6"/>
    <w:rsid w:val="005E3310"/>
    <w:rsid w:val="005E41A0"/>
    <w:rsid w:val="005E4DBE"/>
    <w:rsid w:val="005E5089"/>
    <w:rsid w:val="005E7859"/>
    <w:rsid w:val="005F04B4"/>
    <w:rsid w:val="005F205E"/>
    <w:rsid w:val="005F2A21"/>
    <w:rsid w:val="005F4931"/>
    <w:rsid w:val="005F4D6F"/>
    <w:rsid w:val="005F552F"/>
    <w:rsid w:val="005F5660"/>
    <w:rsid w:val="005F688F"/>
    <w:rsid w:val="005F75EE"/>
    <w:rsid w:val="005F7CA7"/>
    <w:rsid w:val="00602597"/>
    <w:rsid w:val="00602A82"/>
    <w:rsid w:val="00607651"/>
    <w:rsid w:val="00610876"/>
    <w:rsid w:val="00612757"/>
    <w:rsid w:val="00614790"/>
    <w:rsid w:val="00616682"/>
    <w:rsid w:val="00616D16"/>
    <w:rsid w:val="006170B6"/>
    <w:rsid w:val="006171DF"/>
    <w:rsid w:val="00621D37"/>
    <w:rsid w:val="00625493"/>
    <w:rsid w:val="00625EC1"/>
    <w:rsid w:val="006268BA"/>
    <w:rsid w:val="0063179D"/>
    <w:rsid w:val="00632DF2"/>
    <w:rsid w:val="00634061"/>
    <w:rsid w:val="00634DA6"/>
    <w:rsid w:val="0063514C"/>
    <w:rsid w:val="00635AB9"/>
    <w:rsid w:val="006361A5"/>
    <w:rsid w:val="0063663C"/>
    <w:rsid w:val="006370E0"/>
    <w:rsid w:val="006371AF"/>
    <w:rsid w:val="006376C1"/>
    <w:rsid w:val="00641541"/>
    <w:rsid w:val="00641FB1"/>
    <w:rsid w:val="00642004"/>
    <w:rsid w:val="00642410"/>
    <w:rsid w:val="0064246A"/>
    <w:rsid w:val="00642A39"/>
    <w:rsid w:val="00642F4A"/>
    <w:rsid w:val="00643DCF"/>
    <w:rsid w:val="00643F93"/>
    <w:rsid w:val="00645B31"/>
    <w:rsid w:val="00647B15"/>
    <w:rsid w:val="00647BAB"/>
    <w:rsid w:val="00654FCC"/>
    <w:rsid w:val="0065522B"/>
    <w:rsid w:val="00655487"/>
    <w:rsid w:val="0065743F"/>
    <w:rsid w:val="00657683"/>
    <w:rsid w:val="00661709"/>
    <w:rsid w:val="00661B66"/>
    <w:rsid w:val="00662CF9"/>
    <w:rsid w:val="006640C7"/>
    <w:rsid w:val="0066448F"/>
    <w:rsid w:val="00665408"/>
    <w:rsid w:val="0066575A"/>
    <w:rsid w:val="006660AA"/>
    <w:rsid w:val="006707A4"/>
    <w:rsid w:val="0067117E"/>
    <w:rsid w:val="00671877"/>
    <w:rsid w:val="00671A6E"/>
    <w:rsid w:val="006723A4"/>
    <w:rsid w:val="00672CD3"/>
    <w:rsid w:val="006735AC"/>
    <w:rsid w:val="0067631F"/>
    <w:rsid w:val="00676523"/>
    <w:rsid w:val="0067722F"/>
    <w:rsid w:val="00677367"/>
    <w:rsid w:val="006812E0"/>
    <w:rsid w:val="00682F90"/>
    <w:rsid w:val="006839A4"/>
    <w:rsid w:val="00684A6F"/>
    <w:rsid w:val="0068613F"/>
    <w:rsid w:val="00687158"/>
    <w:rsid w:val="00690E07"/>
    <w:rsid w:val="00692E46"/>
    <w:rsid w:val="006972B0"/>
    <w:rsid w:val="00697A97"/>
    <w:rsid w:val="006A0300"/>
    <w:rsid w:val="006A0427"/>
    <w:rsid w:val="006A043E"/>
    <w:rsid w:val="006A1881"/>
    <w:rsid w:val="006A1C8C"/>
    <w:rsid w:val="006A1DA5"/>
    <w:rsid w:val="006A2858"/>
    <w:rsid w:val="006A2E90"/>
    <w:rsid w:val="006A36B1"/>
    <w:rsid w:val="006A4991"/>
    <w:rsid w:val="006B0B52"/>
    <w:rsid w:val="006B1C4B"/>
    <w:rsid w:val="006B33CC"/>
    <w:rsid w:val="006B3668"/>
    <w:rsid w:val="006B51CA"/>
    <w:rsid w:val="006C0C42"/>
    <w:rsid w:val="006C12D9"/>
    <w:rsid w:val="006C60A1"/>
    <w:rsid w:val="006C73C0"/>
    <w:rsid w:val="006C74FA"/>
    <w:rsid w:val="006C7760"/>
    <w:rsid w:val="006D2C3A"/>
    <w:rsid w:val="006D2FDB"/>
    <w:rsid w:val="006D31EE"/>
    <w:rsid w:val="006D3519"/>
    <w:rsid w:val="006D4839"/>
    <w:rsid w:val="006D692D"/>
    <w:rsid w:val="006D7965"/>
    <w:rsid w:val="006E1E48"/>
    <w:rsid w:val="006E239D"/>
    <w:rsid w:val="006E283F"/>
    <w:rsid w:val="006E414A"/>
    <w:rsid w:val="006E4FC8"/>
    <w:rsid w:val="006E6272"/>
    <w:rsid w:val="006E66AF"/>
    <w:rsid w:val="006E67FC"/>
    <w:rsid w:val="006F126B"/>
    <w:rsid w:val="006F3ACE"/>
    <w:rsid w:val="006F4DA7"/>
    <w:rsid w:val="006F53C4"/>
    <w:rsid w:val="006F546B"/>
    <w:rsid w:val="006F58E1"/>
    <w:rsid w:val="006F5DA6"/>
    <w:rsid w:val="006F70A5"/>
    <w:rsid w:val="00700BD6"/>
    <w:rsid w:val="0070103B"/>
    <w:rsid w:val="00701792"/>
    <w:rsid w:val="00702588"/>
    <w:rsid w:val="00703298"/>
    <w:rsid w:val="007079F0"/>
    <w:rsid w:val="00707E0E"/>
    <w:rsid w:val="0071040F"/>
    <w:rsid w:val="00710889"/>
    <w:rsid w:val="007115DC"/>
    <w:rsid w:val="00711D27"/>
    <w:rsid w:val="0071399B"/>
    <w:rsid w:val="007156B8"/>
    <w:rsid w:val="00716551"/>
    <w:rsid w:val="00716BF0"/>
    <w:rsid w:val="00717BA7"/>
    <w:rsid w:val="00717EB9"/>
    <w:rsid w:val="007200A3"/>
    <w:rsid w:val="007200AE"/>
    <w:rsid w:val="007208DF"/>
    <w:rsid w:val="00720CE2"/>
    <w:rsid w:val="00722808"/>
    <w:rsid w:val="00722AD5"/>
    <w:rsid w:val="007233E4"/>
    <w:rsid w:val="00723FDE"/>
    <w:rsid w:val="007277C1"/>
    <w:rsid w:val="00727834"/>
    <w:rsid w:val="00731504"/>
    <w:rsid w:val="00731E0C"/>
    <w:rsid w:val="007329BC"/>
    <w:rsid w:val="00732C4B"/>
    <w:rsid w:val="0073345B"/>
    <w:rsid w:val="00735560"/>
    <w:rsid w:val="00735ABA"/>
    <w:rsid w:val="0073705F"/>
    <w:rsid w:val="00741389"/>
    <w:rsid w:val="00741E1F"/>
    <w:rsid w:val="007437C0"/>
    <w:rsid w:val="007451E9"/>
    <w:rsid w:val="00746536"/>
    <w:rsid w:val="00747FF7"/>
    <w:rsid w:val="007501D9"/>
    <w:rsid w:val="007506A4"/>
    <w:rsid w:val="0075092F"/>
    <w:rsid w:val="00752A4C"/>
    <w:rsid w:val="0075417A"/>
    <w:rsid w:val="00754FB3"/>
    <w:rsid w:val="0075555C"/>
    <w:rsid w:val="007558B4"/>
    <w:rsid w:val="00755A0C"/>
    <w:rsid w:val="007574DC"/>
    <w:rsid w:val="00757B9E"/>
    <w:rsid w:val="007610B7"/>
    <w:rsid w:val="00762FCE"/>
    <w:rsid w:val="007633D1"/>
    <w:rsid w:val="00763594"/>
    <w:rsid w:val="00763849"/>
    <w:rsid w:val="00764AAE"/>
    <w:rsid w:val="00765ECD"/>
    <w:rsid w:val="00766435"/>
    <w:rsid w:val="00770E0E"/>
    <w:rsid w:val="00772E8C"/>
    <w:rsid w:val="00775375"/>
    <w:rsid w:val="00775CC1"/>
    <w:rsid w:val="007765B6"/>
    <w:rsid w:val="00776BD5"/>
    <w:rsid w:val="00776DCA"/>
    <w:rsid w:val="00781BF2"/>
    <w:rsid w:val="00783205"/>
    <w:rsid w:val="007847BF"/>
    <w:rsid w:val="00785A75"/>
    <w:rsid w:val="0078699B"/>
    <w:rsid w:val="0078768E"/>
    <w:rsid w:val="00790AE2"/>
    <w:rsid w:val="0079126E"/>
    <w:rsid w:val="007968A9"/>
    <w:rsid w:val="007972B6"/>
    <w:rsid w:val="007A0DD4"/>
    <w:rsid w:val="007A2CFD"/>
    <w:rsid w:val="007A502C"/>
    <w:rsid w:val="007A6249"/>
    <w:rsid w:val="007A6F68"/>
    <w:rsid w:val="007B1009"/>
    <w:rsid w:val="007B157A"/>
    <w:rsid w:val="007B1948"/>
    <w:rsid w:val="007B63B1"/>
    <w:rsid w:val="007C1E39"/>
    <w:rsid w:val="007C448C"/>
    <w:rsid w:val="007C50FE"/>
    <w:rsid w:val="007C6E19"/>
    <w:rsid w:val="007D03E7"/>
    <w:rsid w:val="007D143D"/>
    <w:rsid w:val="007D1D54"/>
    <w:rsid w:val="007D450B"/>
    <w:rsid w:val="007D4FB2"/>
    <w:rsid w:val="007D6FE2"/>
    <w:rsid w:val="007D7A47"/>
    <w:rsid w:val="007E0FE9"/>
    <w:rsid w:val="007E17FF"/>
    <w:rsid w:val="007E3110"/>
    <w:rsid w:val="007E4C48"/>
    <w:rsid w:val="007E6406"/>
    <w:rsid w:val="007E7594"/>
    <w:rsid w:val="007F0706"/>
    <w:rsid w:val="007F34DE"/>
    <w:rsid w:val="007F517A"/>
    <w:rsid w:val="007F5A3C"/>
    <w:rsid w:val="007F67E3"/>
    <w:rsid w:val="007F6F9F"/>
    <w:rsid w:val="007F79AD"/>
    <w:rsid w:val="0080042C"/>
    <w:rsid w:val="00802C6B"/>
    <w:rsid w:val="008039FC"/>
    <w:rsid w:val="00805501"/>
    <w:rsid w:val="00805E9D"/>
    <w:rsid w:val="00807527"/>
    <w:rsid w:val="008120D8"/>
    <w:rsid w:val="008132DA"/>
    <w:rsid w:val="008157D4"/>
    <w:rsid w:val="008163EB"/>
    <w:rsid w:val="00816466"/>
    <w:rsid w:val="00816543"/>
    <w:rsid w:val="008179FC"/>
    <w:rsid w:val="00820CFB"/>
    <w:rsid w:val="0082541C"/>
    <w:rsid w:val="0082547C"/>
    <w:rsid w:val="00826432"/>
    <w:rsid w:val="00826C7C"/>
    <w:rsid w:val="00830E1D"/>
    <w:rsid w:val="00831BB9"/>
    <w:rsid w:val="00833645"/>
    <w:rsid w:val="00834A06"/>
    <w:rsid w:val="00837097"/>
    <w:rsid w:val="00840C78"/>
    <w:rsid w:val="00841A2C"/>
    <w:rsid w:val="00843E2B"/>
    <w:rsid w:val="00846567"/>
    <w:rsid w:val="00846E63"/>
    <w:rsid w:val="00847DE1"/>
    <w:rsid w:val="00851ECE"/>
    <w:rsid w:val="00852F41"/>
    <w:rsid w:val="00853A31"/>
    <w:rsid w:val="0085416D"/>
    <w:rsid w:val="00854C95"/>
    <w:rsid w:val="0085639D"/>
    <w:rsid w:val="00856BC2"/>
    <w:rsid w:val="00857243"/>
    <w:rsid w:val="0086032B"/>
    <w:rsid w:val="00860C35"/>
    <w:rsid w:val="008612FB"/>
    <w:rsid w:val="00862055"/>
    <w:rsid w:val="00862131"/>
    <w:rsid w:val="00864DED"/>
    <w:rsid w:val="0086537D"/>
    <w:rsid w:val="00866079"/>
    <w:rsid w:val="008664E5"/>
    <w:rsid w:val="00867985"/>
    <w:rsid w:val="00867FFD"/>
    <w:rsid w:val="00870293"/>
    <w:rsid w:val="00870415"/>
    <w:rsid w:val="00871D6B"/>
    <w:rsid w:val="00872E46"/>
    <w:rsid w:val="008730F3"/>
    <w:rsid w:val="00873887"/>
    <w:rsid w:val="00874583"/>
    <w:rsid w:val="00875B88"/>
    <w:rsid w:val="00876B21"/>
    <w:rsid w:val="008771FD"/>
    <w:rsid w:val="00877390"/>
    <w:rsid w:val="00877DE8"/>
    <w:rsid w:val="0088236A"/>
    <w:rsid w:val="00883516"/>
    <w:rsid w:val="008845CE"/>
    <w:rsid w:val="00884E93"/>
    <w:rsid w:val="00885E1E"/>
    <w:rsid w:val="00886669"/>
    <w:rsid w:val="00886903"/>
    <w:rsid w:val="00887348"/>
    <w:rsid w:val="00887F8D"/>
    <w:rsid w:val="00890A40"/>
    <w:rsid w:val="00890F62"/>
    <w:rsid w:val="0089280C"/>
    <w:rsid w:val="0089415D"/>
    <w:rsid w:val="008949EE"/>
    <w:rsid w:val="00894B16"/>
    <w:rsid w:val="00894D98"/>
    <w:rsid w:val="0089598F"/>
    <w:rsid w:val="008A1F78"/>
    <w:rsid w:val="008A3006"/>
    <w:rsid w:val="008B2BC3"/>
    <w:rsid w:val="008B5C1F"/>
    <w:rsid w:val="008B7996"/>
    <w:rsid w:val="008B7BD6"/>
    <w:rsid w:val="008C1C30"/>
    <w:rsid w:val="008C64D6"/>
    <w:rsid w:val="008C71E4"/>
    <w:rsid w:val="008C7CAA"/>
    <w:rsid w:val="008C7E29"/>
    <w:rsid w:val="008D1874"/>
    <w:rsid w:val="008D429E"/>
    <w:rsid w:val="008D4E83"/>
    <w:rsid w:val="008D5819"/>
    <w:rsid w:val="008D6674"/>
    <w:rsid w:val="008E1CF5"/>
    <w:rsid w:val="008E4742"/>
    <w:rsid w:val="008E47CD"/>
    <w:rsid w:val="008E667F"/>
    <w:rsid w:val="008E7FA8"/>
    <w:rsid w:val="008F0235"/>
    <w:rsid w:val="008F0D78"/>
    <w:rsid w:val="008F0E8B"/>
    <w:rsid w:val="008F1BDD"/>
    <w:rsid w:val="008F2F24"/>
    <w:rsid w:val="008F6268"/>
    <w:rsid w:val="008F7992"/>
    <w:rsid w:val="0090041C"/>
    <w:rsid w:val="009016C2"/>
    <w:rsid w:val="00902B3F"/>
    <w:rsid w:val="00902D93"/>
    <w:rsid w:val="00903816"/>
    <w:rsid w:val="009038BB"/>
    <w:rsid w:val="009040C0"/>
    <w:rsid w:val="0091009F"/>
    <w:rsid w:val="009105BC"/>
    <w:rsid w:val="00912A4F"/>
    <w:rsid w:val="009137A6"/>
    <w:rsid w:val="00913D43"/>
    <w:rsid w:val="00913E6B"/>
    <w:rsid w:val="00914E30"/>
    <w:rsid w:val="00916561"/>
    <w:rsid w:val="0092194E"/>
    <w:rsid w:val="00922319"/>
    <w:rsid w:val="00923515"/>
    <w:rsid w:val="00924FF2"/>
    <w:rsid w:val="00927176"/>
    <w:rsid w:val="0092739B"/>
    <w:rsid w:val="00927B05"/>
    <w:rsid w:val="00927DB6"/>
    <w:rsid w:val="00930E66"/>
    <w:rsid w:val="00930FEE"/>
    <w:rsid w:val="00932783"/>
    <w:rsid w:val="00932EB7"/>
    <w:rsid w:val="00933058"/>
    <w:rsid w:val="009335B1"/>
    <w:rsid w:val="00935B0F"/>
    <w:rsid w:val="00936174"/>
    <w:rsid w:val="009361F6"/>
    <w:rsid w:val="009424C2"/>
    <w:rsid w:val="00943CC5"/>
    <w:rsid w:val="00944D7A"/>
    <w:rsid w:val="0094718A"/>
    <w:rsid w:val="00950240"/>
    <w:rsid w:val="009517D6"/>
    <w:rsid w:val="00951EEF"/>
    <w:rsid w:val="009542D1"/>
    <w:rsid w:val="0095520A"/>
    <w:rsid w:val="009579DF"/>
    <w:rsid w:val="00957E61"/>
    <w:rsid w:val="009605A7"/>
    <w:rsid w:val="00960A86"/>
    <w:rsid w:val="0096181A"/>
    <w:rsid w:val="0096195E"/>
    <w:rsid w:val="00961FE3"/>
    <w:rsid w:val="00966640"/>
    <w:rsid w:val="00966718"/>
    <w:rsid w:val="00971384"/>
    <w:rsid w:val="009717C6"/>
    <w:rsid w:val="00971D36"/>
    <w:rsid w:val="00973E6C"/>
    <w:rsid w:val="0097402E"/>
    <w:rsid w:val="00976ED1"/>
    <w:rsid w:val="009773A7"/>
    <w:rsid w:val="00977D44"/>
    <w:rsid w:val="00981B7C"/>
    <w:rsid w:val="0098451C"/>
    <w:rsid w:val="0098479A"/>
    <w:rsid w:val="009857DD"/>
    <w:rsid w:val="0098726B"/>
    <w:rsid w:val="009876BC"/>
    <w:rsid w:val="00987FE1"/>
    <w:rsid w:val="009916F8"/>
    <w:rsid w:val="00991A07"/>
    <w:rsid w:val="00992826"/>
    <w:rsid w:val="0099417D"/>
    <w:rsid w:val="00994187"/>
    <w:rsid w:val="00994AF5"/>
    <w:rsid w:val="009957DF"/>
    <w:rsid w:val="009958D8"/>
    <w:rsid w:val="00996E2B"/>
    <w:rsid w:val="009A0850"/>
    <w:rsid w:val="009A306F"/>
    <w:rsid w:val="009A379E"/>
    <w:rsid w:val="009A57D5"/>
    <w:rsid w:val="009A7922"/>
    <w:rsid w:val="009A7D7D"/>
    <w:rsid w:val="009A7F50"/>
    <w:rsid w:val="009B4848"/>
    <w:rsid w:val="009B61C6"/>
    <w:rsid w:val="009B6874"/>
    <w:rsid w:val="009B6C18"/>
    <w:rsid w:val="009B7E6F"/>
    <w:rsid w:val="009C1742"/>
    <w:rsid w:val="009C19B5"/>
    <w:rsid w:val="009C1E50"/>
    <w:rsid w:val="009C5784"/>
    <w:rsid w:val="009C57D2"/>
    <w:rsid w:val="009C5E9C"/>
    <w:rsid w:val="009C65D9"/>
    <w:rsid w:val="009C700C"/>
    <w:rsid w:val="009D24F9"/>
    <w:rsid w:val="009D3FE7"/>
    <w:rsid w:val="009D5513"/>
    <w:rsid w:val="009D5966"/>
    <w:rsid w:val="009D5D23"/>
    <w:rsid w:val="009D6289"/>
    <w:rsid w:val="009E3F0D"/>
    <w:rsid w:val="009E40A5"/>
    <w:rsid w:val="009E6836"/>
    <w:rsid w:val="009F0473"/>
    <w:rsid w:val="009F063D"/>
    <w:rsid w:val="009F1728"/>
    <w:rsid w:val="009F1C21"/>
    <w:rsid w:val="009F1E04"/>
    <w:rsid w:val="009F2560"/>
    <w:rsid w:val="009F3B15"/>
    <w:rsid w:val="009F5237"/>
    <w:rsid w:val="009F5F6C"/>
    <w:rsid w:val="009F708F"/>
    <w:rsid w:val="00A00A13"/>
    <w:rsid w:val="00A00EAA"/>
    <w:rsid w:val="00A02D68"/>
    <w:rsid w:val="00A02D79"/>
    <w:rsid w:val="00A0398B"/>
    <w:rsid w:val="00A03CE4"/>
    <w:rsid w:val="00A0409C"/>
    <w:rsid w:val="00A0492A"/>
    <w:rsid w:val="00A04F1D"/>
    <w:rsid w:val="00A04F6B"/>
    <w:rsid w:val="00A074A1"/>
    <w:rsid w:val="00A12741"/>
    <w:rsid w:val="00A135E6"/>
    <w:rsid w:val="00A16660"/>
    <w:rsid w:val="00A17903"/>
    <w:rsid w:val="00A20E65"/>
    <w:rsid w:val="00A210C8"/>
    <w:rsid w:val="00A222D9"/>
    <w:rsid w:val="00A2354B"/>
    <w:rsid w:val="00A24CAD"/>
    <w:rsid w:val="00A252F1"/>
    <w:rsid w:val="00A255A3"/>
    <w:rsid w:val="00A258CA"/>
    <w:rsid w:val="00A27FDF"/>
    <w:rsid w:val="00A31E1C"/>
    <w:rsid w:val="00A31FAC"/>
    <w:rsid w:val="00A3296C"/>
    <w:rsid w:val="00A32CE2"/>
    <w:rsid w:val="00A350B7"/>
    <w:rsid w:val="00A35DA9"/>
    <w:rsid w:val="00A35E13"/>
    <w:rsid w:val="00A40B0B"/>
    <w:rsid w:val="00A421CC"/>
    <w:rsid w:val="00A45095"/>
    <w:rsid w:val="00A45B56"/>
    <w:rsid w:val="00A45E54"/>
    <w:rsid w:val="00A47D21"/>
    <w:rsid w:val="00A501EE"/>
    <w:rsid w:val="00A50F10"/>
    <w:rsid w:val="00A51DB5"/>
    <w:rsid w:val="00A52016"/>
    <w:rsid w:val="00A5296B"/>
    <w:rsid w:val="00A5448E"/>
    <w:rsid w:val="00A54627"/>
    <w:rsid w:val="00A54BFC"/>
    <w:rsid w:val="00A56C4A"/>
    <w:rsid w:val="00A57B34"/>
    <w:rsid w:val="00A616C3"/>
    <w:rsid w:val="00A61B26"/>
    <w:rsid w:val="00A620DB"/>
    <w:rsid w:val="00A62147"/>
    <w:rsid w:val="00A621AE"/>
    <w:rsid w:val="00A62B61"/>
    <w:rsid w:val="00A63763"/>
    <w:rsid w:val="00A64A6D"/>
    <w:rsid w:val="00A6733B"/>
    <w:rsid w:val="00A67D72"/>
    <w:rsid w:val="00A70C04"/>
    <w:rsid w:val="00A7165F"/>
    <w:rsid w:val="00A7398A"/>
    <w:rsid w:val="00A75004"/>
    <w:rsid w:val="00A75B1A"/>
    <w:rsid w:val="00A769CB"/>
    <w:rsid w:val="00A76E3A"/>
    <w:rsid w:val="00A775E9"/>
    <w:rsid w:val="00A77B70"/>
    <w:rsid w:val="00A83602"/>
    <w:rsid w:val="00A85217"/>
    <w:rsid w:val="00A86DCF"/>
    <w:rsid w:val="00A873A6"/>
    <w:rsid w:val="00A87DD3"/>
    <w:rsid w:val="00A90EF6"/>
    <w:rsid w:val="00A91101"/>
    <w:rsid w:val="00A91A30"/>
    <w:rsid w:val="00A91C3C"/>
    <w:rsid w:val="00A9276F"/>
    <w:rsid w:val="00A9320B"/>
    <w:rsid w:val="00A93C91"/>
    <w:rsid w:val="00A93EAB"/>
    <w:rsid w:val="00A94909"/>
    <w:rsid w:val="00A95483"/>
    <w:rsid w:val="00A95DC4"/>
    <w:rsid w:val="00AA0BF7"/>
    <w:rsid w:val="00AA16D9"/>
    <w:rsid w:val="00AA1B97"/>
    <w:rsid w:val="00AA2411"/>
    <w:rsid w:val="00AA2723"/>
    <w:rsid w:val="00AA5A43"/>
    <w:rsid w:val="00AA754B"/>
    <w:rsid w:val="00AA756A"/>
    <w:rsid w:val="00AB06C7"/>
    <w:rsid w:val="00AB1BA8"/>
    <w:rsid w:val="00AB2332"/>
    <w:rsid w:val="00AB26A7"/>
    <w:rsid w:val="00AB5B26"/>
    <w:rsid w:val="00AB6B5B"/>
    <w:rsid w:val="00AB71A3"/>
    <w:rsid w:val="00AC0006"/>
    <w:rsid w:val="00AC0DC9"/>
    <w:rsid w:val="00AC1493"/>
    <w:rsid w:val="00AC14D7"/>
    <w:rsid w:val="00AC14E6"/>
    <w:rsid w:val="00AC240C"/>
    <w:rsid w:val="00AC52E5"/>
    <w:rsid w:val="00AC59E6"/>
    <w:rsid w:val="00AC7EC7"/>
    <w:rsid w:val="00AD0BB6"/>
    <w:rsid w:val="00AD3378"/>
    <w:rsid w:val="00AD4118"/>
    <w:rsid w:val="00AD43CD"/>
    <w:rsid w:val="00AD61EB"/>
    <w:rsid w:val="00AE091D"/>
    <w:rsid w:val="00AE209D"/>
    <w:rsid w:val="00AE4436"/>
    <w:rsid w:val="00AE6056"/>
    <w:rsid w:val="00AE6ABC"/>
    <w:rsid w:val="00AF0395"/>
    <w:rsid w:val="00AF297F"/>
    <w:rsid w:val="00AF2B7D"/>
    <w:rsid w:val="00AF429B"/>
    <w:rsid w:val="00AF5778"/>
    <w:rsid w:val="00AF6460"/>
    <w:rsid w:val="00AF65D3"/>
    <w:rsid w:val="00AF79B4"/>
    <w:rsid w:val="00B00C9C"/>
    <w:rsid w:val="00B010E5"/>
    <w:rsid w:val="00B01FA5"/>
    <w:rsid w:val="00B03E5A"/>
    <w:rsid w:val="00B03FA5"/>
    <w:rsid w:val="00B044D4"/>
    <w:rsid w:val="00B04EBF"/>
    <w:rsid w:val="00B05C61"/>
    <w:rsid w:val="00B05FA3"/>
    <w:rsid w:val="00B125C3"/>
    <w:rsid w:val="00B13E84"/>
    <w:rsid w:val="00B159C3"/>
    <w:rsid w:val="00B15C14"/>
    <w:rsid w:val="00B169F9"/>
    <w:rsid w:val="00B16EFF"/>
    <w:rsid w:val="00B17109"/>
    <w:rsid w:val="00B20308"/>
    <w:rsid w:val="00B20E52"/>
    <w:rsid w:val="00B21083"/>
    <w:rsid w:val="00B212BA"/>
    <w:rsid w:val="00B22C90"/>
    <w:rsid w:val="00B24114"/>
    <w:rsid w:val="00B243CD"/>
    <w:rsid w:val="00B256F7"/>
    <w:rsid w:val="00B26B9D"/>
    <w:rsid w:val="00B326E4"/>
    <w:rsid w:val="00B34122"/>
    <w:rsid w:val="00B363DB"/>
    <w:rsid w:val="00B36F4D"/>
    <w:rsid w:val="00B37A94"/>
    <w:rsid w:val="00B41B1B"/>
    <w:rsid w:val="00B41CD8"/>
    <w:rsid w:val="00B42386"/>
    <w:rsid w:val="00B4265E"/>
    <w:rsid w:val="00B429C7"/>
    <w:rsid w:val="00B43F18"/>
    <w:rsid w:val="00B444E1"/>
    <w:rsid w:val="00B46ECC"/>
    <w:rsid w:val="00B46F8D"/>
    <w:rsid w:val="00B4765D"/>
    <w:rsid w:val="00B47805"/>
    <w:rsid w:val="00B4782E"/>
    <w:rsid w:val="00B5007C"/>
    <w:rsid w:val="00B50D20"/>
    <w:rsid w:val="00B52DB7"/>
    <w:rsid w:val="00B551D0"/>
    <w:rsid w:val="00B553F4"/>
    <w:rsid w:val="00B55716"/>
    <w:rsid w:val="00B55B10"/>
    <w:rsid w:val="00B55F7B"/>
    <w:rsid w:val="00B5608B"/>
    <w:rsid w:val="00B57145"/>
    <w:rsid w:val="00B61249"/>
    <w:rsid w:val="00B613D7"/>
    <w:rsid w:val="00B61930"/>
    <w:rsid w:val="00B62590"/>
    <w:rsid w:val="00B63530"/>
    <w:rsid w:val="00B64045"/>
    <w:rsid w:val="00B64193"/>
    <w:rsid w:val="00B64808"/>
    <w:rsid w:val="00B651BA"/>
    <w:rsid w:val="00B65ABD"/>
    <w:rsid w:val="00B75460"/>
    <w:rsid w:val="00B76115"/>
    <w:rsid w:val="00B85CD0"/>
    <w:rsid w:val="00B86432"/>
    <w:rsid w:val="00B870DC"/>
    <w:rsid w:val="00B90316"/>
    <w:rsid w:val="00B90689"/>
    <w:rsid w:val="00B90B54"/>
    <w:rsid w:val="00B91CC1"/>
    <w:rsid w:val="00B91DBD"/>
    <w:rsid w:val="00B92A04"/>
    <w:rsid w:val="00B93167"/>
    <w:rsid w:val="00B9357A"/>
    <w:rsid w:val="00B9378E"/>
    <w:rsid w:val="00B95AB1"/>
    <w:rsid w:val="00B95D44"/>
    <w:rsid w:val="00B96274"/>
    <w:rsid w:val="00B964DC"/>
    <w:rsid w:val="00BA27B1"/>
    <w:rsid w:val="00BA2F02"/>
    <w:rsid w:val="00BA48BB"/>
    <w:rsid w:val="00BA49AE"/>
    <w:rsid w:val="00BA4CD0"/>
    <w:rsid w:val="00BA5225"/>
    <w:rsid w:val="00BA5583"/>
    <w:rsid w:val="00BA56CD"/>
    <w:rsid w:val="00BA6244"/>
    <w:rsid w:val="00BB0085"/>
    <w:rsid w:val="00BB2566"/>
    <w:rsid w:val="00BB2779"/>
    <w:rsid w:val="00BB49C5"/>
    <w:rsid w:val="00BB5028"/>
    <w:rsid w:val="00BB509C"/>
    <w:rsid w:val="00BB519A"/>
    <w:rsid w:val="00BB5C5E"/>
    <w:rsid w:val="00BB7F95"/>
    <w:rsid w:val="00BC23FC"/>
    <w:rsid w:val="00BC31B4"/>
    <w:rsid w:val="00BC357F"/>
    <w:rsid w:val="00BC4382"/>
    <w:rsid w:val="00BC4E7F"/>
    <w:rsid w:val="00BD0652"/>
    <w:rsid w:val="00BD0EDE"/>
    <w:rsid w:val="00BD44A4"/>
    <w:rsid w:val="00BD5C2B"/>
    <w:rsid w:val="00BD5D9C"/>
    <w:rsid w:val="00BD6FD0"/>
    <w:rsid w:val="00BD7491"/>
    <w:rsid w:val="00BD7E8F"/>
    <w:rsid w:val="00BE2CF7"/>
    <w:rsid w:val="00BE355A"/>
    <w:rsid w:val="00BE4C48"/>
    <w:rsid w:val="00BE6B29"/>
    <w:rsid w:val="00BE6C1D"/>
    <w:rsid w:val="00BE781E"/>
    <w:rsid w:val="00BF179F"/>
    <w:rsid w:val="00BF181F"/>
    <w:rsid w:val="00BF2E7D"/>
    <w:rsid w:val="00BF302F"/>
    <w:rsid w:val="00BF3B9A"/>
    <w:rsid w:val="00BF3CBF"/>
    <w:rsid w:val="00BF429C"/>
    <w:rsid w:val="00BF572F"/>
    <w:rsid w:val="00BF719E"/>
    <w:rsid w:val="00BF768C"/>
    <w:rsid w:val="00BF7BCE"/>
    <w:rsid w:val="00C0076E"/>
    <w:rsid w:val="00C00CCB"/>
    <w:rsid w:val="00C02AB1"/>
    <w:rsid w:val="00C0446F"/>
    <w:rsid w:val="00C046F0"/>
    <w:rsid w:val="00C04B97"/>
    <w:rsid w:val="00C079EF"/>
    <w:rsid w:val="00C1057C"/>
    <w:rsid w:val="00C111EB"/>
    <w:rsid w:val="00C11465"/>
    <w:rsid w:val="00C118AB"/>
    <w:rsid w:val="00C1205F"/>
    <w:rsid w:val="00C124F2"/>
    <w:rsid w:val="00C12558"/>
    <w:rsid w:val="00C125AD"/>
    <w:rsid w:val="00C1299B"/>
    <w:rsid w:val="00C1360E"/>
    <w:rsid w:val="00C1392D"/>
    <w:rsid w:val="00C13C86"/>
    <w:rsid w:val="00C145EA"/>
    <w:rsid w:val="00C15599"/>
    <w:rsid w:val="00C1623F"/>
    <w:rsid w:val="00C16A96"/>
    <w:rsid w:val="00C2100B"/>
    <w:rsid w:val="00C21195"/>
    <w:rsid w:val="00C21741"/>
    <w:rsid w:val="00C225E3"/>
    <w:rsid w:val="00C22C46"/>
    <w:rsid w:val="00C2315B"/>
    <w:rsid w:val="00C23D87"/>
    <w:rsid w:val="00C23F32"/>
    <w:rsid w:val="00C2465A"/>
    <w:rsid w:val="00C24C61"/>
    <w:rsid w:val="00C27FC6"/>
    <w:rsid w:val="00C33752"/>
    <w:rsid w:val="00C343AC"/>
    <w:rsid w:val="00C348FB"/>
    <w:rsid w:val="00C34A10"/>
    <w:rsid w:val="00C354A2"/>
    <w:rsid w:val="00C35C9E"/>
    <w:rsid w:val="00C36193"/>
    <w:rsid w:val="00C36314"/>
    <w:rsid w:val="00C36656"/>
    <w:rsid w:val="00C3681F"/>
    <w:rsid w:val="00C372C5"/>
    <w:rsid w:val="00C412C1"/>
    <w:rsid w:val="00C41AE9"/>
    <w:rsid w:val="00C41C9E"/>
    <w:rsid w:val="00C43AC2"/>
    <w:rsid w:val="00C4580B"/>
    <w:rsid w:val="00C461E0"/>
    <w:rsid w:val="00C5049B"/>
    <w:rsid w:val="00C50B8A"/>
    <w:rsid w:val="00C51B66"/>
    <w:rsid w:val="00C5224B"/>
    <w:rsid w:val="00C52C71"/>
    <w:rsid w:val="00C52D50"/>
    <w:rsid w:val="00C5344A"/>
    <w:rsid w:val="00C537F8"/>
    <w:rsid w:val="00C5422C"/>
    <w:rsid w:val="00C576F1"/>
    <w:rsid w:val="00C603FA"/>
    <w:rsid w:val="00C60875"/>
    <w:rsid w:val="00C60BD9"/>
    <w:rsid w:val="00C61437"/>
    <w:rsid w:val="00C61A30"/>
    <w:rsid w:val="00C63076"/>
    <w:rsid w:val="00C662F8"/>
    <w:rsid w:val="00C66AAB"/>
    <w:rsid w:val="00C70EC9"/>
    <w:rsid w:val="00C715DA"/>
    <w:rsid w:val="00C73AB7"/>
    <w:rsid w:val="00C74198"/>
    <w:rsid w:val="00C76097"/>
    <w:rsid w:val="00C76A1B"/>
    <w:rsid w:val="00C8149E"/>
    <w:rsid w:val="00C82621"/>
    <w:rsid w:val="00C82DDA"/>
    <w:rsid w:val="00C8478E"/>
    <w:rsid w:val="00C852AF"/>
    <w:rsid w:val="00C85A9B"/>
    <w:rsid w:val="00C8666A"/>
    <w:rsid w:val="00C8710C"/>
    <w:rsid w:val="00C90C0D"/>
    <w:rsid w:val="00C91C98"/>
    <w:rsid w:val="00C92016"/>
    <w:rsid w:val="00C92D78"/>
    <w:rsid w:val="00C9363C"/>
    <w:rsid w:val="00C941CB"/>
    <w:rsid w:val="00C958B5"/>
    <w:rsid w:val="00C95DAB"/>
    <w:rsid w:val="00C96B21"/>
    <w:rsid w:val="00C96DF8"/>
    <w:rsid w:val="00CA085C"/>
    <w:rsid w:val="00CA1125"/>
    <w:rsid w:val="00CA2AC7"/>
    <w:rsid w:val="00CA5EBF"/>
    <w:rsid w:val="00CA5FBF"/>
    <w:rsid w:val="00CA6306"/>
    <w:rsid w:val="00CA7844"/>
    <w:rsid w:val="00CB072B"/>
    <w:rsid w:val="00CB0AD8"/>
    <w:rsid w:val="00CB0F21"/>
    <w:rsid w:val="00CB11E5"/>
    <w:rsid w:val="00CB1908"/>
    <w:rsid w:val="00CB33A1"/>
    <w:rsid w:val="00CB3960"/>
    <w:rsid w:val="00CB44D8"/>
    <w:rsid w:val="00CB5560"/>
    <w:rsid w:val="00CB66AB"/>
    <w:rsid w:val="00CC017B"/>
    <w:rsid w:val="00CC052E"/>
    <w:rsid w:val="00CC11C2"/>
    <w:rsid w:val="00CC1BDE"/>
    <w:rsid w:val="00CC5265"/>
    <w:rsid w:val="00CC63FE"/>
    <w:rsid w:val="00CD12D3"/>
    <w:rsid w:val="00CD1A1B"/>
    <w:rsid w:val="00CD25D5"/>
    <w:rsid w:val="00CD2F06"/>
    <w:rsid w:val="00CD320A"/>
    <w:rsid w:val="00CD3AEA"/>
    <w:rsid w:val="00CD5042"/>
    <w:rsid w:val="00CD5605"/>
    <w:rsid w:val="00CD6550"/>
    <w:rsid w:val="00CD66B1"/>
    <w:rsid w:val="00CE0714"/>
    <w:rsid w:val="00CE1080"/>
    <w:rsid w:val="00CE1AB9"/>
    <w:rsid w:val="00CE1D77"/>
    <w:rsid w:val="00CE4439"/>
    <w:rsid w:val="00CE4E5E"/>
    <w:rsid w:val="00CE5728"/>
    <w:rsid w:val="00CE63BE"/>
    <w:rsid w:val="00CE77F0"/>
    <w:rsid w:val="00CF025C"/>
    <w:rsid w:val="00CF347E"/>
    <w:rsid w:val="00CF461C"/>
    <w:rsid w:val="00CF486A"/>
    <w:rsid w:val="00D007BA"/>
    <w:rsid w:val="00D03493"/>
    <w:rsid w:val="00D05205"/>
    <w:rsid w:val="00D063CB"/>
    <w:rsid w:val="00D1199F"/>
    <w:rsid w:val="00D12C14"/>
    <w:rsid w:val="00D1393C"/>
    <w:rsid w:val="00D14582"/>
    <w:rsid w:val="00D16477"/>
    <w:rsid w:val="00D20471"/>
    <w:rsid w:val="00D2256D"/>
    <w:rsid w:val="00D23242"/>
    <w:rsid w:val="00D2385D"/>
    <w:rsid w:val="00D23BE9"/>
    <w:rsid w:val="00D23F7E"/>
    <w:rsid w:val="00D243F2"/>
    <w:rsid w:val="00D24FF0"/>
    <w:rsid w:val="00D25359"/>
    <w:rsid w:val="00D2571D"/>
    <w:rsid w:val="00D274B8"/>
    <w:rsid w:val="00D278E3"/>
    <w:rsid w:val="00D308E3"/>
    <w:rsid w:val="00D30B0D"/>
    <w:rsid w:val="00D31D3E"/>
    <w:rsid w:val="00D32137"/>
    <w:rsid w:val="00D32C99"/>
    <w:rsid w:val="00D332D6"/>
    <w:rsid w:val="00D33956"/>
    <w:rsid w:val="00D35830"/>
    <w:rsid w:val="00D35D78"/>
    <w:rsid w:val="00D37276"/>
    <w:rsid w:val="00D373E4"/>
    <w:rsid w:val="00D40642"/>
    <w:rsid w:val="00D40FB5"/>
    <w:rsid w:val="00D41BE4"/>
    <w:rsid w:val="00D41D6D"/>
    <w:rsid w:val="00D41EB6"/>
    <w:rsid w:val="00D427A3"/>
    <w:rsid w:val="00D43908"/>
    <w:rsid w:val="00D43D2E"/>
    <w:rsid w:val="00D43FD0"/>
    <w:rsid w:val="00D44A21"/>
    <w:rsid w:val="00D44BB2"/>
    <w:rsid w:val="00D44E13"/>
    <w:rsid w:val="00D45954"/>
    <w:rsid w:val="00D45F5C"/>
    <w:rsid w:val="00D471C2"/>
    <w:rsid w:val="00D50706"/>
    <w:rsid w:val="00D50DA9"/>
    <w:rsid w:val="00D5116E"/>
    <w:rsid w:val="00D52C7D"/>
    <w:rsid w:val="00D53793"/>
    <w:rsid w:val="00D54C4C"/>
    <w:rsid w:val="00D559B7"/>
    <w:rsid w:val="00D62624"/>
    <w:rsid w:val="00D62AB6"/>
    <w:rsid w:val="00D6380A"/>
    <w:rsid w:val="00D648DB"/>
    <w:rsid w:val="00D66AD6"/>
    <w:rsid w:val="00D70C5A"/>
    <w:rsid w:val="00D71128"/>
    <w:rsid w:val="00D76DA7"/>
    <w:rsid w:val="00D8203C"/>
    <w:rsid w:val="00D82C75"/>
    <w:rsid w:val="00D84010"/>
    <w:rsid w:val="00D858BB"/>
    <w:rsid w:val="00D86157"/>
    <w:rsid w:val="00D86EBE"/>
    <w:rsid w:val="00D875D8"/>
    <w:rsid w:val="00D9003D"/>
    <w:rsid w:val="00D91ABE"/>
    <w:rsid w:val="00D938A6"/>
    <w:rsid w:val="00D93A80"/>
    <w:rsid w:val="00D93B68"/>
    <w:rsid w:val="00D93F10"/>
    <w:rsid w:val="00D97304"/>
    <w:rsid w:val="00D977D1"/>
    <w:rsid w:val="00DA15D0"/>
    <w:rsid w:val="00DA1C70"/>
    <w:rsid w:val="00DA20A4"/>
    <w:rsid w:val="00DA2302"/>
    <w:rsid w:val="00DA330A"/>
    <w:rsid w:val="00DA3373"/>
    <w:rsid w:val="00DA3D45"/>
    <w:rsid w:val="00DA5232"/>
    <w:rsid w:val="00DA599B"/>
    <w:rsid w:val="00DA7873"/>
    <w:rsid w:val="00DA7A50"/>
    <w:rsid w:val="00DB1CDE"/>
    <w:rsid w:val="00DB37FB"/>
    <w:rsid w:val="00DB3C9A"/>
    <w:rsid w:val="00DB54D9"/>
    <w:rsid w:val="00DB6EBD"/>
    <w:rsid w:val="00DB739A"/>
    <w:rsid w:val="00DB7FCE"/>
    <w:rsid w:val="00DC008F"/>
    <w:rsid w:val="00DC02DD"/>
    <w:rsid w:val="00DC0499"/>
    <w:rsid w:val="00DC4819"/>
    <w:rsid w:val="00DD1939"/>
    <w:rsid w:val="00DD2199"/>
    <w:rsid w:val="00DD2A40"/>
    <w:rsid w:val="00DD3950"/>
    <w:rsid w:val="00DD473C"/>
    <w:rsid w:val="00DD4FA6"/>
    <w:rsid w:val="00DD5A7A"/>
    <w:rsid w:val="00DD71F9"/>
    <w:rsid w:val="00DD7A3D"/>
    <w:rsid w:val="00DE04EF"/>
    <w:rsid w:val="00DE1A9C"/>
    <w:rsid w:val="00DE2BE3"/>
    <w:rsid w:val="00DE42B6"/>
    <w:rsid w:val="00DE50A0"/>
    <w:rsid w:val="00DE51D6"/>
    <w:rsid w:val="00DE54CE"/>
    <w:rsid w:val="00DF04C1"/>
    <w:rsid w:val="00DF0D2A"/>
    <w:rsid w:val="00DF1631"/>
    <w:rsid w:val="00DF1B3A"/>
    <w:rsid w:val="00DF2418"/>
    <w:rsid w:val="00DF2790"/>
    <w:rsid w:val="00DF31B2"/>
    <w:rsid w:val="00DF48C6"/>
    <w:rsid w:val="00DF64BC"/>
    <w:rsid w:val="00E0382B"/>
    <w:rsid w:val="00E0591D"/>
    <w:rsid w:val="00E05D1A"/>
    <w:rsid w:val="00E05F48"/>
    <w:rsid w:val="00E06607"/>
    <w:rsid w:val="00E0663D"/>
    <w:rsid w:val="00E078F2"/>
    <w:rsid w:val="00E100F2"/>
    <w:rsid w:val="00E10A32"/>
    <w:rsid w:val="00E11153"/>
    <w:rsid w:val="00E116F4"/>
    <w:rsid w:val="00E11E16"/>
    <w:rsid w:val="00E15184"/>
    <w:rsid w:val="00E1686A"/>
    <w:rsid w:val="00E224AA"/>
    <w:rsid w:val="00E225F0"/>
    <w:rsid w:val="00E24E59"/>
    <w:rsid w:val="00E25809"/>
    <w:rsid w:val="00E25B40"/>
    <w:rsid w:val="00E2791E"/>
    <w:rsid w:val="00E30288"/>
    <w:rsid w:val="00E30C9D"/>
    <w:rsid w:val="00E32D48"/>
    <w:rsid w:val="00E331DA"/>
    <w:rsid w:val="00E34453"/>
    <w:rsid w:val="00E36749"/>
    <w:rsid w:val="00E36B18"/>
    <w:rsid w:val="00E37C34"/>
    <w:rsid w:val="00E37E0C"/>
    <w:rsid w:val="00E4038B"/>
    <w:rsid w:val="00E40C21"/>
    <w:rsid w:val="00E4472A"/>
    <w:rsid w:val="00E453A5"/>
    <w:rsid w:val="00E46519"/>
    <w:rsid w:val="00E47F68"/>
    <w:rsid w:val="00E5106C"/>
    <w:rsid w:val="00E51659"/>
    <w:rsid w:val="00E5217C"/>
    <w:rsid w:val="00E542B1"/>
    <w:rsid w:val="00E54C04"/>
    <w:rsid w:val="00E56840"/>
    <w:rsid w:val="00E61772"/>
    <w:rsid w:val="00E61A65"/>
    <w:rsid w:val="00E61DCB"/>
    <w:rsid w:val="00E61F65"/>
    <w:rsid w:val="00E626B5"/>
    <w:rsid w:val="00E642EB"/>
    <w:rsid w:val="00E651E8"/>
    <w:rsid w:val="00E66CC8"/>
    <w:rsid w:val="00E67080"/>
    <w:rsid w:val="00E713E3"/>
    <w:rsid w:val="00E71ED3"/>
    <w:rsid w:val="00E74BA7"/>
    <w:rsid w:val="00E75A58"/>
    <w:rsid w:val="00E81777"/>
    <w:rsid w:val="00E817A4"/>
    <w:rsid w:val="00E8332F"/>
    <w:rsid w:val="00E83BFA"/>
    <w:rsid w:val="00E844C9"/>
    <w:rsid w:val="00E84FDE"/>
    <w:rsid w:val="00E85023"/>
    <w:rsid w:val="00E902F6"/>
    <w:rsid w:val="00E90634"/>
    <w:rsid w:val="00E90DB3"/>
    <w:rsid w:val="00E90E3B"/>
    <w:rsid w:val="00E92605"/>
    <w:rsid w:val="00E94D20"/>
    <w:rsid w:val="00E97B8B"/>
    <w:rsid w:val="00EA5929"/>
    <w:rsid w:val="00EA6118"/>
    <w:rsid w:val="00EA7414"/>
    <w:rsid w:val="00EB03BC"/>
    <w:rsid w:val="00EB07EC"/>
    <w:rsid w:val="00EB0BE9"/>
    <w:rsid w:val="00EB1491"/>
    <w:rsid w:val="00EB1A1B"/>
    <w:rsid w:val="00EB3030"/>
    <w:rsid w:val="00EB51A1"/>
    <w:rsid w:val="00EB6655"/>
    <w:rsid w:val="00EC0592"/>
    <w:rsid w:val="00EC09BC"/>
    <w:rsid w:val="00EC1EB9"/>
    <w:rsid w:val="00EC2816"/>
    <w:rsid w:val="00EC48D9"/>
    <w:rsid w:val="00EC4C1B"/>
    <w:rsid w:val="00EC5489"/>
    <w:rsid w:val="00EC627C"/>
    <w:rsid w:val="00EC62DB"/>
    <w:rsid w:val="00EC66F3"/>
    <w:rsid w:val="00EC7B8B"/>
    <w:rsid w:val="00ED0308"/>
    <w:rsid w:val="00ED0721"/>
    <w:rsid w:val="00ED1544"/>
    <w:rsid w:val="00ED1C06"/>
    <w:rsid w:val="00ED3F94"/>
    <w:rsid w:val="00ED40B3"/>
    <w:rsid w:val="00ED4D06"/>
    <w:rsid w:val="00ED66F3"/>
    <w:rsid w:val="00EE00A8"/>
    <w:rsid w:val="00EE11E7"/>
    <w:rsid w:val="00EE31AE"/>
    <w:rsid w:val="00EE3410"/>
    <w:rsid w:val="00EE365C"/>
    <w:rsid w:val="00EE3BD2"/>
    <w:rsid w:val="00EE52D9"/>
    <w:rsid w:val="00EE5DA5"/>
    <w:rsid w:val="00EE62F1"/>
    <w:rsid w:val="00EE7E3E"/>
    <w:rsid w:val="00EF07ED"/>
    <w:rsid w:val="00EF1B38"/>
    <w:rsid w:val="00EF348F"/>
    <w:rsid w:val="00EF39E0"/>
    <w:rsid w:val="00EF5267"/>
    <w:rsid w:val="00EF62DA"/>
    <w:rsid w:val="00EF6B36"/>
    <w:rsid w:val="00EF6BCA"/>
    <w:rsid w:val="00F01B73"/>
    <w:rsid w:val="00F01F32"/>
    <w:rsid w:val="00F041D2"/>
    <w:rsid w:val="00F05049"/>
    <w:rsid w:val="00F05C86"/>
    <w:rsid w:val="00F06FEB"/>
    <w:rsid w:val="00F0701A"/>
    <w:rsid w:val="00F07F12"/>
    <w:rsid w:val="00F13590"/>
    <w:rsid w:val="00F14DE3"/>
    <w:rsid w:val="00F16E34"/>
    <w:rsid w:val="00F2009F"/>
    <w:rsid w:val="00F205B2"/>
    <w:rsid w:val="00F20C85"/>
    <w:rsid w:val="00F211EF"/>
    <w:rsid w:val="00F23232"/>
    <w:rsid w:val="00F232B5"/>
    <w:rsid w:val="00F23406"/>
    <w:rsid w:val="00F23737"/>
    <w:rsid w:val="00F240CE"/>
    <w:rsid w:val="00F24D69"/>
    <w:rsid w:val="00F26692"/>
    <w:rsid w:val="00F2719C"/>
    <w:rsid w:val="00F3482C"/>
    <w:rsid w:val="00F34A77"/>
    <w:rsid w:val="00F34FC4"/>
    <w:rsid w:val="00F35642"/>
    <w:rsid w:val="00F357DB"/>
    <w:rsid w:val="00F35E49"/>
    <w:rsid w:val="00F35FB7"/>
    <w:rsid w:val="00F36B26"/>
    <w:rsid w:val="00F3765D"/>
    <w:rsid w:val="00F41E1C"/>
    <w:rsid w:val="00F422A0"/>
    <w:rsid w:val="00F42461"/>
    <w:rsid w:val="00F42F08"/>
    <w:rsid w:val="00F42FF5"/>
    <w:rsid w:val="00F45031"/>
    <w:rsid w:val="00F45456"/>
    <w:rsid w:val="00F46A64"/>
    <w:rsid w:val="00F50287"/>
    <w:rsid w:val="00F50912"/>
    <w:rsid w:val="00F51E8F"/>
    <w:rsid w:val="00F549F0"/>
    <w:rsid w:val="00F5556A"/>
    <w:rsid w:val="00F55A62"/>
    <w:rsid w:val="00F55F0B"/>
    <w:rsid w:val="00F56328"/>
    <w:rsid w:val="00F607B9"/>
    <w:rsid w:val="00F609A9"/>
    <w:rsid w:val="00F620A2"/>
    <w:rsid w:val="00F62885"/>
    <w:rsid w:val="00F62C97"/>
    <w:rsid w:val="00F62F27"/>
    <w:rsid w:val="00F62F4B"/>
    <w:rsid w:val="00F64EC6"/>
    <w:rsid w:val="00F651EC"/>
    <w:rsid w:val="00F66E22"/>
    <w:rsid w:val="00F67F84"/>
    <w:rsid w:val="00F71014"/>
    <w:rsid w:val="00F71747"/>
    <w:rsid w:val="00F741F3"/>
    <w:rsid w:val="00F7487F"/>
    <w:rsid w:val="00F7571D"/>
    <w:rsid w:val="00F75F3C"/>
    <w:rsid w:val="00F77327"/>
    <w:rsid w:val="00F82078"/>
    <w:rsid w:val="00F85897"/>
    <w:rsid w:val="00F86968"/>
    <w:rsid w:val="00F90A51"/>
    <w:rsid w:val="00F9106E"/>
    <w:rsid w:val="00F91BBB"/>
    <w:rsid w:val="00F91E27"/>
    <w:rsid w:val="00F93413"/>
    <w:rsid w:val="00FA1653"/>
    <w:rsid w:val="00FA1FF3"/>
    <w:rsid w:val="00FA26CF"/>
    <w:rsid w:val="00FA4D6A"/>
    <w:rsid w:val="00FA4D89"/>
    <w:rsid w:val="00FA7872"/>
    <w:rsid w:val="00FB097D"/>
    <w:rsid w:val="00FB1A0E"/>
    <w:rsid w:val="00FB2371"/>
    <w:rsid w:val="00FB3278"/>
    <w:rsid w:val="00FB342C"/>
    <w:rsid w:val="00FB5073"/>
    <w:rsid w:val="00FB7E98"/>
    <w:rsid w:val="00FC3FC0"/>
    <w:rsid w:val="00FC4215"/>
    <w:rsid w:val="00FC42EE"/>
    <w:rsid w:val="00FC57E6"/>
    <w:rsid w:val="00FC662F"/>
    <w:rsid w:val="00FD0C34"/>
    <w:rsid w:val="00FD1221"/>
    <w:rsid w:val="00FD1512"/>
    <w:rsid w:val="00FD3C93"/>
    <w:rsid w:val="00FD3E7D"/>
    <w:rsid w:val="00FD5E88"/>
    <w:rsid w:val="00FD6EF3"/>
    <w:rsid w:val="00FD703A"/>
    <w:rsid w:val="00FD72A2"/>
    <w:rsid w:val="00FD7747"/>
    <w:rsid w:val="00FE04CF"/>
    <w:rsid w:val="00FE0529"/>
    <w:rsid w:val="00FE0A88"/>
    <w:rsid w:val="00FE16D3"/>
    <w:rsid w:val="00FE20E1"/>
    <w:rsid w:val="00FE26B0"/>
    <w:rsid w:val="00FE429B"/>
    <w:rsid w:val="00FE4B11"/>
    <w:rsid w:val="00FE640C"/>
    <w:rsid w:val="00FE65D0"/>
    <w:rsid w:val="00FE7528"/>
    <w:rsid w:val="00FF00F0"/>
    <w:rsid w:val="00FF0E3C"/>
    <w:rsid w:val="00FF1AF5"/>
    <w:rsid w:val="00FF2EA7"/>
    <w:rsid w:val="00FF3D38"/>
    <w:rsid w:val="00FF4963"/>
    <w:rsid w:val="00FF5686"/>
    <w:rsid w:val="00FF64C3"/>
    <w:rsid w:val="00FF65F6"/>
    <w:rsid w:val="01062EEC"/>
    <w:rsid w:val="01172A03"/>
    <w:rsid w:val="01193612"/>
    <w:rsid w:val="011A2A76"/>
    <w:rsid w:val="01300309"/>
    <w:rsid w:val="01317C39"/>
    <w:rsid w:val="01325E22"/>
    <w:rsid w:val="01395070"/>
    <w:rsid w:val="01404CCA"/>
    <w:rsid w:val="01422176"/>
    <w:rsid w:val="01423F24"/>
    <w:rsid w:val="014D4677"/>
    <w:rsid w:val="014F4893"/>
    <w:rsid w:val="015679D0"/>
    <w:rsid w:val="016F45ED"/>
    <w:rsid w:val="01703CE4"/>
    <w:rsid w:val="01792D23"/>
    <w:rsid w:val="018502B5"/>
    <w:rsid w:val="018F3AAC"/>
    <w:rsid w:val="01937F78"/>
    <w:rsid w:val="01A3073B"/>
    <w:rsid w:val="01AF5332"/>
    <w:rsid w:val="01BF1294"/>
    <w:rsid w:val="01C56903"/>
    <w:rsid w:val="01C761D7"/>
    <w:rsid w:val="01D60A70"/>
    <w:rsid w:val="01D803E5"/>
    <w:rsid w:val="01E22A9B"/>
    <w:rsid w:val="01E66FA5"/>
    <w:rsid w:val="01E90844"/>
    <w:rsid w:val="01F30184"/>
    <w:rsid w:val="01F36FCC"/>
    <w:rsid w:val="01F64D0F"/>
    <w:rsid w:val="01F80A87"/>
    <w:rsid w:val="01FD7E4B"/>
    <w:rsid w:val="01FE5297"/>
    <w:rsid w:val="0200793B"/>
    <w:rsid w:val="020967F0"/>
    <w:rsid w:val="021B60D4"/>
    <w:rsid w:val="021F6013"/>
    <w:rsid w:val="02251150"/>
    <w:rsid w:val="022C5A34"/>
    <w:rsid w:val="02346AA7"/>
    <w:rsid w:val="0236558C"/>
    <w:rsid w:val="02382E6E"/>
    <w:rsid w:val="023870D5"/>
    <w:rsid w:val="02387290"/>
    <w:rsid w:val="023A4BFB"/>
    <w:rsid w:val="024B505A"/>
    <w:rsid w:val="025D4D8E"/>
    <w:rsid w:val="02626540"/>
    <w:rsid w:val="026B1259"/>
    <w:rsid w:val="026B7AFB"/>
    <w:rsid w:val="02714395"/>
    <w:rsid w:val="027F2F56"/>
    <w:rsid w:val="02923C46"/>
    <w:rsid w:val="02931FE6"/>
    <w:rsid w:val="02A43847"/>
    <w:rsid w:val="02AB3D4B"/>
    <w:rsid w:val="02B63D25"/>
    <w:rsid w:val="02B96468"/>
    <w:rsid w:val="02D50DC8"/>
    <w:rsid w:val="02D67F20"/>
    <w:rsid w:val="02E35293"/>
    <w:rsid w:val="02E4100B"/>
    <w:rsid w:val="02E64D83"/>
    <w:rsid w:val="02F254D6"/>
    <w:rsid w:val="02F56D74"/>
    <w:rsid w:val="02F859E5"/>
    <w:rsid w:val="030E7E36"/>
    <w:rsid w:val="03174F3D"/>
    <w:rsid w:val="03196F07"/>
    <w:rsid w:val="034A5312"/>
    <w:rsid w:val="035166A0"/>
    <w:rsid w:val="03593570"/>
    <w:rsid w:val="035C5045"/>
    <w:rsid w:val="035E2B6B"/>
    <w:rsid w:val="036A1510"/>
    <w:rsid w:val="03734581"/>
    <w:rsid w:val="03766107"/>
    <w:rsid w:val="037979A5"/>
    <w:rsid w:val="03826774"/>
    <w:rsid w:val="038C4512"/>
    <w:rsid w:val="03912F41"/>
    <w:rsid w:val="03993C05"/>
    <w:rsid w:val="03A72764"/>
    <w:rsid w:val="03B46C2F"/>
    <w:rsid w:val="03B95FF4"/>
    <w:rsid w:val="03D96696"/>
    <w:rsid w:val="03E272F9"/>
    <w:rsid w:val="03EC0177"/>
    <w:rsid w:val="03EF1A15"/>
    <w:rsid w:val="040A5B3F"/>
    <w:rsid w:val="040C5A1F"/>
    <w:rsid w:val="041D6583"/>
    <w:rsid w:val="042A6EF2"/>
    <w:rsid w:val="042E253E"/>
    <w:rsid w:val="04335DA6"/>
    <w:rsid w:val="044B1EA2"/>
    <w:rsid w:val="044B5ACE"/>
    <w:rsid w:val="045170C4"/>
    <w:rsid w:val="0455027F"/>
    <w:rsid w:val="04583A5F"/>
    <w:rsid w:val="0458580D"/>
    <w:rsid w:val="04816A57"/>
    <w:rsid w:val="048B7990"/>
    <w:rsid w:val="049038AD"/>
    <w:rsid w:val="049727D9"/>
    <w:rsid w:val="04A22F2C"/>
    <w:rsid w:val="04AE6573"/>
    <w:rsid w:val="04B30C95"/>
    <w:rsid w:val="04BC459C"/>
    <w:rsid w:val="04D51B97"/>
    <w:rsid w:val="04D8694E"/>
    <w:rsid w:val="04DE21B6"/>
    <w:rsid w:val="04E377CC"/>
    <w:rsid w:val="04EA784F"/>
    <w:rsid w:val="04EB48D3"/>
    <w:rsid w:val="04ED064B"/>
    <w:rsid w:val="04F35535"/>
    <w:rsid w:val="04FC263C"/>
    <w:rsid w:val="04FF212C"/>
    <w:rsid w:val="05184F9C"/>
    <w:rsid w:val="051C4A8C"/>
    <w:rsid w:val="052E656D"/>
    <w:rsid w:val="0534627A"/>
    <w:rsid w:val="053A13B6"/>
    <w:rsid w:val="053A3164"/>
    <w:rsid w:val="053D3FAD"/>
    <w:rsid w:val="054162A1"/>
    <w:rsid w:val="0543026B"/>
    <w:rsid w:val="054D142B"/>
    <w:rsid w:val="05500BDA"/>
    <w:rsid w:val="05517B6D"/>
    <w:rsid w:val="0552282F"/>
    <w:rsid w:val="05595040"/>
    <w:rsid w:val="055C132D"/>
    <w:rsid w:val="0563090D"/>
    <w:rsid w:val="05665D07"/>
    <w:rsid w:val="0566760E"/>
    <w:rsid w:val="056C4BA3"/>
    <w:rsid w:val="05706B86"/>
    <w:rsid w:val="0571302A"/>
    <w:rsid w:val="05746676"/>
    <w:rsid w:val="057A6A35"/>
    <w:rsid w:val="05812B41"/>
    <w:rsid w:val="05882122"/>
    <w:rsid w:val="05B133C3"/>
    <w:rsid w:val="05B20F4D"/>
    <w:rsid w:val="05B747B5"/>
    <w:rsid w:val="05B9677F"/>
    <w:rsid w:val="05D221D5"/>
    <w:rsid w:val="05D666A6"/>
    <w:rsid w:val="05E21783"/>
    <w:rsid w:val="05E80E12"/>
    <w:rsid w:val="05EC4BB6"/>
    <w:rsid w:val="05F62D49"/>
    <w:rsid w:val="05FE0636"/>
    <w:rsid w:val="06023448"/>
    <w:rsid w:val="060379FA"/>
    <w:rsid w:val="06090B03"/>
    <w:rsid w:val="060A0D89"/>
    <w:rsid w:val="06115140"/>
    <w:rsid w:val="06163BD1"/>
    <w:rsid w:val="0616772D"/>
    <w:rsid w:val="062A31D9"/>
    <w:rsid w:val="062F07EF"/>
    <w:rsid w:val="063341E1"/>
    <w:rsid w:val="063509A2"/>
    <w:rsid w:val="063A1FAE"/>
    <w:rsid w:val="064160D2"/>
    <w:rsid w:val="064C314F"/>
    <w:rsid w:val="0656256A"/>
    <w:rsid w:val="06611371"/>
    <w:rsid w:val="066E7569"/>
    <w:rsid w:val="06764670"/>
    <w:rsid w:val="067D4177"/>
    <w:rsid w:val="068406CF"/>
    <w:rsid w:val="0698619F"/>
    <w:rsid w:val="06AD1D54"/>
    <w:rsid w:val="06BC02D5"/>
    <w:rsid w:val="06BD404D"/>
    <w:rsid w:val="06BD5DFB"/>
    <w:rsid w:val="06CB3C0E"/>
    <w:rsid w:val="06CE5BFE"/>
    <w:rsid w:val="06D118A6"/>
    <w:rsid w:val="06DF3FC3"/>
    <w:rsid w:val="06F30A00"/>
    <w:rsid w:val="06F55739"/>
    <w:rsid w:val="07002940"/>
    <w:rsid w:val="07125103"/>
    <w:rsid w:val="071719AF"/>
    <w:rsid w:val="072365A6"/>
    <w:rsid w:val="072F6604"/>
    <w:rsid w:val="07310C9E"/>
    <w:rsid w:val="073E5898"/>
    <w:rsid w:val="07466D2D"/>
    <w:rsid w:val="074849E3"/>
    <w:rsid w:val="074D3623"/>
    <w:rsid w:val="074E2EF7"/>
    <w:rsid w:val="07632E46"/>
    <w:rsid w:val="07754928"/>
    <w:rsid w:val="07787F0D"/>
    <w:rsid w:val="077A3CEC"/>
    <w:rsid w:val="077B1CE0"/>
    <w:rsid w:val="077E37DC"/>
    <w:rsid w:val="077F467B"/>
    <w:rsid w:val="07886409"/>
    <w:rsid w:val="078D3A1F"/>
    <w:rsid w:val="07944DAE"/>
    <w:rsid w:val="079B5586"/>
    <w:rsid w:val="07A174CB"/>
    <w:rsid w:val="07A272F8"/>
    <w:rsid w:val="07A64AE1"/>
    <w:rsid w:val="07A86AAB"/>
    <w:rsid w:val="07AD26B8"/>
    <w:rsid w:val="07BD6694"/>
    <w:rsid w:val="07C4227D"/>
    <w:rsid w:val="07C92594"/>
    <w:rsid w:val="07D94EB6"/>
    <w:rsid w:val="07DB49A4"/>
    <w:rsid w:val="07DC0503"/>
    <w:rsid w:val="07E06245"/>
    <w:rsid w:val="07E21FBD"/>
    <w:rsid w:val="07F6115B"/>
    <w:rsid w:val="07F615C4"/>
    <w:rsid w:val="08057A5A"/>
    <w:rsid w:val="080812F8"/>
    <w:rsid w:val="0808754A"/>
    <w:rsid w:val="08114650"/>
    <w:rsid w:val="0824564F"/>
    <w:rsid w:val="08272C43"/>
    <w:rsid w:val="08273E74"/>
    <w:rsid w:val="082779D0"/>
    <w:rsid w:val="08422A5C"/>
    <w:rsid w:val="084542FA"/>
    <w:rsid w:val="08572DF8"/>
    <w:rsid w:val="085C2760"/>
    <w:rsid w:val="086329D2"/>
    <w:rsid w:val="0865499C"/>
    <w:rsid w:val="0874698D"/>
    <w:rsid w:val="087B1CAC"/>
    <w:rsid w:val="08805332"/>
    <w:rsid w:val="088E6688"/>
    <w:rsid w:val="08931509"/>
    <w:rsid w:val="089808CE"/>
    <w:rsid w:val="089963F4"/>
    <w:rsid w:val="08A7414D"/>
    <w:rsid w:val="08A96637"/>
    <w:rsid w:val="08B03E69"/>
    <w:rsid w:val="08C314CF"/>
    <w:rsid w:val="08C90A87"/>
    <w:rsid w:val="08CE42EF"/>
    <w:rsid w:val="08D538D0"/>
    <w:rsid w:val="08DA2C94"/>
    <w:rsid w:val="08DA592A"/>
    <w:rsid w:val="08DD03C5"/>
    <w:rsid w:val="08DE104A"/>
    <w:rsid w:val="08E73603"/>
    <w:rsid w:val="08F20176"/>
    <w:rsid w:val="08F506ED"/>
    <w:rsid w:val="09022C13"/>
    <w:rsid w:val="0906003D"/>
    <w:rsid w:val="091361A6"/>
    <w:rsid w:val="091D7025"/>
    <w:rsid w:val="091F4B4B"/>
    <w:rsid w:val="09246605"/>
    <w:rsid w:val="09265ED9"/>
    <w:rsid w:val="09292BDA"/>
    <w:rsid w:val="092B1742"/>
    <w:rsid w:val="092E1232"/>
    <w:rsid w:val="092E5190"/>
    <w:rsid w:val="09306D58"/>
    <w:rsid w:val="0938662F"/>
    <w:rsid w:val="09420839"/>
    <w:rsid w:val="094B0C70"/>
    <w:rsid w:val="095531B4"/>
    <w:rsid w:val="0958005D"/>
    <w:rsid w:val="0962601A"/>
    <w:rsid w:val="09657508"/>
    <w:rsid w:val="097924AD"/>
    <w:rsid w:val="097D6284"/>
    <w:rsid w:val="09861DBC"/>
    <w:rsid w:val="099A0675"/>
    <w:rsid w:val="099D53F0"/>
    <w:rsid w:val="09A679D5"/>
    <w:rsid w:val="09B01C47"/>
    <w:rsid w:val="09B039F5"/>
    <w:rsid w:val="09B82EA1"/>
    <w:rsid w:val="09CC417C"/>
    <w:rsid w:val="09CD27F9"/>
    <w:rsid w:val="09CD50B2"/>
    <w:rsid w:val="09E034FA"/>
    <w:rsid w:val="09F4422A"/>
    <w:rsid w:val="09F96687"/>
    <w:rsid w:val="09FB7366"/>
    <w:rsid w:val="0A0716D3"/>
    <w:rsid w:val="0A0A25CC"/>
    <w:rsid w:val="0A0A75A9"/>
    <w:rsid w:val="0A124C34"/>
    <w:rsid w:val="0A2D14EA"/>
    <w:rsid w:val="0A3D172D"/>
    <w:rsid w:val="0A434869"/>
    <w:rsid w:val="0A4D7496"/>
    <w:rsid w:val="0A530F50"/>
    <w:rsid w:val="0A53642D"/>
    <w:rsid w:val="0A5371A2"/>
    <w:rsid w:val="0A590531"/>
    <w:rsid w:val="0A5B7E05"/>
    <w:rsid w:val="0A5E78F5"/>
    <w:rsid w:val="0A634F0B"/>
    <w:rsid w:val="0A6D6CB4"/>
    <w:rsid w:val="0A741A2C"/>
    <w:rsid w:val="0A79472F"/>
    <w:rsid w:val="0A8D2760"/>
    <w:rsid w:val="0A981059"/>
    <w:rsid w:val="0AA46461"/>
    <w:rsid w:val="0ABD0ABF"/>
    <w:rsid w:val="0ABF65E6"/>
    <w:rsid w:val="0AC51722"/>
    <w:rsid w:val="0AC736EC"/>
    <w:rsid w:val="0AC741C4"/>
    <w:rsid w:val="0ACD37DE"/>
    <w:rsid w:val="0AE40B42"/>
    <w:rsid w:val="0AE47DFA"/>
    <w:rsid w:val="0AFC15E8"/>
    <w:rsid w:val="0AFF48CA"/>
    <w:rsid w:val="0B0A3B2F"/>
    <w:rsid w:val="0B0C55A3"/>
    <w:rsid w:val="0B136931"/>
    <w:rsid w:val="0B195DEC"/>
    <w:rsid w:val="0B2B1937"/>
    <w:rsid w:val="0B3141F6"/>
    <w:rsid w:val="0B3222C4"/>
    <w:rsid w:val="0B3B7059"/>
    <w:rsid w:val="0B426F27"/>
    <w:rsid w:val="0B4351FE"/>
    <w:rsid w:val="0B494101"/>
    <w:rsid w:val="0B512FB6"/>
    <w:rsid w:val="0B554854"/>
    <w:rsid w:val="0B584344"/>
    <w:rsid w:val="0B6A3567"/>
    <w:rsid w:val="0B784B6C"/>
    <w:rsid w:val="0B7D7F39"/>
    <w:rsid w:val="0B7E024F"/>
    <w:rsid w:val="0B7F5D75"/>
    <w:rsid w:val="0B7F7B23"/>
    <w:rsid w:val="0B8909A2"/>
    <w:rsid w:val="0B8B296C"/>
    <w:rsid w:val="0BA27697"/>
    <w:rsid w:val="0BB05F2E"/>
    <w:rsid w:val="0BB21CA6"/>
    <w:rsid w:val="0BC1638D"/>
    <w:rsid w:val="0BC17C18"/>
    <w:rsid w:val="0BCF2858"/>
    <w:rsid w:val="0BD460C1"/>
    <w:rsid w:val="0BDA2FAB"/>
    <w:rsid w:val="0BF64289"/>
    <w:rsid w:val="0BFA58BB"/>
    <w:rsid w:val="0C0149DC"/>
    <w:rsid w:val="0C0E39A7"/>
    <w:rsid w:val="0C13779A"/>
    <w:rsid w:val="0C14470F"/>
    <w:rsid w:val="0C236700"/>
    <w:rsid w:val="0C25707F"/>
    <w:rsid w:val="0C322DE7"/>
    <w:rsid w:val="0C4A1EDF"/>
    <w:rsid w:val="0C4D7E06"/>
    <w:rsid w:val="0C4F3999"/>
    <w:rsid w:val="0C5114BF"/>
    <w:rsid w:val="0C547201"/>
    <w:rsid w:val="0C550884"/>
    <w:rsid w:val="0C594818"/>
    <w:rsid w:val="0C5D60B6"/>
    <w:rsid w:val="0C5E1E2E"/>
    <w:rsid w:val="0C641CD5"/>
    <w:rsid w:val="0C662A91"/>
    <w:rsid w:val="0C662C51"/>
    <w:rsid w:val="0C741652"/>
    <w:rsid w:val="0C770DFE"/>
    <w:rsid w:val="0C8278CB"/>
    <w:rsid w:val="0C8427D5"/>
    <w:rsid w:val="0C86464C"/>
    <w:rsid w:val="0C8A49D1"/>
    <w:rsid w:val="0C963376"/>
    <w:rsid w:val="0C970E9C"/>
    <w:rsid w:val="0CAA6E21"/>
    <w:rsid w:val="0CAC7F34"/>
    <w:rsid w:val="0CBC07F4"/>
    <w:rsid w:val="0CBE28CD"/>
    <w:rsid w:val="0CC7352F"/>
    <w:rsid w:val="0CCC6D98"/>
    <w:rsid w:val="0CCE2B10"/>
    <w:rsid w:val="0CD21ED4"/>
    <w:rsid w:val="0CDA7707"/>
    <w:rsid w:val="0CDB522D"/>
    <w:rsid w:val="0CDC0E3F"/>
    <w:rsid w:val="0CDD2D53"/>
    <w:rsid w:val="0CDF1CB8"/>
    <w:rsid w:val="0CDF2F6F"/>
    <w:rsid w:val="0CEA36C2"/>
    <w:rsid w:val="0CEC11E8"/>
    <w:rsid w:val="0CF444F1"/>
    <w:rsid w:val="0CF62067"/>
    <w:rsid w:val="0D026C5D"/>
    <w:rsid w:val="0D0504FC"/>
    <w:rsid w:val="0D07521B"/>
    <w:rsid w:val="0D0C53E6"/>
    <w:rsid w:val="0D0E5602"/>
    <w:rsid w:val="0D110C4F"/>
    <w:rsid w:val="0D162709"/>
    <w:rsid w:val="0D1D5845"/>
    <w:rsid w:val="0D2766C4"/>
    <w:rsid w:val="0D2A1D10"/>
    <w:rsid w:val="0D2E7A52"/>
    <w:rsid w:val="0D3624E7"/>
    <w:rsid w:val="0D3B3AB8"/>
    <w:rsid w:val="0D4032E2"/>
    <w:rsid w:val="0D4A504B"/>
    <w:rsid w:val="0D5F7C0C"/>
    <w:rsid w:val="0D605732"/>
    <w:rsid w:val="0D6602AC"/>
    <w:rsid w:val="0D6C6ADC"/>
    <w:rsid w:val="0D6E42F3"/>
    <w:rsid w:val="0D731909"/>
    <w:rsid w:val="0D7731A8"/>
    <w:rsid w:val="0D856EFD"/>
    <w:rsid w:val="0D8D4779"/>
    <w:rsid w:val="0D9E2A3E"/>
    <w:rsid w:val="0D9E6986"/>
    <w:rsid w:val="0DA25D4B"/>
    <w:rsid w:val="0DA33F9D"/>
    <w:rsid w:val="0DA67939"/>
    <w:rsid w:val="0DA90E87"/>
    <w:rsid w:val="0DAD6BC9"/>
    <w:rsid w:val="0DC57A54"/>
    <w:rsid w:val="0DE93979"/>
    <w:rsid w:val="0DEB14A0"/>
    <w:rsid w:val="0DF5231E"/>
    <w:rsid w:val="0DFA0F36"/>
    <w:rsid w:val="0DFE5079"/>
    <w:rsid w:val="0E042561"/>
    <w:rsid w:val="0E082052"/>
    <w:rsid w:val="0E0C355A"/>
    <w:rsid w:val="0E121122"/>
    <w:rsid w:val="0E122ED0"/>
    <w:rsid w:val="0E137A6A"/>
    <w:rsid w:val="0E16552C"/>
    <w:rsid w:val="0E1C7049"/>
    <w:rsid w:val="0E2D1AB8"/>
    <w:rsid w:val="0E2D7D0A"/>
    <w:rsid w:val="0E2F490E"/>
    <w:rsid w:val="0E3B59CC"/>
    <w:rsid w:val="0E43308A"/>
    <w:rsid w:val="0E484B44"/>
    <w:rsid w:val="0E5C05EF"/>
    <w:rsid w:val="0E7938DE"/>
    <w:rsid w:val="0E7E2314"/>
    <w:rsid w:val="0E885555"/>
    <w:rsid w:val="0EA343BD"/>
    <w:rsid w:val="0EA578A0"/>
    <w:rsid w:val="0EB9334C"/>
    <w:rsid w:val="0EBB3B59"/>
    <w:rsid w:val="0EC56195"/>
    <w:rsid w:val="0EC95DC3"/>
    <w:rsid w:val="0EDE2DB2"/>
    <w:rsid w:val="0EDE4B79"/>
    <w:rsid w:val="0EE67F35"/>
    <w:rsid w:val="0EEF6D6E"/>
    <w:rsid w:val="0EF16F8A"/>
    <w:rsid w:val="0EFF669D"/>
    <w:rsid w:val="0F022F45"/>
    <w:rsid w:val="0F0E18EA"/>
    <w:rsid w:val="0F0E3698"/>
    <w:rsid w:val="0F144A26"/>
    <w:rsid w:val="0F205179"/>
    <w:rsid w:val="0F2509E1"/>
    <w:rsid w:val="0F2C7FC2"/>
    <w:rsid w:val="0F2F360E"/>
    <w:rsid w:val="0F505A75"/>
    <w:rsid w:val="0F50788A"/>
    <w:rsid w:val="0F532AF4"/>
    <w:rsid w:val="0F641DC2"/>
    <w:rsid w:val="0F7B4AA5"/>
    <w:rsid w:val="0F7F0126"/>
    <w:rsid w:val="0F863EB5"/>
    <w:rsid w:val="0F956BB3"/>
    <w:rsid w:val="0F960D6F"/>
    <w:rsid w:val="0F977B31"/>
    <w:rsid w:val="0FA21DD1"/>
    <w:rsid w:val="0FAC4C5F"/>
    <w:rsid w:val="0FB079EB"/>
    <w:rsid w:val="0FBA737B"/>
    <w:rsid w:val="0FBD6E6C"/>
    <w:rsid w:val="0FC55860"/>
    <w:rsid w:val="0FC87CEA"/>
    <w:rsid w:val="0FCF7645"/>
    <w:rsid w:val="0FE268D2"/>
    <w:rsid w:val="0FEE34C9"/>
    <w:rsid w:val="100106CE"/>
    <w:rsid w:val="10044A9B"/>
    <w:rsid w:val="10060813"/>
    <w:rsid w:val="100D1BA1"/>
    <w:rsid w:val="100E76C7"/>
    <w:rsid w:val="10125409"/>
    <w:rsid w:val="101E6DED"/>
    <w:rsid w:val="104B091B"/>
    <w:rsid w:val="106519DD"/>
    <w:rsid w:val="106612B1"/>
    <w:rsid w:val="1074577C"/>
    <w:rsid w:val="10831B34"/>
    <w:rsid w:val="10840D0C"/>
    <w:rsid w:val="109E7AB4"/>
    <w:rsid w:val="10A1053B"/>
    <w:rsid w:val="10CA1840"/>
    <w:rsid w:val="10D5129D"/>
    <w:rsid w:val="10DC1574"/>
    <w:rsid w:val="10E072B6"/>
    <w:rsid w:val="10E34827"/>
    <w:rsid w:val="10E5667A"/>
    <w:rsid w:val="10E723F2"/>
    <w:rsid w:val="10EE19D3"/>
    <w:rsid w:val="110E4090"/>
    <w:rsid w:val="11166833"/>
    <w:rsid w:val="1131366D"/>
    <w:rsid w:val="113E4389"/>
    <w:rsid w:val="114C66F9"/>
    <w:rsid w:val="114E06C3"/>
    <w:rsid w:val="1157094A"/>
    <w:rsid w:val="115A77AB"/>
    <w:rsid w:val="115F642C"/>
    <w:rsid w:val="116F5CF2"/>
    <w:rsid w:val="118B7221"/>
    <w:rsid w:val="118F65E6"/>
    <w:rsid w:val="119105B0"/>
    <w:rsid w:val="119A7465"/>
    <w:rsid w:val="11A16A45"/>
    <w:rsid w:val="11A227BD"/>
    <w:rsid w:val="11A93B4C"/>
    <w:rsid w:val="11AA7822"/>
    <w:rsid w:val="11B05F4B"/>
    <w:rsid w:val="11BD3153"/>
    <w:rsid w:val="11CE35B2"/>
    <w:rsid w:val="11D019D0"/>
    <w:rsid w:val="11DD1A47"/>
    <w:rsid w:val="11DD37F5"/>
    <w:rsid w:val="11E626AA"/>
    <w:rsid w:val="11EC57E6"/>
    <w:rsid w:val="11ED2CA9"/>
    <w:rsid w:val="11FA6155"/>
    <w:rsid w:val="12190AED"/>
    <w:rsid w:val="121A67F7"/>
    <w:rsid w:val="12280F14"/>
    <w:rsid w:val="123E24E6"/>
    <w:rsid w:val="124B69B1"/>
    <w:rsid w:val="12505D75"/>
    <w:rsid w:val="12535DDA"/>
    <w:rsid w:val="125515DD"/>
    <w:rsid w:val="12632DCE"/>
    <w:rsid w:val="126B7053"/>
    <w:rsid w:val="126E00E2"/>
    <w:rsid w:val="127001C5"/>
    <w:rsid w:val="12751C80"/>
    <w:rsid w:val="128B4FFF"/>
    <w:rsid w:val="12916992"/>
    <w:rsid w:val="1292638E"/>
    <w:rsid w:val="12992B55"/>
    <w:rsid w:val="1299596E"/>
    <w:rsid w:val="12A06CFD"/>
    <w:rsid w:val="12AD1419"/>
    <w:rsid w:val="12B46304"/>
    <w:rsid w:val="12B46931"/>
    <w:rsid w:val="12B50068"/>
    <w:rsid w:val="12B63031"/>
    <w:rsid w:val="12BC78AF"/>
    <w:rsid w:val="12BE53D5"/>
    <w:rsid w:val="12CE31C0"/>
    <w:rsid w:val="12D04AD1"/>
    <w:rsid w:val="12E36BE9"/>
    <w:rsid w:val="12E77BB4"/>
    <w:rsid w:val="12EA441C"/>
    <w:rsid w:val="12F92A37"/>
    <w:rsid w:val="130B7EEE"/>
    <w:rsid w:val="130C25E4"/>
    <w:rsid w:val="13196AAF"/>
    <w:rsid w:val="131B45D5"/>
    <w:rsid w:val="13207E3D"/>
    <w:rsid w:val="13225964"/>
    <w:rsid w:val="13285ED1"/>
    <w:rsid w:val="13347445"/>
    <w:rsid w:val="133E429B"/>
    <w:rsid w:val="134277F0"/>
    <w:rsid w:val="13441D7E"/>
    <w:rsid w:val="134A0A16"/>
    <w:rsid w:val="134D0507"/>
    <w:rsid w:val="1358575C"/>
    <w:rsid w:val="135A6CD5"/>
    <w:rsid w:val="13707634"/>
    <w:rsid w:val="13710699"/>
    <w:rsid w:val="137141F5"/>
    <w:rsid w:val="13765CAF"/>
    <w:rsid w:val="1380268A"/>
    <w:rsid w:val="138403CC"/>
    <w:rsid w:val="13867665"/>
    <w:rsid w:val="139A7BF0"/>
    <w:rsid w:val="13A47A61"/>
    <w:rsid w:val="13CB5FFB"/>
    <w:rsid w:val="13D824C6"/>
    <w:rsid w:val="13E9022F"/>
    <w:rsid w:val="13F54E26"/>
    <w:rsid w:val="13FA068E"/>
    <w:rsid w:val="14072DAB"/>
    <w:rsid w:val="14125749"/>
    <w:rsid w:val="14157276"/>
    <w:rsid w:val="141636D8"/>
    <w:rsid w:val="141D25CF"/>
    <w:rsid w:val="14290F74"/>
    <w:rsid w:val="143D6D3B"/>
    <w:rsid w:val="14423CAF"/>
    <w:rsid w:val="14425B91"/>
    <w:rsid w:val="144933C4"/>
    <w:rsid w:val="144E09DA"/>
    <w:rsid w:val="145A737F"/>
    <w:rsid w:val="146462F6"/>
    <w:rsid w:val="14667AD2"/>
    <w:rsid w:val="146975C2"/>
    <w:rsid w:val="146C3C63"/>
    <w:rsid w:val="146D2C0E"/>
    <w:rsid w:val="146D3A90"/>
    <w:rsid w:val="146D463D"/>
    <w:rsid w:val="146E25C8"/>
    <w:rsid w:val="14720225"/>
    <w:rsid w:val="1476298D"/>
    <w:rsid w:val="14795F2A"/>
    <w:rsid w:val="147E12BF"/>
    <w:rsid w:val="148A3813"/>
    <w:rsid w:val="148E3042"/>
    <w:rsid w:val="14913DC7"/>
    <w:rsid w:val="14956609"/>
    <w:rsid w:val="14961A2A"/>
    <w:rsid w:val="14991AA6"/>
    <w:rsid w:val="149D101A"/>
    <w:rsid w:val="14A405FA"/>
    <w:rsid w:val="14B22D17"/>
    <w:rsid w:val="14B400BC"/>
    <w:rsid w:val="14CF1ABF"/>
    <w:rsid w:val="14CF5677"/>
    <w:rsid w:val="14D26F15"/>
    <w:rsid w:val="14FB2910"/>
    <w:rsid w:val="14FB4D78"/>
    <w:rsid w:val="1500107F"/>
    <w:rsid w:val="150D619F"/>
    <w:rsid w:val="1514752E"/>
    <w:rsid w:val="151F68ED"/>
    <w:rsid w:val="15205ED3"/>
    <w:rsid w:val="15510782"/>
    <w:rsid w:val="15632263"/>
    <w:rsid w:val="15634011"/>
    <w:rsid w:val="156C2EC6"/>
    <w:rsid w:val="156C4498"/>
    <w:rsid w:val="156C736A"/>
    <w:rsid w:val="158226E9"/>
    <w:rsid w:val="15981F0D"/>
    <w:rsid w:val="15A8409F"/>
    <w:rsid w:val="15AE7982"/>
    <w:rsid w:val="15BF576A"/>
    <w:rsid w:val="15CE1DD3"/>
    <w:rsid w:val="15DA2525"/>
    <w:rsid w:val="15DA641B"/>
    <w:rsid w:val="15DB004C"/>
    <w:rsid w:val="15EE5FD1"/>
    <w:rsid w:val="15EE7D7F"/>
    <w:rsid w:val="15F31839"/>
    <w:rsid w:val="15F75215"/>
    <w:rsid w:val="15F96A85"/>
    <w:rsid w:val="15FA4976"/>
    <w:rsid w:val="15FA717E"/>
    <w:rsid w:val="1609105D"/>
    <w:rsid w:val="160B0931"/>
    <w:rsid w:val="161D2412"/>
    <w:rsid w:val="161F262E"/>
    <w:rsid w:val="161F53FC"/>
    <w:rsid w:val="162B5BD5"/>
    <w:rsid w:val="16335C66"/>
    <w:rsid w:val="16376D26"/>
    <w:rsid w:val="16490F5F"/>
    <w:rsid w:val="16491459"/>
    <w:rsid w:val="164E3C95"/>
    <w:rsid w:val="16563CB3"/>
    <w:rsid w:val="165878EE"/>
    <w:rsid w:val="16704C38"/>
    <w:rsid w:val="16783AEC"/>
    <w:rsid w:val="16784F97"/>
    <w:rsid w:val="16846935"/>
    <w:rsid w:val="169326D4"/>
    <w:rsid w:val="16AD3796"/>
    <w:rsid w:val="16AF39B2"/>
    <w:rsid w:val="16BC60CF"/>
    <w:rsid w:val="16BD32EE"/>
    <w:rsid w:val="16CB6878"/>
    <w:rsid w:val="16CF7AEA"/>
    <w:rsid w:val="16DE1BA1"/>
    <w:rsid w:val="16EA1853"/>
    <w:rsid w:val="16EB176A"/>
    <w:rsid w:val="16FA2753"/>
    <w:rsid w:val="16FB0A34"/>
    <w:rsid w:val="170E3922"/>
    <w:rsid w:val="170F5060"/>
    <w:rsid w:val="1711641B"/>
    <w:rsid w:val="17161AF2"/>
    <w:rsid w:val="17171557"/>
    <w:rsid w:val="171F21BA"/>
    <w:rsid w:val="17283764"/>
    <w:rsid w:val="172C7B86"/>
    <w:rsid w:val="172D2B29"/>
    <w:rsid w:val="172E69C9"/>
    <w:rsid w:val="172F4478"/>
    <w:rsid w:val="172F7F9D"/>
    <w:rsid w:val="173043C7"/>
    <w:rsid w:val="173D7210"/>
    <w:rsid w:val="173E6F42"/>
    <w:rsid w:val="17400AAE"/>
    <w:rsid w:val="1753361B"/>
    <w:rsid w:val="175C6F6A"/>
    <w:rsid w:val="17742506"/>
    <w:rsid w:val="17786574"/>
    <w:rsid w:val="177B1AE6"/>
    <w:rsid w:val="1787048B"/>
    <w:rsid w:val="178928FF"/>
    <w:rsid w:val="178D35C8"/>
    <w:rsid w:val="179130B8"/>
    <w:rsid w:val="17944956"/>
    <w:rsid w:val="179D56A2"/>
    <w:rsid w:val="17B9260F"/>
    <w:rsid w:val="17C0399D"/>
    <w:rsid w:val="17C4348D"/>
    <w:rsid w:val="17D336D0"/>
    <w:rsid w:val="17D85D0C"/>
    <w:rsid w:val="17DB7A56"/>
    <w:rsid w:val="17E21D1B"/>
    <w:rsid w:val="17E62C77"/>
    <w:rsid w:val="17F4335D"/>
    <w:rsid w:val="17F92CEB"/>
    <w:rsid w:val="180B10BC"/>
    <w:rsid w:val="18100480"/>
    <w:rsid w:val="18131D1F"/>
    <w:rsid w:val="18360013"/>
    <w:rsid w:val="184B770B"/>
    <w:rsid w:val="184E71FB"/>
    <w:rsid w:val="185363DB"/>
    <w:rsid w:val="185826E8"/>
    <w:rsid w:val="185A794E"/>
    <w:rsid w:val="186662F2"/>
    <w:rsid w:val="1869193F"/>
    <w:rsid w:val="1871170C"/>
    <w:rsid w:val="1895026F"/>
    <w:rsid w:val="189664AC"/>
    <w:rsid w:val="189C7F66"/>
    <w:rsid w:val="18A46E1B"/>
    <w:rsid w:val="18A8690B"/>
    <w:rsid w:val="18AB01A9"/>
    <w:rsid w:val="18B708FC"/>
    <w:rsid w:val="18B742CC"/>
    <w:rsid w:val="18BC2775"/>
    <w:rsid w:val="18D72D4C"/>
    <w:rsid w:val="18DC773B"/>
    <w:rsid w:val="18DF42F7"/>
    <w:rsid w:val="18DF60A5"/>
    <w:rsid w:val="18E45469"/>
    <w:rsid w:val="18E77F41"/>
    <w:rsid w:val="18F25DD8"/>
    <w:rsid w:val="18F5280B"/>
    <w:rsid w:val="18F93279"/>
    <w:rsid w:val="190301C9"/>
    <w:rsid w:val="19094ED0"/>
    <w:rsid w:val="19103171"/>
    <w:rsid w:val="191044B0"/>
    <w:rsid w:val="19121FD6"/>
    <w:rsid w:val="191C723B"/>
    <w:rsid w:val="192B4E46"/>
    <w:rsid w:val="192C753C"/>
    <w:rsid w:val="192D5062"/>
    <w:rsid w:val="19341F4D"/>
    <w:rsid w:val="193957B5"/>
    <w:rsid w:val="193F7F0D"/>
    <w:rsid w:val="195271C6"/>
    <w:rsid w:val="19632832"/>
    <w:rsid w:val="19641220"/>
    <w:rsid w:val="196A1E12"/>
    <w:rsid w:val="196D36B1"/>
    <w:rsid w:val="19721116"/>
    <w:rsid w:val="19736778"/>
    <w:rsid w:val="1991739F"/>
    <w:rsid w:val="19923117"/>
    <w:rsid w:val="199D21E8"/>
    <w:rsid w:val="199D3F96"/>
    <w:rsid w:val="19A075E2"/>
    <w:rsid w:val="19A8612C"/>
    <w:rsid w:val="19B24E22"/>
    <w:rsid w:val="19D32F7C"/>
    <w:rsid w:val="19DC4392"/>
    <w:rsid w:val="19E020D4"/>
    <w:rsid w:val="19E03E83"/>
    <w:rsid w:val="19E5593D"/>
    <w:rsid w:val="19E971DB"/>
    <w:rsid w:val="19EA7BA9"/>
    <w:rsid w:val="19EF056A"/>
    <w:rsid w:val="19F3005A"/>
    <w:rsid w:val="1A0E09F0"/>
    <w:rsid w:val="1A165AF6"/>
    <w:rsid w:val="1A1F2CAE"/>
    <w:rsid w:val="1A2A3350"/>
    <w:rsid w:val="1A2C531A"/>
    <w:rsid w:val="1A2D3846"/>
    <w:rsid w:val="1A495ECC"/>
    <w:rsid w:val="1A4A060A"/>
    <w:rsid w:val="1A4B1C44"/>
    <w:rsid w:val="1A4D04D3"/>
    <w:rsid w:val="1A564145"/>
    <w:rsid w:val="1A5959E3"/>
    <w:rsid w:val="1A5A5F28"/>
    <w:rsid w:val="1A5F124B"/>
    <w:rsid w:val="1A637E8D"/>
    <w:rsid w:val="1A6C1BBA"/>
    <w:rsid w:val="1A7D3947"/>
    <w:rsid w:val="1A8B64E4"/>
    <w:rsid w:val="1AB1581F"/>
    <w:rsid w:val="1AC5112F"/>
    <w:rsid w:val="1AC612CA"/>
    <w:rsid w:val="1ACB4B33"/>
    <w:rsid w:val="1ACE4623"/>
    <w:rsid w:val="1ACF1F03"/>
    <w:rsid w:val="1AD67034"/>
    <w:rsid w:val="1ADA4D76"/>
    <w:rsid w:val="1AE10312"/>
    <w:rsid w:val="1AFA7C9E"/>
    <w:rsid w:val="1AFC6A9A"/>
    <w:rsid w:val="1AFE3C31"/>
    <w:rsid w:val="1AFF2817"/>
    <w:rsid w:val="1B0E45D8"/>
    <w:rsid w:val="1B2041A1"/>
    <w:rsid w:val="1B267FBB"/>
    <w:rsid w:val="1B285AE1"/>
    <w:rsid w:val="1B4044CA"/>
    <w:rsid w:val="1B4531FA"/>
    <w:rsid w:val="1B4A1EFB"/>
    <w:rsid w:val="1B4B17D0"/>
    <w:rsid w:val="1B527870"/>
    <w:rsid w:val="1B530684"/>
    <w:rsid w:val="1B5468D6"/>
    <w:rsid w:val="1B577881"/>
    <w:rsid w:val="1B5865B3"/>
    <w:rsid w:val="1B59213E"/>
    <w:rsid w:val="1B656D35"/>
    <w:rsid w:val="1B740D26"/>
    <w:rsid w:val="1B8C2C7D"/>
    <w:rsid w:val="1B93683E"/>
    <w:rsid w:val="1B970EB9"/>
    <w:rsid w:val="1B9B2C14"/>
    <w:rsid w:val="1B9F1BAF"/>
    <w:rsid w:val="1BA43EF7"/>
    <w:rsid w:val="1BA60BBF"/>
    <w:rsid w:val="1BCF388A"/>
    <w:rsid w:val="1BD61EC4"/>
    <w:rsid w:val="1BDC68CC"/>
    <w:rsid w:val="1BDD4B1E"/>
    <w:rsid w:val="1BE20386"/>
    <w:rsid w:val="1BE22134"/>
    <w:rsid w:val="1BE55780"/>
    <w:rsid w:val="1BE573F1"/>
    <w:rsid w:val="1BFB31F6"/>
    <w:rsid w:val="1C1442B7"/>
    <w:rsid w:val="1C204A0A"/>
    <w:rsid w:val="1C2770D6"/>
    <w:rsid w:val="1C35495A"/>
    <w:rsid w:val="1C3B1844"/>
    <w:rsid w:val="1C3E30E2"/>
    <w:rsid w:val="1C406E5A"/>
    <w:rsid w:val="1C533032"/>
    <w:rsid w:val="1C56285B"/>
    <w:rsid w:val="1C5B1EE6"/>
    <w:rsid w:val="1C625023"/>
    <w:rsid w:val="1C676ADD"/>
    <w:rsid w:val="1C71170A"/>
    <w:rsid w:val="1C7B2C32"/>
    <w:rsid w:val="1C931680"/>
    <w:rsid w:val="1C964CCC"/>
    <w:rsid w:val="1C9677EE"/>
    <w:rsid w:val="1C9B708D"/>
    <w:rsid w:val="1CA23671"/>
    <w:rsid w:val="1CA834C6"/>
    <w:rsid w:val="1CA90EA4"/>
    <w:rsid w:val="1CB304A3"/>
    <w:rsid w:val="1CB47B1D"/>
    <w:rsid w:val="1CB735C0"/>
    <w:rsid w:val="1CB87AB1"/>
    <w:rsid w:val="1CCB0E1A"/>
    <w:rsid w:val="1CCE26B8"/>
    <w:rsid w:val="1CD23133"/>
    <w:rsid w:val="1CD31A7D"/>
    <w:rsid w:val="1CD51C99"/>
    <w:rsid w:val="1CDA78FB"/>
    <w:rsid w:val="1CE50F6A"/>
    <w:rsid w:val="1CE57D5A"/>
    <w:rsid w:val="1CEA3F89"/>
    <w:rsid w:val="1CEF00ED"/>
    <w:rsid w:val="1CF163A7"/>
    <w:rsid w:val="1CF30371"/>
    <w:rsid w:val="1CFE5709"/>
    <w:rsid w:val="1D1C1676"/>
    <w:rsid w:val="1D210521"/>
    <w:rsid w:val="1D2F2FB7"/>
    <w:rsid w:val="1D4209B0"/>
    <w:rsid w:val="1D440BCC"/>
    <w:rsid w:val="1D4A19A7"/>
    <w:rsid w:val="1D4D0079"/>
    <w:rsid w:val="1D55000A"/>
    <w:rsid w:val="1D5A3F4C"/>
    <w:rsid w:val="1D5D48F4"/>
    <w:rsid w:val="1D645EA9"/>
    <w:rsid w:val="1D6830A3"/>
    <w:rsid w:val="1D6848BB"/>
    <w:rsid w:val="1D6E17A5"/>
    <w:rsid w:val="1D743260"/>
    <w:rsid w:val="1D7F39B2"/>
    <w:rsid w:val="1D8B67FB"/>
    <w:rsid w:val="1D9E02DC"/>
    <w:rsid w:val="1DA13929"/>
    <w:rsid w:val="1DB042FE"/>
    <w:rsid w:val="1DB93368"/>
    <w:rsid w:val="1DBA29F0"/>
    <w:rsid w:val="1DC615E1"/>
    <w:rsid w:val="1DC75A85"/>
    <w:rsid w:val="1DC83D3D"/>
    <w:rsid w:val="1DD71A40"/>
    <w:rsid w:val="1E0068A1"/>
    <w:rsid w:val="1E01086B"/>
    <w:rsid w:val="1E032835"/>
    <w:rsid w:val="1E0E2891"/>
    <w:rsid w:val="1E1467F1"/>
    <w:rsid w:val="1E200CF1"/>
    <w:rsid w:val="1E215981"/>
    <w:rsid w:val="1E470974"/>
    <w:rsid w:val="1E601A36"/>
    <w:rsid w:val="1E650DFA"/>
    <w:rsid w:val="1E720A71"/>
    <w:rsid w:val="1E764DB5"/>
    <w:rsid w:val="1E780B2E"/>
    <w:rsid w:val="1E814E97"/>
    <w:rsid w:val="1E9D2342"/>
    <w:rsid w:val="1E9D67E6"/>
    <w:rsid w:val="1EA638ED"/>
    <w:rsid w:val="1EA9518B"/>
    <w:rsid w:val="1EAA4A5F"/>
    <w:rsid w:val="1EB83620"/>
    <w:rsid w:val="1EBF3159"/>
    <w:rsid w:val="1ED35C11"/>
    <w:rsid w:val="1EE1422D"/>
    <w:rsid w:val="1EFA59E6"/>
    <w:rsid w:val="1EFD0E7E"/>
    <w:rsid w:val="1EFF124F"/>
    <w:rsid w:val="1F152820"/>
    <w:rsid w:val="1F152AC2"/>
    <w:rsid w:val="1F15637C"/>
    <w:rsid w:val="1F1A6841"/>
    <w:rsid w:val="1F260FFB"/>
    <w:rsid w:val="1F30519D"/>
    <w:rsid w:val="1F3709E9"/>
    <w:rsid w:val="1F3D6311"/>
    <w:rsid w:val="1F4C5B16"/>
    <w:rsid w:val="1F516CF8"/>
    <w:rsid w:val="1F56536F"/>
    <w:rsid w:val="1F5C3FAB"/>
    <w:rsid w:val="1F6B2440"/>
    <w:rsid w:val="1F6C0C40"/>
    <w:rsid w:val="1F6F0182"/>
    <w:rsid w:val="1F7D1043"/>
    <w:rsid w:val="1F881244"/>
    <w:rsid w:val="1F890B18"/>
    <w:rsid w:val="1F8F4381"/>
    <w:rsid w:val="1F9000F9"/>
    <w:rsid w:val="1F973235"/>
    <w:rsid w:val="1F9A0F77"/>
    <w:rsid w:val="1FB738D7"/>
    <w:rsid w:val="1FBC0EEE"/>
    <w:rsid w:val="1FBC2C9C"/>
    <w:rsid w:val="1FCA53B9"/>
    <w:rsid w:val="1FD004F5"/>
    <w:rsid w:val="1FE81839"/>
    <w:rsid w:val="1FEA08D8"/>
    <w:rsid w:val="1FEF3071"/>
    <w:rsid w:val="1FF24910"/>
    <w:rsid w:val="200308CB"/>
    <w:rsid w:val="200C59D1"/>
    <w:rsid w:val="200F7E6B"/>
    <w:rsid w:val="201900EE"/>
    <w:rsid w:val="201A79C2"/>
    <w:rsid w:val="201D165A"/>
    <w:rsid w:val="201E315A"/>
    <w:rsid w:val="20250841"/>
    <w:rsid w:val="20366A22"/>
    <w:rsid w:val="203B1A9A"/>
    <w:rsid w:val="204C04C4"/>
    <w:rsid w:val="204D01CF"/>
    <w:rsid w:val="204F104B"/>
    <w:rsid w:val="20577C4F"/>
    <w:rsid w:val="205E3D53"/>
    <w:rsid w:val="206375BB"/>
    <w:rsid w:val="20656507"/>
    <w:rsid w:val="207B66B3"/>
    <w:rsid w:val="2080016D"/>
    <w:rsid w:val="20801F1B"/>
    <w:rsid w:val="20837948"/>
    <w:rsid w:val="208714FC"/>
    <w:rsid w:val="20895274"/>
    <w:rsid w:val="208F215E"/>
    <w:rsid w:val="20994D8B"/>
    <w:rsid w:val="209E23A2"/>
    <w:rsid w:val="20A0436C"/>
    <w:rsid w:val="20AA343C"/>
    <w:rsid w:val="20B47E17"/>
    <w:rsid w:val="20B816B5"/>
    <w:rsid w:val="20BA48CB"/>
    <w:rsid w:val="20BD4F1E"/>
    <w:rsid w:val="20C75D9C"/>
    <w:rsid w:val="20C95670"/>
    <w:rsid w:val="20CA7DA4"/>
    <w:rsid w:val="20D34741"/>
    <w:rsid w:val="20E45455"/>
    <w:rsid w:val="20E6212F"/>
    <w:rsid w:val="20F36B91"/>
    <w:rsid w:val="21034B7D"/>
    <w:rsid w:val="21076199"/>
    <w:rsid w:val="21110DC5"/>
    <w:rsid w:val="21154B92"/>
    <w:rsid w:val="2117369D"/>
    <w:rsid w:val="211D776A"/>
    <w:rsid w:val="21244F9D"/>
    <w:rsid w:val="213351E0"/>
    <w:rsid w:val="21370624"/>
    <w:rsid w:val="213A47C0"/>
    <w:rsid w:val="213C22E6"/>
    <w:rsid w:val="213F74B2"/>
    <w:rsid w:val="2144119B"/>
    <w:rsid w:val="21470C8B"/>
    <w:rsid w:val="214B290E"/>
    <w:rsid w:val="215B0293"/>
    <w:rsid w:val="215C64E4"/>
    <w:rsid w:val="21645399"/>
    <w:rsid w:val="2175165B"/>
    <w:rsid w:val="217E2DB8"/>
    <w:rsid w:val="21AB121A"/>
    <w:rsid w:val="21AB4400"/>
    <w:rsid w:val="21AE2AB8"/>
    <w:rsid w:val="21AF5F97"/>
    <w:rsid w:val="21B06830"/>
    <w:rsid w:val="21BB54E6"/>
    <w:rsid w:val="21BF0821"/>
    <w:rsid w:val="21C1794F"/>
    <w:rsid w:val="21CB53AE"/>
    <w:rsid w:val="21CE6CB6"/>
    <w:rsid w:val="21D06ED2"/>
    <w:rsid w:val="21D57BC5"/>
    <w:rsid w:val="21D97B35"/>
    <w:rsid w:val="21DF2155"/>
    <w:rsid w:val="21F65411"/>
    <w:rsid w:val="21FB3F4F"/>
    <w:rsid w:val="21FD4727"/>
    <w:rsid w:val="22062662"/>
    <w:rsid w:val="220F17A9"/>
    <w:rsid w:val="221E0366"/>
    <w:rsid w:val="22252D7A"/>
    <w:rsid w:val="222772BE"/>
    <w:rsid w:val="22284619"/>
    <w:rsid w:val="22347461"/>
    <w:rsid w:val="223631D9"/>
    <w:rsid w:val="22456F79"/>
    <w:rsid w:val="224F1BA5"/>
    <w:rsid w:val="22542E53"/>
    <w:rsid w:val="22576CAC"/>
    <w:rsid w:val="226C6BFB"/>
    <w:rsid w:val="22721D38"/>
    <w:rsid w:val="228C06EB"/>
    <w:rsid w:val="228F4698"/>
    <w:rsid w:val="22995134"/>
    <w:rsid w:val="22A22700"/>
    <w:rsid w:val="22A77C33"/>
    <w:rsid w:val="22AA7723"/>
    <w:rsid w:val="22B077A8"/>
    <w:rsid w:val="22C32593"/>
    <w:rsid w:val="22C5630B"/>
    <w:rsid w:val="22DE117B"/>
    <w:rsid w:val="22E04EF3"/>
    <w:rsid w:val="22E80703"/>
    <w:rsid w:val="230010F2"/>
    <w:rsid w:val="23177672"/>
    <w:rsid w:val="231C75DF"/>
    <w:rsid w:val="23201794"/>
    <w:rsid w:val="232A616E"/>
    <w:rsid w:val="232F19D7"/>
    <w:rsid w:val="232F735E"/>
    <w:rsid w:val="233D2346"/>
    <w:rsid w:val="234E4553"/>
    <w:rsid w:val="234E6301"/>
    <w:rsid w:val="234E78B1"/>
    <w:rsid w:val="2358659A"/>
    <w:rsid w:val="235D0380"/>
    <w:rsid w:val="236A6E47"/>
    <w:rsid w:val="236C49D9"/>
    <w:rsid w:val="23775858"/>
    <w:rsid w:val="237815D0"/>
    <w:rsid w:val="237E75D7"/>
    <w:rsid w:val="2389558B"/>
    <w:rsid w:val="238B30B1"/>
    <w:rsid w:val="23957A8C"/>
    <w:rsid w:val="2396169D"/>
    <w:rsid w:val="23A10B26"/>
    <w:rsid w:val="23A83C63"/>
    <w:rsid w:val="23C3756E"/>
    <w:rsid w:val="23C7176E"/>
    <w:rsid w:val="23DC390D"/>
    <w:rsid w:val="23DE7685"/>
    <w:rsid w:val="23E7405F"/>
    <w:rsid w:val="23E822B1"/>
    <w:rsid w:val="23F30C56"/>
    <w:rsid w:val="23F724F4"/>
    <w:rsid w:val="240115C5"/>
    <w:rsid w:val="240820A0"/>
    <w:rsid w:val="240E783E"/>
    <w:rsid w:val="24156E1F"/>
    <w:rsid w:val="241A2A47"/>
    <w:rsid w:val="24204782"/>
    <w:rsid w:val="24294678"/>
    <w:rsid w:val="242D3535"/>
    <w:rsid w:val="24305A06"/>
    <w:rsid w:val="243279D1"/>
    <w:rsid w:val="243510D4"/>
    <w:rsid w:val="2479115B"/>
    <w:rsid w:val="247F027C"/>
    <w:rsid w:val="248A6278"/>
    <w:rsid w:val="24942439"/>
    <w:rsid w:val="249D015C"/>
    <w:rsid w:val="24C21928"/>
    <w:rsid w:val="24D42836"/>
    <w:rsid w:val="24D6035C"/>
    <w:rsid w:val="24D8472B"/>
    <w:rsid w:val="24E24F53"/>
    <w:rsid w:val="24E4488B"/>
    <w:rsid w:val="24E76A0D"/>
    <w:rsid w:val="24F15196"/>
    <w:rsid w:val="24F627AC"/>
    <w:rsid w:val="24F84776"/>
    <w:rsid w:val="24F86524"/>
    <w:rsid w:val="24FA0F4C"/>
    <w:rsid w:val="24FB6014"/>
    <w:rsid w:val="24FC2177"/>
    <w:rsid w:val="250273A3"/>
    <w:rsid w:val="250A6257"/>
    <w:rsid w:val="25115838"/>
    <w:rsid w:val="251175E6"/>
    <w:rsid w:val="25186EA0"/>
    <w:rsid w:val="251B7D43"/>
    <w:rsid w:val="252235A1"/>
    <w:rsid w:val="25253091"/>
    <w:rsid w:val="252E0198"/>
    <w:rsid w:val="253C1A39"/>
    <w:rsid w:val="255B4D05"/>
    <w:rsid w:val="255D282B"/>
    <w:rsid w:val="25605CDB"/>
    <w:rsid w:val="256E4F98"/>
    <w:rsid w:val="257A518B"/>
    <w:rsid w:val="2580476C"/>
    <w:rsid w:val="25861939"/>
    <w:rsid w:val="258B55EA"/>
    <w:rsid w:val="258E50DA"/>
    <w:rsid w:val="259A3A7F"/>
    <w:rsid w:val="25A20B86"/>
    <w:rsid w:val="25AB3597"/>
    <w:rsid w:val="25AE7F52"/>
    <w:rsid w:val="25B22D3D"/>
    <w:rsid w:val="25B74631"/>
    <w:rsid w:val="25BB0A6F"/>
    <w:rsid w:val="25C44658"/>
    <w:rsid w:val="25D24FC7"/>
    <w:rsid w:val="25D83202"/>
    <w:rsid w:val="25EC3BAF"/>
    <w:rsid w:val="25ED1E01"/>
    <w:rsid w:val="25F02291"/>
    <w:rsid w:val="25F413E1"/>
    <w:rsid w:val="26040EF9"/>
    <w:rsid w:val="260D2485"/>
    <w:rsid w:val="260E3645"/>
    <w:rsid w:val="260E3B25"/>
    <w:rsid w:val="26121ACF"/>
    <w:rsid w:val="261455E0"/>
    <w:rsid w:val="261C6242"/>
    <w:rsid w:val="26263565"/>
    <w:rsid w:val="26377520"/>
    <w:rsid w:val="263C086C"/>
    <w:rsid w:val="2644442D"/>
    <w:rsid w:val="265005E2"/>
    <w:rsid w:val="265359DC"/>
    <w:rsid w:val="2659489A"/>
    <w:rsid w:val="26600825"/>
    <w:rsid w:val="266526B5"/>
    <w:rsid w:val="2670658E"/>
    <w:rsid w:val="267E514F"/>
    <w:rsid w:val="26856D36"/>
    <w:rsid w:val="268B161A"/>
    <w:rsid w:val="26993D37"/>
    <w:rsid w:val="26A32803"/>
    <w:rsid w:val="26A56238"/>
    <w:rsid w:val="26A74B38"/>
    <w:rsid w:val="26B47885"/>
    <w:rsid w:val="26C01A4F"/>
    <w:rsid w:val="26C910B2"/>
    <w:rsid w:val="26C940D4"/>
    <w:rsid w:val="26CA3EF0"/>
    <w:rsid w:val="26D905D7"/>
    <w:rsid w:val="26DB20F3"/>
    <w:rsid w:val="26E72CF4"/>
    <w:rsid w:val="26E85FDD"/>
    <w:rsid w:val="26F06DC3"/>
    <w:rsid w:val="26FC7E22"/>
    <w:rsid w:val="26FE3B9A"/>
    <w:rsid w:val="27035654"/>
    <w:rsid w:val="270C62B7"/>
    <w:rsid w:val="27196C26"/>
    <w:rsid w:val="2724781E"/>
    <w:rsid w:val="27270A10"/>
    <w:rsid w:val="27350EBD"/>
    <w:rsid w:val="27361586"/>
    <w:rsid w:val="274A3283"/>
    <w:rsid w:val="274C0DA9"/>
    <w:rsid w:val="275A1718"/>
    <w:rsid w:val="27637EA1"/>
    <w:rsid w:val="276551DC"/>
    <w:rsid w:val="27713266"/>
    <w:rsid w:val="277D5407"/>
    <w:rsid w:val="27814EF7"/>
    <w:rsid w:val="2783777A"/>
    <w:rsid w:val="278A3680"/>
    <w:rsid w:val="27906EE8"/>
    <w:rsid w:val="27962024"/>
    <w:rsid w:val="279D33B3"/>
    <w:rsid w:val="27A0164A"/>
    <w:rsid w:val="27A504B9"/>
    <w:rsid w:val="27B54BA0"/>
    <w:rsid w:val="27B5694E"/>
    <w:rsid w:val="27B76947"/>
    <w:rsid w:val="27B84691"/>
    <w:rsid w:val="27C272BD"/>
    <w:rsid w:val="27C5542E"/>
    <w:rsid w:val="27D86AE1"/>
    <w:rsid w:val="27DA0163"/>
    <w:rsid w:val="27EB2370"/>
    <w:rsid w:val="27EE00B2"/>
    <w:rsid w:val="27F03E2A"/>
    <w:rsid w:val="27FC27CF"/>
    <w:rsid w:val="280E2503"/>
    <w:rsid w:val="28104057"/>
    <w:rsid w:val="2816568A"/>
    <w:rsid w:val="28180C8B"/>
    <w:rsid w:val="28186EDD"/>
    <w:rsid w:val="281E7BD1"/>
    <w:rsid w:val="28212236"/>
    <w:rsid w:val="282870EB"/>
    <w:rsid w:val="282E07E9"/>
    <w:rsid w:val="282F4953"/>
    <w:rsid w:val="28305FD5"/>
    <w:rsid w:val="2847771B"/>
    <w:rsid w:val="28496639"/>
    <w:rsid w:val="284E28FF"/>
    <w:rsid w:val="285E6FE6"/>
    <w:rsid w:val="285F4B0C"/>
    <w:rsid w:val="286B1703"/>
    <w:rsid w:val="288614A8"/>
    <w:rsid w:val="28876563"/>
    <w:rsid w:val="28884063"/>
    <w:rsid w:val="288D3427"/>
    <w:rsid w:val="28926C90"/>
    <w:rsid w:val="289F1401"/>
    <w:rsid w:val="28A6273B"/>
    <w:rsid w:val="28A644E9"/>
    <w:rsid w:val="28A864B3"/>
    <w:rsid w:val="28AA222B"/>
    <w:rsid w:val="28CC03F4"/>
    <w:rsid w:val="28CF3A40"/>
    <w:rsid w:val="28E35C02"/>
    <w:rsid w:val="28E91F8D"/>
    <w:rsid w:val="28EA1EFA"/>
    <w:rsid w:val="28EA6288"/>
    <w:rsid w:val="28F02326"/>
    <w:rsid w:val="28FB65E3"/>
    <w:rsid w:val="290B020C"/>
    <w:rsid w:val="290B259E"/>
    <w:rsid w:val="29115E06"/>
    <w:rsid w:val="29235B3A"/>
    <w:rsid w:val="2927231E"/>
    <w:rsid w:val="293677ED"/>
    <w:rsid w:val="29657F00"/>
    <w:rsid w:val="296F5223"/>
    <w:rsid w:val="29750A51"/>
    <w:rsid w:val="297939AC"/>
    <w:rsid w:val="297E0FC2"/>
    <w:rsid w:val="29802F8C"/>
    <w:rsid w:val="298A3E0B"/>
    <w:rsid w:val="298D51EB"/>
    <w:rsid w:val="29A44ECD"/>
    <w:rsid w:val="29D05CC2"/>
    <w:rsid w:val="29D532D8"/>
    <w:rsid w:val="29D87DF9"/>
    <w:rsid w:val="29D92C5B"/>
    <w:rsid w:val="29E4176D"/>
    <w:rsid w:val="29E928DF"/>
    <w:rsid w:val="29EE5CA1"/>
    <w:rsid w:val="29F674DE"/>
    <w:rsid w:val="2A0E7089"/>
    <w:rsid w:val="2A132EA7"/>
    <w:rsid w:val="2A133E00"/>
    <w:rsid w:val="2A21651D"/>
    <w:rsid w:val="2A247DBB"/>
    <w:rsid w:val="2A2B4C3B"/>
    <w:rsid w:val="2A2E0C3A"/>
    <w:rsid w:val="2A3B1923"/>
    <w:rsid w:val="2A3F2892"/>
    <w:rsid w:val="2A420242"/>
    <w:rsid w:val="2A4B77A0"/>
    <w:rsid w:val="2A64465C"/>
    <w:rsid w:val="2A6B1546"/>
    <w:rsid w:val="2A734F3E"/>
    <w:rsid w:val="2A77447E"/>
    <w:rsid w:val="2A885464"/>
    <w:rsid w:val="2A8D770F"/>
    <w:rsid w:val="2A8F130C"/>
    <w:rsid w:val="2A901BBF"/>
    <w:rsid w:val="2A903404"/>
    <w:rsid w:val="2A9036A3"/>
    <w:rsid w:val="2A944F41"/>
    <w:rsid w:val="2A952A67"/>
    <w:rsid w:val="2A954815"/>
    <w:rsid w:val="2AA871DF"/>
    <w:rsid w:val="2AAF63FE"/>
    <w:rsid w:val="2AB30F8C"/>
    <w:rsid w:val="2AB56C65"/>
    <w:rsid w:val="2AB729DE"/>
    <w:rsid w:val="2ABB0720"/>
    <w:rsid w:val="2ABB2146"/>
    <w:rsid w:val="2ACF476E"/>
    <w:rsid w:val="2ACF5F79"/>
    <w:rsid w:val="2AD01CF1"/>
    <w:rsid w:val="2AD0584D"/>
    <w:rsid w:val="2AD74E2E"/>
    <w:rsid w:val="2AD87D4A"/>
    <w:rsid w:val="2AE337D3"/>
    <w:rsid w:val="2B030B35"/>
    <w:rsid w:val="2B073965"/>
    <w:rsid w:val="2B255B99"/>
    <w:rsid w:val="2B3D7387"/>
    <w:rsid w:val="2B621401"/>
    <w:rsid w:val="2B692874"/>
    <w:rsid w:val="2B6D6F6C"/>
    <w:rsid w:val="2B6D7622"/>
    <w:rsid w:val="2B70325D"/>
    <w:rsid w:val="2B797C93"/>
    <w:rsid w:val="2B7B1C5D"/>
    <w:rsid w:val="2B7F4836"/>
    <w:rsid w:val="2B8925CC"/>
    <w:rsid w:val="2B8A7B53"/>
    <w:rsid w:val="2B960845"/>
    <w:rsid w:val="2BA618C3"/>
    <w:rsid w:val="2BB4516F"/>
    <w:rsid w:val="2BB52315"/>
    <w:rsid w:val="2BC929C8"/>
    <w:rsid w:val="2BD650E5"/>
    <w:rsid w:val="2BDC10FF"/>
    <w:rsid w:val="2BF043F9"/>
    <w:rsid w:val="2BF11F1F"/>
    <w:rsid w:val="2BFA5278"/>
    <w:rsid w:val="2BFA5DC9"/>
    <w:rsid w:val="2BFA7026"/>
    <w:rsid w:val="2BFF63EA"/>
    <w:rsid w:val="2C025EDA"/>
    <w:rsid w:val="2C057779"/>
    <w:rsid w:val="2C09658A"/>
    <w:rsid w:val="2C155C0E"/>
    <w:rsid w:val="2C1D2D14"/>
    <w:rsid w:val="2C2125AA"/>
    <w:rsid w:val="2C22657D"/>
    <w:rsid w:val="2C277F0A"/>
    <w:rsid w:val="2C35005E"/>
    <w:rsid w:val="2C385D6B"/>
    <w:rsid w:val="2C385DA0"/>
    <w:rsid w:val="2C3971FB"/>
    <w:rsid w:val="2C4D397C"/>
    <w:rsid w:val="2C536453"/>
    <w:rsid w:val="2C583D4C"/>
    <w:rsid w:val="2C5D1363"/>
    <w:rsid w:val="2C5D4EB5"/>
    <w:rsid w:val="2C666469"/>
    <w:rsid w:val="2C726D44"/>
    <w:rsid w:val="2C7548FE"/>
    <w:rsid w:val="2C792640"/>
    <w:rsid w:val="2C8113C9"/>
    <w:rsid w:val="2C8A51BC"/>
    <w:rsid w:val="2C9A7826"/>
    <w:rsid w:val="2C9E20A7"/>
    <w:rsid w:val="2CA945A8"/>
    <w:rsid w:val="2CB177FA"/>
    <w:rsid w:val="2CB573F1"/>
    <w:rsid w:val="2CB847EB"/>
    <w:rsid w:val="2CBE44F7"/>
    <w:rsid w:val="2CBF201D"/>
    <w:rsid w:val="2CC459BD"/>
    <w:rsid w:val="2CDC497D"/>
    <w:rsid w:val="2CEE0760"/>
    <w:rsid w:val="2CF47F19"/>
    <w:rsid w:val="2D016192"/>
    <w:rsid w:val="2D0A773C"/>
    <w:rsid w:val="2D0D2D89"/>
    <w:rsid w:val="2D1660E1"/>
    <w:rsid w:val="2D190B64"/>
    <w:rsid w:val="2D1C121E"/>
    <w:rsid w:val="2D2F4723"/>
    <w:rsid w:val="2D35408E"/>
    <w:rsid w:val="2D3B5BE3"/>
    <w:rsid w:val="2D4371EA"/>
    <w:rsid w:val="2D482013"/>
    <w:rsid w:val="2D546C0A"/>
    <w:rsid w:val="2D5E7C02"/>
    <w:rsid w:val="2D67693D"/>
    <w:rsid w:val="2D6D1A79"/>
    <w:rsid w:val="2D746964"/>
    <w:rsid w:val="2D777575"/>
    <w:rsid w:val="2D9B2143"/>
    <w:rsid w:val="2DA03BFD"/>
    <w:rsid w:val="2DA82AB1"/>
    <w:rsid w:val="2DAE62A9"/>
    <w:rsid w:val="2DAF3E40"/>
    <w:rsid w:val="2DB651CE"/>
    <w:rsid w:val="2DBB0A37"/>
    <w:rsid w:val="2DC23B73"/>
    <w:rsid w:val="2DD85145"/>
    <w:rsid w:val="2DDA76E1"/>
    <w:rsid w:val="2DE418D5"/>
    <w:rsid w:val="2E0A551A"/>
    <w:rsid w:val="2E1168A9"/>
    <w:rsid w:val="2E132621"/>
    <w:rsid w:val="2E1B3283"/>
    <w:rsid w:val="2E1D57CA"/>
    <w:rsid w:val="2E1E0778"/>
    <w:rsid w:val="2E3260C6"/>
    <w:rsid w:val="2E3478A2"/>
    <w:rsid w:val="2E437E3F"/>
    <w:rsid w:val="2E480416"/>
    <w:rsid w:val="2E496043"/>
    <w:rsid w:val="2E536EC1"/>
    <w:rsid w:val="2E5A3DAC"/>
    <w:rsid w:val="2E5D77E1"/>
    <w:rsid w:val="2E5E283C"/>
    <w:rsid w:val="2E6E3CFB"/>
    <w:rsid w:val="2E70537D"/>
    <w:rsid w:val="2E717347"/>
    <w:rsid w:val="2E725599"/>
    <w:rsid w:val="2E782484"/>
    <w:rsid w:val="2E815FCF"/>
    <w:rsid w:val="2E8B7CC7"/>
    <w:rsid w:val="2EA74B17"/>
    <w:rsid w:val="2EB765A5"/>
    <w:rsid w:val="2EB86D24"/>
    <w:rsid w:val="2EBA6F40"/>
    <w:rsid w:val="2ED162DE"/>
    <w:rsid w:val="2ED31DB0"/>
    <w:rsid w:val="2ED32D57"/>
    <w:rsid w:val="2ED81174"/>
    <w:rsid w:val="2ED95618"/>
    <w:rsid w:val="2EE363F4"/>
    <w:rsid w:val="2EFC7022"/>
    <w:rsid w:val="2EFE0BDB"/>
    <w:rsid w:val="2F25260C"/>
    <w:rsid w:val="2F45680A"/>
    <w:rsid w:val="2F4B7B98"/>
    <w:rsid w:val="2F594063"/>
    <w:rsid w:val="2F6F3887"/>
    <w:rsid w:val="2F7D2448"/>
    <w:rsid w:val="2F8A6623"/>
    <w:rsid w:val="2F8D01B1"/>
    <w:rsid w:val="2F983EA3"/>
    <w:rsid w:val="2FA12072"/>
    <w:rsid w:val="2FAC4ADB"/>
    <w:rsid w:val="2FB4573E"/>
    <w:rsid w:val="2FB7522E"/>
    <w:rsid w:val="2FBB4D1E"/>
    <w:rsid w:val="2FC35A3B"/>
    <w:rsid w:val="2FC55B9D"/>
    <w:rsid w:val="2FCB3085"/>
    <w:rsid w:val="2FD22068"/>
    <w:rsid w:val="2FEC137B"/>
    <w:rsid w:val="2FF344B8"/>
    <w:rsid w:val="2FF355C0"/>
    <w:rsid w:val="2FFD4DB6"/>
    <w:rsid w:val="300264A9"/>
    <w:rsid w:val="300A35B0"/>
    <w:rsid w:val="3021175A"/>
    <w:rsid w:val="302C1C62"/>
    <w:rsid w:val="303D1BD7"/>
    <w:rsid w:val="304F5466"/>
    <w:rsid w:val="305B205D"/>
    <w:rsid w:val="305F1531"/>
    <w:rsid w:val="305F7C7F"/>
    <w:rsid w:val="30640F12"/>
    <w:rsid w:val="30670A02"/>
    <w:rsid w:val="30751371"/>
    <w:rsid w:val="307A0735"/>
    <w:rsid w:val="308725A7"/>
    <w:rsid w:val="3097374C"/>
    <w:rsid w:val="309A4544"/>
    <w:rsid w:val="309A4933"/>
    <w:rsid w:val="309D08C8"/>
    <w:rsid w:val="30A471F6"/>
    <w:rsid w:val="30A65331"/>
    <w:rsid w:val="30AD7887"/>
    <w:rsid w:val="30BA4FD6"/>
    <w:rsid w:val="30C61BCC"/>
    <w:rsid w:val="30D742CC"/>
    <w:rsid w:val="30DB6CFA"/>
    <w:rsid w:val="30E24425"/>
    <w:rsid w:val="30F46FAF"/>
    <w:rsid w:val="30F5600E"/>
    <w:rsid w:val="31034535"/>
    <w:rsid w:val="310B5831"/>
    <w:rsid w:val="311B6C45"/>
    <w:rsid w:val="311E37B6"/>
    <w:rsid w:val="311E5564"/>
    <w:rsid w:val="313E0EC8"/>
    <w:rsid w:val="31413001"/>
    <w:rsid w:val="314A0258"/>
    <w:rsid w:val="314F3970"/>
    <w:rsid w:val="31552F50"/>
    <w:rsid w:val="31593886"/>
    <w:rsid w:val="315E0057"/>
    <w:rsid w:val="315E056A"/>
    <w:rsid w:val="315F16D9"/>
    <w:rsid w:val="31660D0F"/>
    <w:rsid w:val="316724B8"/>
    <w:rsid w:val="316A07AA"/>
    <w:rsid w:val="316B0A71"/>
    <w:rsid w:val="31723B02"/>
    <w:rsid w:val="319770C5"/>
    <w:rsid w:val="31993BF8"/>
    <w:rsid w:val="31A87524"/>
    <w:rsid w:val="31AF440F"/>
    <w:rsid w:val="31B1462B"/>
    <w:rsid w:val="31B557C7"/>
    <w:rsid w:val="31B934DF"/>
    <w:rsid w:val="31BC6B2B"/>
    <w:rsid w:val="31C81974"/>
    <w:rsid w:val="31CA1248"/>
    <w:rsid w:val="31D75713"/>
    <w:rsid w:val="31DD71CE"/>
    <w:rsid w:val="31E92154"/>
    <w:rsid w:val="31EA18EB"/>
    <w:rsid w:val="31F67A47"/>
    <w:rsid w:val="31FB7654"/>
    <w:rsid w:val="31FD161E"/>
    <w:rsid w:val="32132BEF"/>
    <w:rsid w:val="32221084"/>
    <w:rsid w:val="322546D1"/>
    <w:rsid w:val="323112C7"/>
    <w:rsid w:val="3234700A"/>
    <w:rsid w:val="32384404"/>
    <w:rsid w:val="3240150B"/>
    <w:rsid w:val="32444720"/>
    <w:rsid w:val="3253123E"/>
    <w:rsid w:val="32544FB6"/>
    <w:rsid w:val="325D20BC"/>
    <w:rsid w:val="3260395B"/>
    <w:rsid w:val="327619D7"/>
    <w:rsid w:val="32780CA4"/>
    <w:rsid w:val="32780EA7"/>
    <w:rsid w:val="327A0EC0"/>
    <w:rsid w:val="327C23F8"/>
    <w:rsid w:val="327D275F"/>
    <w:rsid w:val="32847649"/>
    <w:rsid w:val="32851613"/>
    <w:rsid w:val="32867EED"/>
    <w:rsid w:val="32894C60"/>
    <w:rsid w:val="32933D30"/>
    <w:rsid w:val="32974EF3"/>
    <w:rsid w:val="329A1838"/>
    <w:rsid w:val="329B4993"/>
    <w:rsid w:val="329D4BAF"/>
    <w:rsid w:val="32A63A63"/>
    <w:rsid w:val="32B11FA7"/>
    <w:rsid w:val="32B55A55"/>
    <w:rsid w:val="32BA306B"/>
    <w:rsid w:val="32DA4B22"/>
    <w:rsid w:val="32E4633A"/>
    <w:rsid w:val="32F961D8"/>
    <w:rsid w:val="32FB0E71"/>
    <w:rsid w:val="330665E0"/>
    <w:rsid w:val="33134E71"/>
    <w:rsid w:val="33152997"/>
    <w:rsid w:val="33226E62"/>
    <w:rsid w:val="333D5A4A"/>
    <w:rsid w:val="33512F20"/>
    <w:rsid w:val="33593E87"/>
    <w:rsid w:val="335B7731"/>
    <w:rsid w:val="335C05C6"/>
    <w:rsid w:val="336631F3"/>
    <w:rsid w:val="33710159"/>
    <w:rsid w:val="338D4C23"/>
    <w:rsid w:val="338F44F8"/>
    <w:rsid w:val="3392223A"/>
    <w:rsid w:val="33971295"/>
    <w:rsid w:val="339E0BDF"/>
    <w:rsid w:val="33A1247D"/>
    <w:rsid w:val="33A3246C"/>
    <w:rsid w:val="33B828D3"/>
    <w:rsid w:val="33CA6135"/>
    <w:rsid w:val="33D501B4"/>
    <w:rsid w:val="33D62126"/>
    <w:rsid w:val="33D628DE"/>
    <w:rsid w:val="33F702EF"/>
    <w:rsid w:val="341F42CA"/>
    <w:rsid w:val="34207846"/>
    <w:rsid w:val="3421711A"/>
    <w:rsid w:val="342235BE"/>
    <w:rsid w:val="342A4220"/>
    <w:rsid w:val="34321327"/>
    <w:rsid w:val="34336CC1"/>
    <w:rsid w:val="34452E08"/>
    <w:rsid w:val="345117AD"/>
    <w:rsid w:val="34563267"/>
    <w:rsid w:val="34595B41"/>
    <w:rsid w:val="34664A0B"/>
    <w:rsid w:val="346F257B"/>
    <w:rsid w:val="34727975"/>
    <w:rsid w:val="349B6ECC"/>
    <w:rsid w:val="34A42225"/>
    <w:rsid w:val="34AF4725"/>
    <w:rsid w:val="34B8182C"/>
    <w:rsid w:val="34BE4682"/>
    <w:rsid w:val="34C401D1"/>
    <w:rsid w:val="34D66156"/>
    <w:rsid w:val="34DF14AF"/>
    <w:rsid w:val="34F65EF8"/>
    <w:rsid w:val="350B4052"/>
    <w:rsid w:val="350E3B42"/>
    <w:rsid w:val="350F723F"/>
    <w:rsid w:val="35176838"/>
    <w:rsid w:val="351E4DA2"/>
    <w:rsid w:val="35337105"/>
    <w:rsid w:val="353C16BC"/>
    <w:rsid w:val="354E3F3E"/>
    <w:rsid w:val="355028AF"/>
    <w:rsid w:val="355359F9"/>
    <w:rsid w:val="35586B6B"/>
    <w:rsid w:val="355A6D87"/>
    <w:rsid w:val="355F7EFA"/>
    <w:rsid w:val="356279EA"/>
    <w:rsid w:val="35647C06"/>
    <w:rsid w:val="35690D78"/>
    <w:rsid w:val="35743C14"/>
    <w:rsid w:val="357A4D33"/>
    <w:rsid w:val="358856A2"/>
    <w:rsid w:val="358B1BF2"/>
    <w:rsid w:val="35942299"/>
    <w:rsid w:val="35987525"/>
    <w:rsid w:val="35995577"/>
    <w:rsid w:val="359E4EC6"/>
    <w:rsid w:val="35AB60E3"/>
    <w:rsid w:val="35AF70D3"/>
    <w:rsid w:val="35B444DF"/>
    <w:rsid w:val="35C16E06"/>
    <w:rsid w:val="35C30488"/>
    <w:rsid w:val="35C97A69"/>
    <w:rsid w:val="35CF1523"/>
    <w:rsid w:val="35D02BA5"/>
    <w:rsid w:val="35D94150"/>
    <w:rsid w:val="35E623C9"/>
    <w:rsid w:val="35E84393"/>
    <w:rsid w:val="35F72442"/>
    <w:rsid w:val="35FE3BB6"/>
    <w:rsid w:val="360243E5"/>
    <w:rsid w:val="360C09C7"/>
    <w:rsid w:val="36181198"/>
    <w:rsid w:val="361E6007"/>
    <w:rsid w:val="36254D15"/>
    <w:rsid w:val="36331F1D"/>
    <w:rsid w:val="36366012"/>
    <w:rsid w:val="363D46DF"/>
    <w:rsid w:val="36505959"/>
    <w:rsid w:val="365B6913"/>
    <w:rsid w:val="36653C36"/>
    <w:rsid w:val="366A2FFA"/>
    <w:rsid w:val="366C4E9C"/>
    <w:rsid w:val="367C4B66"/>
    <w:rsid w:val="3681356E"/>
    <w:rsid w:val="36897924"/>
    <w:rsid w:val="368F2A60"/>
    <w:rsid w:val="36934F68"/>
    <w:rsid w:val="36940C0C"/>
    <w:rsid w:val="36981915"/>
    <w:rsid w:val="36A66AAC"/>
    <w:rsid w:val="36AA1648"/>
    <w:rsid w:val="36AD31DB"/>
    <w:rsid w:val="36B349A1"/>
    <w:rsid w:val="36B87A7C"/>
    <w:rsid w:val="36BD75CE"/>
    <w:rsid w:val="36F6488E"/>
    <w:rsid w:val="36FA25D0"/>
    <w:rsid w:val="370451FC"/>
    <w:rsid w:val="37070849"/>
    <w:rsid w:val="370A0339"/>
    <w:rsid w:val="37240FDC"/>
    <w:rsid w:val="372E4027"/>
    <w:rsid w:val="3733163E"/>
    <w:rsid w:val="373E6602"/>
    <w:rsid w:val="374B5E63"/>
    <w:rsid w:val="37541EFE"/>
    <w:rsid w:val="37547F8E"/>
    <w:rsid w:val="375A306E"/>
    <w:rsid w:val="375D66BB"/>
    <w:rsid w:val="37692CB0"/>
    <w:rsid w:val="376E08C8"/>
    <w:rsid w:val="37704640"/>
    <w:rsid w:val="37707E97"/>
    <w:rsid w:val="3795353A"/>
    <w:rsid w:val="379871A6"/>
    <w:rsid w:val="37A16410"/>
    <w:rsid w:val="37A83DDA"/>
    <w:rsid w:val="37A95DA4"/>
    <w:rsid w:val="37B207B5"/>
    <w:rsid w:val="37B24C58"/>
    <w:rsid w:val="37B54749"/>
    <w:rsid w:val="37BA1D5F"/>
    <w:rsid w:val="37C65BB6"/>
    <w:rsid w:val="37D0718F"/>
    <w:rsid w:val="37D83F93"/>
    <w:rsid w:val="37E1553E"/>
    <w:rsid w:val="37F25055"/>
    <w:rsid w:val="37FB6764"/>
    <w:rsid w:val="37FC4126"/>
    <w:rsid w:val="37FC5ED4"/>
    <w:rsid w:val="382947EF"/>
    <w:rsid w:val="3830716D"/>
    <w:rsid w:val="383B0909"/>
    <w:rsid w:val="383C2399"/>
    <w:rsid w:val="38472A51"/>
    <w:rsid w:val="38597FF2"/>
    <w:rsid w:val="386B2EC4"/>
    <w:rsid w:val="388163D9"/>
    <w:rsid w:val="38877E93"/>
    <w:rsid w:val="38883C0B"/>
    <w:rsid w:val="388D2FD0"/>
    <w:rsid w:val="389A2654"/>
    <w:rsid w:val="389D5E6A"/>
    <w:rsid w:val="38AC16A8"/>
    <w:rsid w:val="38B9241E"/>
    <w:rsid w:val="38C509BB"/>
    <w:rsid w:val="38C84008"/>
    <w:rsid w:val="38CA1127"/>
    <w:rsid w:val="38E25E09"/>
    <w:rsid w:val="38FE5C7B"/>
    <w:rsid w:val="3901769E"/>
    <w:rsid w:val="39032DD7"/>
    <w:rsid w:val="391060DB"/>
    <w:rsid w:val="391334D5"/>
    <w:rsid w:val="39237490"/>
    <w:rsid w:val="392751D2"/>
    <w:rsid w:val="3942025E"/>
    <w:rsid w:val="394675C9"/>
    <w:rsid w:val="39484984"/>
    <w:rsid w:val="3949339B"/>
    <w:rsid w:val="394A2BAE"/>
    <w:rsid w:val="395064D7"/>
    <w:rsid w:val="39555F8E"/>
    <w:rsid w:val="395C3290"/>
    <w:rsid w:val="395D29A2"/>
    <w:rsid w:val="39697599"/>
    <w:rsid w:val="397A3554"/>
    <w:rsid w:val="397D1296"/>
    <w:rsid w:val="39804AD4"/>
    <w:rsid w:val="39865449"/>
    <w:rsid w:val="398E34A3"/>
    <w:rsid w:val="39904B26"/>
    <w:rsid w:val="399D4C6F"/>
    <w:rsid w:val="39AC4C55"/>
    <w:rsid w:val="39B04856"/>
    <w:rsid w:val="39BA4298"/>
    <w:rsid w:val="39BA7DF4"/>
    <w:rsid w:val="39BB513C"/>
    <w:rsid w:val="39C40C73"/>
    <w:rsid w:val="39D01290"/>
    <w:rsid w:val="39D42649"/>
    <w:rsid w:val="39D87235"/>
    <w:rsid w:val="39E74AF9"/>
    <w:rsid w:val="39E869D2"/>
    <w:rsid w:val="39E92488"/>
    <w:rsid w:val="39E9692C"/>
    <w:rsid w:val="39EE5CF0"/>
    <w:rsid w:val="39F33306"/>
    <w:rsid w:val="39F6132E"/>
    <w:rsid w:val="3A055E7A"/>
    <w:rsid w:val="3A0F3616"/>
    <w:rsid w:val="3A1F40FB"/>
    <w:rsid w:val="3A1F5EA9"/>
    <w:rsid w:val="3A217A1A"/>
    <w:rsid w:val="3A23599A"/>
    <w:rsid w:val="3A3556CD"/>
    <w:rsid w:val="3A414072"/>
    <w:rsid w:val="3A42356C"/>
    <w:rsid w:val="3A485400"/>
    <w:rsid w:val="3A4B33F6"/>
    <w:rsid w:val="3A4E43A5"/>
    <w:rsid w:val="3A7E7074"/>
    <w:rsid w:val="3A882C61"/>
    <w:rsid w:val="3A964CA2"/>
    <w:rsid w:val="3A9C74FA"/>
    <w:rsid w:val="3AA776A8"/>
    <w:rsid w:val="3AB02FA5"/>
    <w:rsid w:val="3AB331C1"/>
    <w:rsid w:val="3AB962FE"/>
    <w:rsid w:val="3ABB3E24"/>
    <w:rsid w:val="3ABF3B2A"/>
    <w:rsid w:val="3AC46024"/>
    <w:rsid w:val="3AC738A9"/>
    <w:rsid w:val="3ACF167E"/>
    <w:rsid w:val="3AD53EEB"/>
    <w:rsid w:val="3AD66EB0"/>
    <w:rsid w:val="3AD924FC"/>
    <w:rsid w:val="3ADA1C74"/>
    <w:rsid w:val="3ADB0022"/>
    <w:rsid w:val="3AE77F14"/>
    <w:rsid w:val="3AEA295B"/>
    <w:rsid w:val="3AF235BE"/>
    <w:rsid w:val="3AF9494C"/>
    <w:rsid w:val="3B0A4DAB"/>
    <w:rsid w:val="3B0A6B5A"/>
    <w:rsid w:val="3B0E664A"/>
    <w:rsid w:val="3B2116A0"/>
    <w:rsid w:val="3B2F7BB2"/>
    <w:rsid w:val="3B304812"/>
    <w:rsid w:val="3B3D6F2F"/>
    <w:rsid w:val="3B441832"/>
    <w:rsid w:val="3B4704A5"/>
    <w:rsid w:val="3B4756B8"/>
    <w:rsid w:val="3B491430"/>
    <w:rsid w:val="3B4932A0"/>
    <w:rsid w:val="3B4C4EDF"/>
    <w:rsid w:val="3B4C7172"/>
    <w:rsid w:val="3B554279"/>
    <w:rsid w:val="3B6B584A"/>
    <w:rsid w:val="3B6C15C2"/>
    <w:rsid w:val="3B6F4C0F"/>
    <w:rsid w:val="3B726A2E"/>
    <w:rsid w:val="3B7A3CDF"/>
    <w:rsid w:val="3B81653C"/>
    <w:rsid w:val="3B8C756F"/>
    <w:rsid w:val="3B954675"/>
    <w:rsid w:val="3B980E4B"/>
    <w:rsid w:val="3B9D79CE"/>
    <w:rsid w:val="3B9E267D"/>
    <w:rsid w:val="3BB1191E"/>
    <w:rsid w:val="3BB934C1"/>
    <w:rsid w:val="3BBB7E54"/>
    <w:rsid w:val="3BBE0AC1"/>
    <w:rsid w:val="3BC136BC"/>
    <w:rsid w:val="3BC8595D"/>
    <w:rsid w:val="3BD31641"/>
    <w:rsid w:val="3BDD7DCA"/>
    <w:rsid w:val="3BED44B1"/>
    <w:rsid w:val="3BF51257"/>
    <w:rsid w:val="3BF64FC9"/>
    <w:rsid w:val="3BFA6BCE"/>
    <w:rsid w:val="3BFE4544"/>
    <w:rsid w:val="3C017F5D"/>
    <w:rsid w:val="3C035F1A"/>
    <w:rsid w:val="3C0A04F9"/>
    <w:rsid w:val="3C133447"/>
    <w:rsid w:val="3C145EE2"/>
    <w:rsid w:val="3C157564"/>
    <w:rsid w:val="3C215F09"/>
    <w:rsid w:val="3C2B322B"/>
    <w:rsid w:val="3C2D6FA3"/>
    <w:rsid w:val="3C326368"/>
    <w:rsid w:val="3C4D6CFE"/>
    <w:rsid w:val="3C4E0CC8"/>
    <w:rsid w:val="3C5616DB"/>
    <w:rsid w:val="3C5C1637"/>
    <w:rsid w:val="3C5E0F0B"/>
    <w:rsid w:val="3C6B187A"/>
    <w:rsid w:val="3C795D45"/>
    <w:rsid w:val="3C7A1ABD"/>
    <w:rsid w:val="3C7B2F43"/>
    <w:rsid w:val="3C8666B4"/>
    <w:rsid w:val="3C8B3CCA"/>
    <w:rsid w:val="3C9C72D2"/>
    <w:rsid w:val="3C9F237B"/>
    <w:rsid w:val="3CC35212"/>
    <w:rsid w:val="3CCD7E3F"/>
    <w:rsid w:val="3CD218F9"/>
    <w:rsid w:val="3CE77152"/>
    <w:rsid w:val="3CEF24AB"/>
    <w:rsid w:val="3CF03B2D"/>
    <w:rsid w:val="3D0C0967"/>
    <w:rsid w:val="3D0D2931"/>
    <w:rsid w:val="3D0F48FB"/>
    <w:rsid w:val="3D14540A"/>
    <w:rsid w:val="3D204390"/>
    <w:rsid w:val="3D254A88"/>
    <w:rsid w:val="3D261663"/>
    <w:rsid w:val="3D2E4257"/>
    <w:rsid w:val="3D314230"/>
    <w:rsid w:val="3D37175C"/>
    <w:rsid w:val="3D3D6D72"/>
    <w:rsid w:val="3D533A1E"/>
    <w:rsid w:val="3D536596"/>
    <w:rsid w:val="3D5F13DF"/>
    <w:rsid w:val="3D622C7D"/>
    <w:rsid w:val="3D6742FF"/>
    <w:rsid w:val="3D6C3AFB"/>
    <w:rsid w:val="3D6E33D0"/>
    <w:rsid w:val="3D790C03"/>
    <w:rsid w:val="3D7F55DD"/>
    <w:rsid w:val="3D8C6932"/>
    <w:rsid w:val="3D8C7CFA"/>
    <w:rsid w:val="3D932E36"/>
    <w:rsid w:val="3D9B2FCB"/>
    <w:rsid w:val="3DA54918"/>
    <w:rsid w:val="3DA74B34"/>
    <w:rsid w:val="3DA81D23"/>
    <w:rsid w:val="3DBB238D"/>
    <w:rsid w:val="3DD1570D"/>
    <w:rsid w:val="3DD9140D"/>
    <w:rsid w:val="3DE141B8"/>
    <w:rsid w:val="3DF1587D"/>
    <w:rsid w:val="3DF53AF1"/>
    <w:rsid w:val="3DF9702E"/>
    <w:rsid w:val="3DFA4C63"/>
    <w:rsid w:val="3E015FF2"/>
    <w:rsid w:val="3E057E5C"/>
    <w:rsid w:val="3E09294E"/>
    <w:rsid w:val="3E0E351F"/>
    <w:rsid w:val="3E1A5306"/>
    <w:rsid w:val="3E1A70B4"/>
    <w:rsid w:val="3E1C72D0"/>
    <w:rsid w:val="3E1D0952"/>
    <w:rsid w:val="3E1D6235"/>
    <w:rsid w:val="3E237F26"/>
    <w:rsid w:val="3E241CE0"/>
    <w:rsid w:val="3E276D77"/>
    <w:rsid w:val="3E285C74"/>
    <w:rsid w:val="3E344619"/>
    <w:rsid w:val="3E3F2FCC"/>
    <w:rsid w:val="3E40695C"/>
    <w:rsid w:val="3E44098D"/>
    <w:rsid w:val="3E667380"/>
    <w:rsid w:val="3E6B2874"/>
    <w:rsid w:val="3E725142"/>
    <w:rsid w:val="3E797946"/>
    <w:rsid w:val="3E7B5357"/>
    <w:rsid w:val="3E834C59"/>
    <w:rsid w:val="3E860BED"/>
    <w:rsid w:val="3E864749"/>
    <w:rsid w:val="3E8D5E6B"/>
    <w:rsid w:val="3E917038"/>
    <w:rsid w:val="3E9C3F6D"/>
    <w:rsid w:val="3E9F0FD0"/>
    <w:rsid w:val="3EAB41B0"/>
    <w:rsid w:val="3EAE5A4E"/>
    <w:rsid w:val="3EB07A18"/>
    <w:rsid w:val="3EBF7C5B"/>
    <w:rsid w:val="3EC3599D"/>
    <w:rsid w:val="3ECC2FF6"/>
    <w:rsid w:val="3ED31BAE"/>
    <w:rsid w:val="3EDE50F3"/>
    <w:rsid w:val="3EDF3E59"/>
    <w:rsid w:val="3EE002FD"/>
    <w:rsid w:val="3EEC2283"/>
    <w:rsid w:val="3EF618CF"/>
    <w:rsid w:val="3EF76DA0"/>
    <w:rsid w:val="3F035D9A"/>
    <w:rsid w:val="3F06588A"/>
    <w:rsid w:val="3F095B02"/>
    <w:rsid w:val="3F171845"/>
    <w:rsid w:val="3F1A33BE"/>
    <w:rsid w:val="3F2B709E"/>
    <w:rsid w:val="3F2F3423"/>
    <w:rsid w:val="3F3146B5"/>
    <w:rsid w:val="3F32042D"/>
    <w:rsid w:val="3F3C34BB"/>
    <w:rsid w:val="3F4678B6"/>
    <w:rsid w:val="3F5D194E"/>
    <w:rsid w:val="3F6A406B"/>
    <w:rsid w:val="3F6F78D3"/>
    <w:rsid w:val="3F7722E4"/>
    <w:rsid w:val="3F88629F"/>
    <w:rsid w:val="3F8E4335"/>
    <w:rsid w:val="3F9904AC"/>
    <w:rsid w:val="3F9D1D4A"/>
    <w:rsid w:val="3F9E1F78"/>
    <w:rsid w:val="3F9E4EE5"/>
    <w:rsid w:val="3FA52D38"/>
    <w:rsid w:val="3FAF7CCF"/>
    <w:rsid w:val="3FB457A2"/>
    <w:rsid w:val="3FB928FC"/>
    <w:rsid w:val="3FC419CD"/>
    <w:rsid w:val="3FC96FE3"/>
    <w:rsid w:val="3FCC0881"/>
    <w:rsid w:val="3FD52EC5"/>
    <w:rsid w:val="3FDE2096"/>
    <w:rsid w:val="3FE37E36"/>
    <w:rsid w:val="3FE9009B"/>
    <w:rsid w:val="3FEA5477"/>
    <w:rsid w:val="3FEC4A80"/>
    <w:rsid w:val="3FF35E0E"/>
    <w:rsid w:val="3FFC1167"/>
    <w:rsid w:val="3FFC18FC"/>
    <w:rsid w:val="3FFE2572"/>
    <w:rsid w:val="3FFF146B"/>
    <w:rsid w:val="40063D93"/>
    <w:rsid w:val="40175FA1"/>
    <w:rsid w:val="401C35B7"/>
    <w:rsid w:val="401D10DD"/>
    <w:rsid w:val="401F4E55"/>
    <w:rsid w:val="40210BCD"/>
    <w:rsid w:val="4022565B"/>
    <w:rsid w:val="40251D40"/>
    <w:rsid w:val="403F1053"/>
    <w:rsid w:val="404228F2"/>
    <w:rsid w:val="40477F08"/>
    <w:rsid w:val="4050500F"/>
    <w:rsid w:val="40516596"/>
    <w:rsid w:val="40550877"/>
    <w:rsid w:val="40583EC3"/>
    <w:rsid w:val="40611AE7"/>
    <w:rsid w:val="406665E0"/>
    <w:rsid w:val="406B6E6D"/>
    <w:rsid w:val="406E6E4D"/>
    <w:rsid w:val="407E7DCE"/>
    <w:rsid w:val="40860A30"/>
    <w:rsid w:val="409155A8"/>
    <w:rsid w:val="4093139F"/>
    <w:rsid w:val="4093314D"/>
    <w:rsid w:val="40985A3E"/>
    <w:rsid w:val="409F5F96"/>
    <w:rsid w:val="40AF67E2"/>
    <w:rsid w:val="40B12D3C"/>
    <w:rsid w:val="40B25071"/>
    <w:rsid w:val="40BF3F42"/>
    <w:rsid w:val="40D7128C"/>
    <w:rsid w:val="40DE6ABE"/>
    <w:rsid w:val="40EB2F89"/>
    <w:rsid w:val="40EE76ED"/>
    <w:rsid w:val="411B561D"/>
    <w:rsid w:val="411E3514"/>
    <w:rsid w:val="41270465"/>
    <w:rsid w:val="4131597B"/>
    <w:rsid w:val="41421E90"/>
    <w:rsid w:val="41546D80"/>
    <w:rsid w:val="4169281B"/>
    <w:rsid w:val="416F3B10"/>
    <w:rsid w:val="417D116C"/>
    <w:rsid w:val="417E7959"/>
    <w:rsid w:val="418672B4"/>
    <w:rsid w:val="419D0727"/>
    <w:rsid w:val="41A25180"/>
    <w:rsid w:val="41B15F81"/>
    <w:rsid w:val="41B5465B"/>
    <w:rsid w:val="41B810BD"/>
    <w:rsid w:val="41B86D0C"/>
    <w:rsid w:val="41C07F72"/>
    <w:rsid w:val="41C21F3C"/>
    <w:rsid w:val="41C757A4"/>
    <w:rsid w:val="41CA2B9F"/>
    <w:rsid w:val="41CC74A8"/>
    <w:rsid w:val="41CD6CF7"/>
    <w:rsid w:val="41D44CB2"/>
    <w:rsid w:val="41E023C2"/>
    <w:rsid w:val="41E62872"/>
    <w:rsid w:val="41E732DF"/>
    <w:rsid w:val="41F06AA9"/>
    <w:rsid w:val="41F45E6E"/>
    <w:rsid w:val="41F54683"/>
    <w:rsid w:val="41FE08D7"/>
    <w:rsid w:val="42004812"/>
    <w:rsid w:val="42042CD7"/>
    <w:rsid w:val="42064911"/>
    <w:rsid w:val="42091D7F"/>
    <w:rsid w:val="42116A20"/>
    <w:rsid w:val="42181B5C"/>
    <w:rsid w:val="424741EF"/>
    <w:rsid w:val="425D7EB7"/>
    <w:rsid w:val="4262580E"/>
    <w:rsid w:val="4267663F"/>
    <w:rsid w:val="426C3C56"/>
    <w:rsid w:val="42851286"/>
    <w:rsid w:val="4286232A"/>
    <w:rsid w:val="42865306"/>
    <w:rsid w:val="428B721F"/>
    <w:rsid w:val="42922CB7"/>
    <w:rsid w:val="429566D2"/>
    <w:rsid w:val="42A03202"/>
    <w:rsid w:val="42A7148C"/>
    <w:rsid w:val="42A94EAA"/>
    <w:rsid w:val="42B645A9"/>
    <w:rsid w:val="42C45840"/>
    <w:rsid w:val="42C615B8"/>
    <w:rsid w:val="42D02437"/>
    <w:rsid w:val="42D53E10"/>
    <w:rsid w:val="42E163F2"/>
    <w:rsid w:val="42EA799C"/>
    <w:rsid w:val="42EB54C2"/>
    <w:rsid w:val="42F56341"/>
    <w:rsid w:val="43073741"/>
    <w:rsid w:val="43086074"/>
    <w:rsid w:val="43104F29"/>
    <w:rsid w:val="43106CD7"/>
    <w:rsid w:val="431A1904"/>
    <w:rsid w:val="431C38CE"/>
    <w:rsid w:val="43210EE4"/>
    <w:rsid w:val="432361CC"/>
    <w:rsid w:val="432A452D"/>
    <w:rsid w:val="432C211D"/>
    <w:rsid w:val="433404DD"/>
    <w:rsid w:val="433C7ACC"/>
    <w:rsid w:val="43421586"/>
    <w:rsid w:val="43432C09"/>
    <w:rsid w:val="434A3F97"/>
    <w:rsid w:val="434D3A87"/>
    <w:rsid w:val="43505326"/>
    <w:rsid w:val="43544E16"/>
    <w:rsid w:val="43617533"/>
    <w:rsid w:val="4362139B"/>
    <w:rsid w:val="43672D9B"/>
    <w:rsid w:val="436D4129"/>
    <w:rsid w:val="437234EE"/>
    <w:rsid w:val="43776D56"/>
    <w:rsid w:val="437C15E4"/>
    <w:rsid w:val="437D25BE"/>
    <w:rsid w:val="437E1E93"/>
    <w:rsid w:val="43827BD5"/>
    <w:rsid w:val="438374A9"/>
    <w:rsid w:val="438441EA"/>
    <w:rsid w:val="43853221"/>
    <w:rsid w:val="438576C5"/>
    <w:rsid w:val="43866F99"/>
    <w:rsid w:val="43957D7C"/>
    <w:rsid w:val="439A451D"/>
    <w:rsid w:val="43A318F9"/>
    <w:rsid w:val="43AE3FC3"/>
    <w:rsid w:val="43BC29BB"/>
    <w:rsid w:val="43BD0C0D"/>
    <w:rsid w:val="43CC0E50"/>
    <w:rsid w:val="43D83C99"/>
    <w:rsid w:val="43E268C5"/>
    <w:rsid w:val="43F14D5A"/>
    <w:rsid w:val="43F4503C"/>
    <w:rsid w:val="43F77134"/>
    <w:rsid w:val="440C56F0"/>
    <w:rsid w:val="44183734"/>
    <w:rsid w:val="443552D4"/>
    <w:rsid w:val="443C20D0"/>
    <w:rsid w:val="444430DC"/>
    <w:rsid w:val="444A7138"/>
    <w:rsid w:val="445063AF"/>
    <w:rsid w:val="4458062F"/>
    <w:rsid w:val="445A28CB"/>
    <w:rsid w:val="44685795"/>
    <w:rsid w:val="446B4811"/>
    <w:rsid w:val="446B5B00"/>
    <w:rsid w:val="446C2633"/>
    <w:rsid w:val="448654A3"/>
    <w:rsid w:val="448E07FB"/>
    <w:rsid w:val="449C4CC6"/>
    <w:rsid w:val="44A64D57"/>
    <w:rsid w:val="44A75419"/>
    <w:rsid w:val="44B02520"/>
    <w:rsid w:val="44B042CE"/>
    <w:rsid w:val="44B6565C"/>
    <w:rsid w:val="44BD5DC6"/>
    <w:rsid w:val="44C24001"/>
    <w:rsid w:val="44E26451"/>
    <w:rsid w:val="44EB79FC"/>
    <w:rsid w:val="44F52628"/>
    <w:rsid w:val="44FB6886"/>
    <w:rsid w:val="45034D45"/>
    <w:rsid w:val="45097E82"/>
    <w:rsid w:val="451C3A80"/>
    <w:rsid w:val="4521341D"/>
    <w:rsid w:val="45246A6A"/>
    <w:rsid w:val="452756F8"/>
    <w:rsid w:val="45293834"/>
    <w:rsid w:val="452D3B70"/>
    <w:rsid w:val="453C7189"/>
    <w:rsid w:val="45435142"/>
    <w:rsid w:val="4545122F"/>
    <w:rsid w:val="454809AA"/>
    <w:rsid w:val="455461BD"/>
    <w:rsid w:val="455B692F"/>
    <w:rsid w:val="45633A36"/>
    <w:rsid w:val="4564364C"/>
    <w:rsid w:val="456E62DB"/>
    <w:rsid w:val="457479F1"/>
    <w:rsid w:val="45790441"/>
    <w:rsid w:val="45863281"/>
    <w:rsid w:val="45886FF9"/>
    <w:rsid w:val="458B7560"/>
    <w:rsid w:val="459260C9"/>
    <w:rsid w:val="45935BD2"/>
    <w:rsid w:val="45952EC3"/>
    <w:rsid w:val="45953EC0"/>
    <w:rsid w:val="45B2135C"/>
    <w:rsid w:val="45CF4C28"/>
    <w:rsid w:val="45D01155"/>
    <w:rsid w:val="45DB35CC"/>
    <w:rsid w:val="45E701C3"/>
    <w:rsid w:val="45EE77A4"/>
    <w:rsid w:val="45F2183D"/>
    <w:rsid w:val="45F96148"/>
    <w:rsid w:val="46164604"/>
    <w:rsid w:val="461A7534"/>
    <w:rsid w:val="462E5DF2"/>
    <w:rsid w:val="46456C98"/>
    <w:rsid w:val="46563170"/>
    <w:rsid w:val="46576163"/>
    <w:rsid w:val="466112E3"/>
    <w:rsid w:val="4665733A"/>
    <w:rsid w:val="46674E60"/>
    <w:rsid w:val="46827EEC"/>
    <w:rsid w:val="468373A6"/>
    <w:rsid w:val="46893028"/>
    <w:rsid w:val="46952996"/>
    <w:rsid w:val="469F6C1F"/>
    <w:rsid w:val="46A4176E"/>
    <w:rsid w:val="46A613B3"/>
    <w:rsid w:val="46A95479"/>
    <w:rsid w:val="46AA2F9F"/>
    <w:rsid w:val="46B33089"/>
    <w:rsid w:val="46CB1893"/>
    <w:rsid w:val="46CE4EDF"/>
    <w:rsid w:val="46D30747"/>
    <w:rsid w:val="46D6718B"/>
    <w:rsid w:val="46D71FE6"/>
    <w:rsid w:val="46DA1AD6"/>
    <w:rsid w:val="46EB5A91"/>
    <w:rsid w:val="46F0279D"/>
    <w:rsid w:val="46F10BCE"/>
    <w:rsid w:val="47046B53"/>
    <w:rsid w:val="471104BE"/>
    <w:rsid w:val="472352EE"/>
    <w:rsid w:val="47246C2E"/>
    <w:rsid w:val="472471F5"/>
    <w:rsid w:val="472A3ECD"/>
    <w:rsid w:val="472B70CC"/>
    <w:rsid w:val="472C3839"/>
    <w:rsid w:val="47354810"/>
    <w:rsid w:val="474A4A84"/>
    <w:rsid w:val="474E6020"/>
    <w:rsid w:val="475050F8"/>
    <w:rsid w:val="475C698F"/>
    <w:rsid w:val="475F3D89"/>
    <w:rsid w:val="476870E2"/>
    <w:rsid w:val="476B3C00"/>
    <w:rsid w:val="47706655"/>
    <w:rsid w:val="47841B24"/>
    <w:rsid w:val="47855EE6"/>
    <w:rsid w:val="47880981"/>
    <w:rsid w:val="479003E6"/>
    <w:rsid w:val="479B74B7"/>
    <w:rsid w:val="47AB5220"/>
    <w:rsid w:val="47AB6FCE"/>
    <w:rsid w:val="47B21FD0"/>
    <w:rsid w:val="47B37D01"/>
    <w:rsid w:val="47D76015"/>
    <w:rsid w:val="47E3479E"/>
    <w:rsid w:val="480037BE"/>
    <w:rsid w:val="481728B6"/>
    <w:rsid w:val="481C1C7A"/>
    <w:rsid w:val="481E59F2"/>
    <w:rsid w:val="48435459"/>
    <w:rsid w:val="484511D1"/>
    <w:rsid w:val="48537D92"/>
    <w:rsid w:val="4859477F"/>
    <w:rsid w:val="485B27A2"/>
    <w:rsid w:val="486F0D70"/>
    <w:rsid w:val="486F26F2"/>
    <w:rsid w:val="486F624E"/>
    <w:rsid w:val="48757D08"/>
    <w:rsid w:val="487B1097"/>
    <w:rsid w:val="48831CF9"/>
    <w:rsid w:val="48836844"/>
    <w:rsid w:val="488C6E00"/>
    <w:rsid w:val="48916798"/>
    <w:rsid w:val="48934639"/>
    <w:rsid w:val="489878D5"/>
    <w:rsid w:val="48991BC0"/>
    <w:rsid w:val="489D100D"/>
    <w:rsid w:val="489E1E87"/>
    <w:rsid w:val="48A95C04"/>
    <w:rsid w:val="48BF71D5"/>
    <w:rsid w:val="48C15FC8"/>
    <w:rsid w:val="48C26CC5"/>
    <w:rsid w:val="48C52312"/>
    <w:rsid w:val="48D10CB7"/>
    <w:rsid w:val="48DB5AA1"/>
    <w:rsid w:val="48EC13B2"/>
    <w:rsid w:val="48EC3D42"/>
    <w:rsid w:val="48F6071D"/>
    <w:rsid w:val="48FB4303"/>
    <w:rsid w:val="49064E04"/>
    <w:rsid w:val="490E3CB9"/>
    <w:rsid w:val="49134C2D"/>
    <w:rsid w:val="492C4278"/>
    <w:rsid w:val="494F67AB"/>
    <w:rsid w:val="49520049"/>
    <w:rsid w:val="49595E62"/>
    <w:rsid w:val="495F586A"/>
    <w:rsid w:val="496E4757"/>
    <w:rsid w:val="4977360C"/>
    <w:rsid w:val="49793828"/>
    <w:rsid w:val="4981448B"/>
    <w:rsid w:val="49836455"/>
    <w:rsid w:val="49883A6B"/>
    <w:rsid w:val="498F4DFA"/>
    <w:rsid w:val="49AB2BA9"/>
    <w:rsid w:val="49B303BC"/>
    <w:rsid w:val="49B55F4A"/>
    <w:rsid w:val="49BF6D61"/>
    <w:rsid w:val="49CA4084"/>
    <w:rsid w:val="49CB233B"/>
    <w:rsid w:val="49DE368B"/>
    <w:rsid w:val="49DF11B1"/>
    <w:rsid w:val="49FA5FEB"/>
    <w:rsid w:val="49FF55E2"/>
    <w:rsid w:val="4A037596"/>
    <w:rsid w:val="4A0B7BEC"/>
    <w:rsid w:val="4A0F5F3A"/>
    <w:rsid w:val="4A113A61"/>
    <w:rsid w:val="4A1A5872"/>
    <w:rsid w:val="4A1C41B3"/>
    <w:rsid w:val="4A253068"/>
    <w:rsid w:val="4A3414FD"/>
    <w:rsid w:val="4A361719"/>
    <w:rsid w:val="4A3B0ADD"/>
    <w:rsid w:val="4A4A1C5D"/>
    <w:rsid w:val="4A5120AF"/>
    <w:rsid w:val="4A5B4CDC"/>
    <w:rsid w:val="4A5D5169"/>
    <w:rsid w:val="4A633B90"/>
    <w:rsid w:val="4A6A4F1F"/>
    <w:rsid w:val="4A6E2C61"/>
    <w:rsid w:val="4A7144FF"/>
    <w:rsid w:val="4A767B3D"/>
    <w:rsid w:val="4A861667"/>
    <w:rsid w:val="4A940D35"/>
    <w:rsid w:val="4A977AF4"/>
    <w:rsid w:val="4AA5206A"/>
    <w:rsid w:val="4AA541A9"/>
    <w:rsid w:val="4AA56C50"/>
    <w:rsid w:val="4AB4263E"/>
    <w:rsid w:val="4AB97C54"/>
    <w:rsid w:val="4AC5484B"/>
    <w:rsid w:val="4AC74AE9"/>
    <w:rsid w:val="4ACB00B3"/>
    <w:rsid w:val="4ACF1226"/>
    <w:rsid w:val="4AD14F9E"/>
    <w:rsid w:val="4AD66A58"/>
    <w:rsid w:val="4AE066E8"/>
    <w:rsid w:val="4AE72B77"/>
    <w:rsid w:val="4AF60EA8"/>
    <w:rsid w:val="4AFA44F5"/>
    <w:rsid w:val="4B032EF2"/>
    <w:rsid w:val="4B0D63AD"/>
    <w:rsid w:val="4B0E61F2"/>
    <w:rsid w:val="4B103D18"/>
    <w:rsid w:val="4B1D4687"/>
    <w:rsid w:val="4B2B238E"/>
    <w:rsid w:val="4B3F5160"/>
    <w:rsid w:val="4B4006A5"/>
    <w:rsid w:val="4B447E66"/>
    <w:rsid w:val="4B471A71"/>
    <w:rsid w:val="4B5A0EBE"/>
    <w:rsid w:val="4B5A4F93"/>
    <w:rsid w:val="4B5A7CCA"/>
    <w:rsid w:val="4B5F25AA"/>
    <w:rsid w:val="4B614574"/>
    <w:rsid w:val="4B685902"/>
    <w:rsid w:val="4B692E0F"/>
    <w:rsid w:val="4B7556AE"/>
    <w:rsid w:val="4B8E10E1"/>
    <w:rsid w:val="4B915C92"/>
    <w:rsid w:val="4B921539"/>
    <w:rsid w:val="4BAA6198"/>
    <w:rsid w:val="4BB24DCF"/>
    <w:rsid w:val="4BBD5522"/>
    <w:rsid w:val="4BCC52C8"/>
    <w:rsid w:val="4BCD0895"/>
    <w:rsid w:val="4BD72A88"/>
    <w:rsid w:val="4BD949F8"/>
    <w:rsid w:val="4BD95ABB"/>
    <w:rsid w:val="4BDC3BFA"/>
    <w:rsid w:val="4BE551A5"/>
    <w:rsid w:val="4BEE392E"/>
    <w:rsid w:val="4BF16EEB"/>
    <w:rsid w:val="4BF2341E"/>
    <w:rsid w:val="4BF4363A"/>
    <w:rsid w:val="4BFE0015"/>
    <w:rsid w:val="4BFE1DC3"/>
    <w:rsid w:val="4C036742"/>
    <w:rsid w:val="4C0D2006"/>
    <w:rsid w:val="4C121D12"/>
    <w:rsid w:val="4C176DA8"/>
    <w:rsid w:val="4C177328"/>
    <w:rsid w:val="4C2537F3"/>
    <w:rsid w:val="4C2D4456"/>
    <w:rsid w:val="4C453E95"/>
    <w:rsid w:val="4C696637"/>
    <w:rsid w:val="4C7812B7"/>
    <w:rsid w:val="4C79769B"/>
    <w:rsid w:val="4C7E695A"/>
    <w:rsid w:val="4C8229F4"/>
    <w:rsid w:val="4C87625C"/>
    <w:rsid w:val="4C885B30"/>
    <w:rsid w:val="4C8C5620"/>
    <w:rsid w:val="4C8E6F52"/>
    <w:rsid w:val="4C9269AF"/>
    <w:rsid w:val="4C9B1D07"/>
    <w:rsid w:val="4CA23096"/>
    <w:rsid w:val="4CAE1A3B"/>
    <w:rsid w:val="4CAF130F"/>
    <w:rsid w:val="4CAF57B3"/>
    <w:rsid w:val="4CB22BAD"/>
    <w:rsid w:val="4CB44A52"/>
    <w:rsid w:val="4CBA03DF"/>
    <w:rsid w:val="4CBB7CB4"/>
    <w:rsid w:val="4CC34DBA"/>
    <w:rsid w:val="4CCC0113"/>
    <w:rsid w:val="4CD174D7"/>
    <w:rsid w:val="4CE1117D"/>
    <w:rsid w:val="4CE23492"/>
    <w:rsid w:val="4CE41429"/>
    <w:rsid w:val="4CE76CFB"/>
    <w:rsid w:val="4CEA67EB"/>
    <w:rsid w:val="4CEF6533"/>
    <w:rsid w:val="4CF3744D"/>
    <w:rsid w:val="4CFB59FC"/>
    <w:rsid w:val="4CFD3F99"/>
    <w:rsid w:val="4D003B9C"/>
    <w:rsid w:val="4D023B34"/>
    <w:rsid w:val="4D0478AD"/>
    <w:rsid w:val="4D1D34E8"/>
    <w:rsid w:val="4D221AE1"/>
    <w:rsid w:val="4D242E94"/>
    <w:rsid w:val="4D2515D1"/>
    <w:rsid w:val="4D265A75"/>
    <w:rsid w:val="4D267823"/>
    <w:rsid w:val="4D292E6F"/>
    <w:rsid w:val="4D2D6E60"/>
    <w:rsid w:val="4D3637DE"/>
    <w:rsid w:val="4D3978A0"/>
    <w:rsid w:val="4D427A0E"/>
    <w:rsid w:val="4D44414D"/>
    <w:rsid w:val="4D491763"/>
    <w:rsid w:val="4D4C3002"/>
    <w:rsid w:val="4D4E0B28"/>
    <w:rsid w:val="4D504BF3"/>
    <w:rsid w:val="4D537EEC"/>
    <w:rsid w:val="4D6C0FAE"/>
    <w:rsid w:val="4D783DF7"/>
    <w:rsid w:val="4D7A191D"/>
    <w:rsid w:val="4D8602C2"/>
    <w:rsid w:val="4D8D7549"/>
    <w:rsid w:val="4D926C66"/>
    <w:rsid w:val="4D9A3D6D"/>
    <w:rsid w:val="4D9A5B1B"/>
    <w:rsid w:val="4DA70238"/>
    <w:rsid w:val="4DA87C2C"/>
    <w:rsid w:val="4DAE39CA"/>
    <w:rsid w:val="4DAF7263"/>
    <w:rsid w:val="4DCB56CC"/>
    <w:rsid w:val="4DCE1C69"/>
    <w:rsid w:val="4DCF084A"/>
    <w:rsid w:val="4DD30361"/>
    <w:rsid w:val="4DD66D47"/>
    <w:rsid w:val="4DD92AE7"/>
    <w:rsid w:val="4DDF79D2"/>
    <w:rsid w:val="4DE32470"/>
    <w:rsid w:val="4DE4323A"/>
    <w:rsid w:val="4DE6344D"/>
    <w:rsid w:val="4DF558BF"/>
    <w:rsid w:val="4DF74D1B"/>
    <w:rsid w:val="4E013DEC"/>
    <w:rsid w:val="4E015B9A"/>
    <w:rsid w:val="4E1C0C26"/>
    <w:rsid w:val="4E1E674C"/>
    <w:rsid w:val="4E265601"/>
    <w:rsid w:val="4E2F3C5A"/>
    <w:rsid w:val="4E30022D"/>
    <w:rsid w:val="4E325320"/>
    <w:rsid w:val="4E3441C2"/>
    <w:rsid w:val="4E3E62C9"/>
    <w:rsid w:val="4E3E6DEE"/>
    <w:rsid w:val="4E404914"/>
    <w:rsid w:val="4E415F07"/>
    <w:rsid w:val="4E4B43C7"/>
    <w:rsid w:val="4E4D5283"/>
    <w:rsid w:val="4E4F2DA9"/>
    <w:rsid w:val="4E511C93"/>
    <w:rsid w:val="4E564138"/>
    <w:rsid w:val="4E5C1022"/>
    <w:rsid w:val="4E6A7BE3"/>
    <w:rsid w:val="4E767B18"/>
    <w:rsid w:val="4E7B4F3A"/>
    <w:rsid w:val="4E854A1D"/>
    <w:rsid w:val="4E8A3DE2"/>
    <w:rsid w:val="4E8B7C40"/>
    <w:rsid w:val="4E8D38D2"/>
    <w:rsid w:val="4E8D5680"/>
    <w:rsid w:val="4E930B3C"/>
    <w:rsid w:val="4E944C60"/>
    <w:rsid w:val="4E991401"/>
    <w:rsid w:val="4EA578C4"/>
    <w:rsid w:val="4EAC01FC"/>
    <w:rsid w:val="4EAC3D58"/>
    <w:rsid w:val="4EB11F5C"/>
    <w:rsid w:val="4EB26E94"/>
    <w:rsid w:val="4EB60048"/>
    <w:rsid w:val="4EB86BA1"/>
    <w:rsid w:val="4EBC7D13"/>
    <w:rsid w:val="4EC245E1"/>
    <w:rsid w:val="4EC82768"/>
    <w:rsid w:val="4EE52D9A"/>
    <w:rsid w:val="4EEA0D24"/>
    <w:rsid w:val="4EEE1DC6"/>
    <w:rsid w:val="4EF179BD"/>
    <w:rsid w:val="4EF23735"/>
    <w:rsid w:val="4EFC61EA"/>
    <w:rsid w:val="4F0A6CD0"/>
    <w:rsid w:val="4F1777EB"/>
    <w:rsid w:val="4F1A4CE1"/>
    <w:rsid w:val="4F2002A2"/>
    <w:rsid w:val="4F247D92"/>
    <w:rsid w:val="4F251D5C"/>
    <w:rsid w:val="4F3557D2"/>
    <w:rsid w:val="4F3C255D"/>
    <w:rsid w:val="4F3F4BCC"/>
    <w:rsid w:val="4F4F2935"/>
    <w:rsid w:val="4F51499B"/>
    <w:rsid w:val="4F5368C9"/>
    <w:rsid w:val="4F5543EF"/>
    <w:rsid w:val="4F560168"/>
    <w:rsid w:val="4F566538"/>
    <w:rsid w:val="4F5F0DCA"/>
    <w:rsid w:val="4F672375"/>
    <w:rsid w:val="4F6939F7"/>
    <w:rsid w:val="4F6B0EDA"/>
    <w:rsid w:val="4F71212E"/>
    <w:rsid w:val="4F7505EE"/>
    <w:rsid w:val="4F766D7B"/>
    <w:rsid w:val="4F7A3E56"/>
    <w:rsid w:val="4F840831"/>
    <w:rsid w:val="4F870321"/>
    <w:rsid w:val="4FA9473B"/>
    <w:rsid w:val="4FAE1D52"/>
    <w:rsid w:val="4FB01626"/>
    <w:rsid w:val="4FB16BA6"/>
    <w:rsid w:val="4FB54E8E"/>
    <w:rsid w:val="4FBE5489"/>
    <w:rsid w:val="4FC6709B"/>
    <w:rsid w:val="4FC92959"/>
    <w:rsid w:val="4FC92FD2"/>
    <w:rsid w:val="4FCE5F50"/>
    <w:rsid w:val="4FD77DC0"/>
    <w:rsid w:val="4FD80B7D"/>
    <w:rsid w:val="4FE63D4E"/>
    <w:rsid w:val="4FEB08B0"/>
    <w:rsid w:val="4FEB7F74"/>
    <w:rsid w:val="4FF260E2"/>
    <w:rsid w:val="4FFA6D45"/>
    <w:rsid w:val="50096F88"/>
    <w:rsid w:val="50146059"/>
    <w:rsid w:val="50172112"/>
    <w:rsid w:val="5019366F"/>
    <w:rsid w:val="501C4F0D"/>
    <w:rsid w:val="50396BB8"/>
    <w:rsid w:val="504F52E3"/>
    <w:rsid w:val="505A77E4"/>
    <w:rsid w:val="505F53F7"/>
    <w:rsid w:val="50610B72"/>
    <w:rsid w:val="506A5568"/>
    <w:rsid w:val="50836D3A"/>
    <w:rsid w:val="50851129"/>
    <w:rsid w:val="50854279"/>
    <w:rsid w:val="508B13F1"/>
    <w:rsid w:val="508C257C"/>
    <w:rsid w:val="508E1BD8"/>
    <w:rsid w:val="509448C9"/>
    <w:rsid w:val="50A56CB1"/>
    <w:rsid w:val="50AA076B"/>
    <w:rsid w:val="50CA3F1D"/>
    <w:rsid w:val="50CD4459"/>
    <w:rsid w:val="50D46F17"/>
    <w:rsid w:val="50EC0D83"/>
    <w:rsid w:val="50F03FCE"/>
    <w:rsid w:val="50F5097F"/>
    <w:rsid w:val="50FD52C1"/>
    <w:rsid w:val="50FE0AB7"/>
    <w:rsid w:val="51001740"/>
    <w:rsid w:val="5100482F"/>
    <w:rsid w:val="51025EB1"/>
    <w:rsid w:val="510F70F9"/>
    <w:rsid w:val="511107EA"/>
    <w:rsid w:val="511B3417"/>
    <w:rsid w:val="51202BC1"/>
    <w:rsid w:val="512F2D36"/>
    <w:rsid w:val="51363DAD"/>
    <w:rsid w:val="5139389D"/>
    <w:rsid w:val="51402E7D"/>
    <w:rsid w:val="514D63AE"/>
    <w:rsid w:val="5151508A"/>
    <w:rsid w:val="5156444F"/>
    <w:rsid w:val="51576F3E"/>
    <w:rsid w:val="5182371D"/>
    <w:rsid w:val="51850890"/>
    <w:rsid w:val="51907961"/>
    <w:rsid w:val="51937451"/>
    <w:rsid w:val="51974FD5"/>
    <w:rsid w:val="519F5CB4"/>
    <w:rsid w:val="51A056CA"/>
    <w:rsid w:val="51A452F8"/>
    <w:rsid w:val="51A74CAA"/>
    <w:rsid w:val="51A966BB"/>
    <w:rsid w:val="51B11329"/>
    <w:rsid w:val="51BA49DE"/>
    <w:rsid w:val="51D21EE4"/>
    <w:rsid w:val="51D66D87"/>
    <w:rsid w:val="51DA0BDC"/>
    <w:rsid w:val="51DD247A"/>
    <w:rsid w:val="51EB7A8C"/>
    <w:rsid w:val="51F36142"/>
    <w:rsid w:val="520619D1"/>
    <w:rsid w:val="52081BED"/>
    <w:rsid w:val="520B6FE7"/>
    <w:rsid w:val="5210683A"/>
    <w:rsid w:val="521A547C"/>
    <w:rsid w:val="52264A72"/>
    <w:rsid w:val="52412A09"/>
    <w:rsid w:val="52643C20"/>
    <w:rsid w:val="5268443A"/>
    <w:rsid w:val="52715FBA"/>
    <w:rsid w:val="527706FC"/>
    <w:rsid w:val="5277467D"/>
    <w:rsid w:val="527821A3"/>
    <w:rsid w:val="527C1C93"/>
    <w:rsid w:val="527C7EE5"/>
    <w:rsid w:val="527D47C7"/>
    <w:rsid w:val="52860D64"/>
    <w:rsid w:val="5289067D"/>
    <w:rsid w:val="528D3EA0"/>
    <w:rsid w:val="529E60AD"/>
    <w:rsid w:val="52B4142D"/>
    <w:rsid w:val="52B56EDD"/>
    <w:rsid w:val="52CF44B9"/>
    <w:rsid w:val="52E2243E"/>
    <w:rsid w:val="52E52A4F"/>
    <w:rsid w:val="52EB6E87"/>
    <w:rsid w:val="52F263F9"/>
    <w:rsid w:val="52FC2DD4"/>
    <w:rsid w:val="52FD1026"/>
    <w:rsid w:val="53083527"/>
    <w:rsid w:val="53177C0E"/>
    <w:rsid w:val="532F31A9"/>
    <w:rsid w:val="53373E0C"/>
    <w:rsid w:val="533802B0"/>
    <w:rsid w:val="534C5B09"/>
    <w:rsid w:val="534F1156"/>
    <w:rsid w:val="53505681"/>
    <w:rsid w:val="53513120"/>
    <w:rsid w:val="53582700"/>
    <w:rsid w:val="53603363"/>
    <w:rsid w:val="5362532D"/>
    <w:rsid w:val="53656BCB"/>
    <w:rsid w:val="536E5A80"/>
    <w:rsid w:val="536F7A4A"/>
    <w:rsid w:val="53775A75"/>
    <w:rsid w:val="537868FE"/>
    <w:rsid w:val="537961D3"/>
    <w:rsid w:val="539179C0"/>
    <w:rsid w:val="53A21E0E"/>
    <w:rsid w:val="53AA644A"/>
    <w:rsid w:val="53AC47FA"/>
    <w:rsid w:val="53B2342F"/>
    <w:rsid w:val="53B2482E"/>
    <w:rsid w:val="53B3446C"/>
    <w:rsid w:val="53CA4C80"/>
    <w:rsid w:val="53DE791F"/>
    <w:rsid w:val="53E126F6"/>
    <w:rsid w:val="53E2021C"/>
    <w:rsid w:val="53E67D0C"/>
    <w:rsid w:val="53E757EE"/>
    <w:rsid w:val="53E915AA"/>
    <w:rsid w:val="53EE096F"/>
    <w:rsid w:val="53FB308C"/>
    <w:rsid w:val="540957A8"/>
    <w:rsid w:val="540B32CF"/>
    <w:rsid w:val="54102FDB"/>
    <w:rsid w:val="54177EC5"/>
    <w:rsid w:val="54260108"/>
    <w:rsid w:val="542A3C12"/>
    <w:rsid w:val="54385F43"/>
    <w:rsid w:val="54414309"/>
    <w:rsid w:val="544E100F"/>
    <w:rsid w:val="5455279C"/>
    <w:rsid w:val="54576514"/>
    <w:rsid w:val="54577C36"/>
    <w:rsid w:val="545A24A8"/>
    <w:rsid w:val="545B096B"/>
    <w:rsid w:val="545D7674"/>
    <w:rsid w:val="54640C31"/>
    <w:rsid w:val="54751090"/>
    <w:rsid w:val="547F69AD"/>
    <w:rsid w:val="548B08B3"/>
    <w:rsid w:val="548D7640"/>
    <w:rsid w:val="54901A26"/>
    <w:rsid w:val="54962A1D"/>
    <w:rsid w:val="54971006"/>
    <w:rsid w:val="54A5143A"/>
    <w:rsid w:val="54BB090E"/>
    <w:rsid w:val="54C55B73"/>
    <w:rsid w:val="54DF6509"/>
    <w:rsid w:val="54E02E76"/>
    <w:rsid w:val="54E04EB4"/>
    <w:rsid w:val="54E600F4"/>
    <w:rsid w:val="54F55D2D"/>
    <w:rsid w:val="55012924"/>
    <w:rsid w:val="55124B31"/>
    <w:rsid w:val="551E34D6"/>
    <w:rsid w:val="55282272"/>
    <w:rsid w:val="552A59D6"/>
    <w:rsid w:val="55314FB7"/>
    <w:rsid w:val="55346855"/>
    <w:rsid w:val="55393E6B"/>
    <w:rsid w:val="554A09AA"/>
    <w:rsid w:val="554C3B9F"/>
    <w:rsid w:val="554E2385"/>
    <w:rsid w:val="55515659"/>
    <w:rsid w:val="55587939"/>
    <w:rsid w:val="55597D98"/>
    <w:rsid w:val="555E7D76"/>
    <w:rsid w:val="55680633"/>
    <w:rsid w:val="55690BF5"/>
    <w:rsid w:val="556A04C9"/>
    <w:rsid w:val="556C2493"/>
    <w:rsid w:val="557355CF"/>
    <w:rsid w:val="55740D24"/>
    <w:rsid w:val="557430F6"/>
    <w:rsid w:val="559A7000"/>
    <w:rsid w:val="55A232E8"/>
    <w:rsid w:val="55A40DF6"/>
    <w:rsid w:val="55AC7BC9"/>
    <w:rsid w:val="55B61960"/>
    <w:rsid w:val="55B654BC"/>
    <w:rsid w:val="55BD2CEE"/>
    <w:rsid w:val="55D6790C"/>
    <w:rsid w:val="55DD323C"/>
    <w:rsid w:val="55DD66F5"/>
    <w:rsid w:val="55E464CD"/>
    <w:rsid w:val="55E73E77"/>
    <w:rsid w:val="55F12998"/>
    <w:rsid w:val="55F61D5C"/>
    <w:rsid w:val="56040230"/>
    <w:rsid w:val="56055F83"/>
    <w:rsid w:val="56064695"/>
    <w:rsid w:val="560A650C"/>
    <w:rsid w:val="5616301A"/>
    <w:rsid w:val="56175E36"/>
    <w:rsid w:val="5627460C"/>
    <w:rsid w:val="563B5E92"/>
    <w:rsid w:val="564E1B99"/>
    <w:rsid w:val="564E6122"/>
    <w:rsid w:val="56510DC4"/>
    <w:rsid w:val="565A3574"/>
    <w:rsid w:val="566969D2"/>
    <w:rsid w:val="566E3FE9"/>
    <w:rsid w:val="567344DA"/>
    <w:rsid w:val="567D0A52"/>
    <w:rsid w:val="56821842"/>
    <w:rsid w:val="569450F9"/>
    <w:rsid w:val="56AE1613"/>
    <w:rsid w:val="56B063AF"/>
    <w:rsid w:val="56BD287A"/>
    <w:rsid w:val="56C13933"/>
    <w:rsid w:val="56C65BD3"/>
    <w:rsid w:val="56D07D7C"/>
    <w:rsid w:val="56D54068"/>
    <w:rsid w:val="56F7330C"/>
    <w:rsid w:val="56F75D8C"/>
    <w:rsid w:val="56FA587C"/>
    <w:rsid w:val="571050A0"/>
    <w:rsid w:val="57106E4E"/>
    <w:rsid w:val="57120E18"/>
    <w:rsid w:val="571C26A5"/>
    <w:rsid w:val="57254389"/>
    <w:rsid w:val="5726041F"/>
    <w:rsid w:val="57272B15"/>
    <w:rsid w:val="572A7F10"/>
    <w:rsid w:val="57517B92"/>
    <w:rsid w:val="575E41E0"/>
    <w:rsid w:val="57686C8A"/>
    <w:rsid w:val="57873D41"/>
    <w:rsid w:val="578810DA"/>
    <w:rsid w:val="578B711E"/>
    <w:rsid w:val="578F4217"/>
    <w:rsid w:val="579E08FE"/>
    <w:rsid w:val="57A2219C"/>
    <w:rsid w:val="57A35F14"/>
    <w:rsid w:val="57B343A9"/>
    <w:rsid w:val="57B830DE"/>
    <w:rsid w:val="57BA0A13"/>
    <w:rsid w:val="57BB4EA1"/>
    <w:rsid w:val="57BE4AFC"/>
    <w:rsid w:val="57D367F9"/>
    <w:rsid w:val="57D416E6"/>
    <w:rsid w:val="57D52571"/>
    <w:rsid w:val="57D96C88"/>
    <w:rsid w:val="57E00F16"/>
    <w:rsid w:val="57E05675"/>
    <w:rsid w:val="57E34016"/>
    <w:rsid w:val="57E4692A"/>
    <w:rsid w:val="57EF1159"/>
    <w:rsid w:val="57FF28BC"/>
    <w:rsid w:val="57FF589D"/>
    <w:rsid w:val="58030761"/>
    <w:rsid w:val="58034578"/>
    <w:rsid w:val="580C7B37"/>
    <w:rsid w:val="5813709B"/>
    <w:rsid w:val="581E78D1"/>
    <w:rsid w:val="58256929"/>
    <w:rsid w:val="5827444F"/>
    <w:rsid w:val="5830778A"/>
    <w:rsid w:val="58313520"/>
    <w:rsid w:val="58365C18"/>
    <w:rsid w:val="58403763"/>
    <w:rsid w:val="58515970"/>
    <w:rsid w:val="58586CFE"/>
    <w:rsid w:val="58690F0C"/>
    <w:rsid w:val="58694A68"/>
    <w:rsid w:val="58767185"/>
    <w:rsid w:val="587A0A23"/>
    <w:rsid w:val="587D1F7A"/>
    <w:rsid w:val="58823B65"/>
    <w:rsid w:val="5889438C"/>
    <w:rsid w:val="588B70D4"/>
    <w:rsid w:val="58975A79"/>
    <w:rsid w:val="58977827"/>
    <w:rsid w:val="58A726E0"/>
    <w:rsid w:val="58BC54DF"/>
    <w:rsid w:val="58C44394"/>
    <w:rsid w:val="58CD3249"/>
    <w:rsid w:val="58CD4FF7"/>
    <w:rsid w:val="58D2260D"/>
    <w:rsid w:val="58D8399B"/>
    <w:rsid w:val="58D93374"/>
    <w:rsid w:val="58DD2F95"/>
    <w:rsid w:val="58E0114E"/>
    <w:rsid w:val="58E42340"/>
    <w:rsid w:val="58E86238"/>
    <w:rsid w:val="58EB1921"/>
    <w:rsid w:val="58F35271"/>
    <w:rsid w:val="58F55C30"/>
    <w:rsid w:val="59101387"/>
    <w:rsid w:val="5914119B"/>
    <w:rsid w:val="591F2019"/>
    <w:rsid w:val="592A0B2D"/>
    <w:rsid w:val="592D3CE7"/>
    <w:rsid w:val="59367040"/>
    <w:rsid w:val="593C2ABB"/>
    <w:rsid w:val="593E5EF4"/>
    <w:rsid w:val="59406843"/>
    <w:rsid w:val="59415FF9"/>
    <w:rsid w:val="59475BC7"/>
    <w:rsid w:val="59520C00"/>
    <w:rsid w:val="59583222"/>
    <w:rsid w:val="59594ADC"/>
    <w:rsid w:val="596A39E5"/>
    <w:rsid w:val="596C0CB3"/>
    <w:rsid w:val="59744532"/>
    <w:rsid w:val="59822285"/>
    <w:rsid w:val="598662BA"/>
    <w:rsid w:val="598B1827"/>
    <w:rsid w:val="59993190"/>
    <w:rsid w:val="599C0E6D"/>
    <w:rsid w:val="59A87812"/>
    <w:rsid w:val="59AA5338"/>
    <w:rsid w:val="59AF2E00"/>
    <w:rsid w:val="59BB3317"/>
    <w:rsid w:val="59C4289D"/>
    <w:rsid w:val="59C53F20"/>
    <w:rsid w:val="59C75EEA"/>
    <w:rsid w:val="59CA59DA"/>
    <w:rsid w:val="59DD395F"/>
    <w:rsid w:val="59E24AD2"/>
    <w:rsid w:val="59EC3BA2"/>
    <w:rsid w:val="59F64A21"/>
    <w:rsid w:val="59FD190B"/>
    <w:rsid w:val="5A0D113D"/>
    <w:rsid w:val="5A21245B"/>
    <w:rsid w:val="5A252C10"/>
    <w:rsid w:val="5A2A0F8F"/>
    <w:rsid w:val="5A2F19D7"/>
    <w:rsid w:val="5A386DE8"/>
    <w:rsid w:val="5A3966BC"/>
    <w:rsid w:val="5A3A490E"/>
    <w:rsid w:val="5A3D43FE"/>
    <w:rsid w:val="5A4C2893"/>
    <w:rsid w:val="5A513A05"/>
    <w:rsid w:val="5A542A8E"/>
    <w:rsid w:val="5A544645"/>
    <w:rsid w:val="5A5654C0"/>
    <w:rsid w:val="5A5778F7"/>
    <w:rsid w:val="5A582FE6"/>
    <w:rsid w:val="5A5F6122"/>
    <w:rsid w:val="5A673229"/>
    <w:rsid w:val="5A6A4B79"/>
    <w:rsid w:val="5A736072"/>
    <w:rsid w:val="5A763E68"/>
    <w:rsid w:val="5A78513E"/>
    <w:rsid w:val="5A7A2ED9"/>
    <w:rsid w:val="5A7B0A82"/>
    <w:rsid w:val="5A897643"/>
    <w:rsid w:val="5A981634"/>
    <w:rsid w:val="5A984405"/>
    <w:rsid w:val="5A9C7376"/>
    <w:rsid w:val="5AA955EF"/>
    <w:rsid w:val="5AAE0E58"/>
    <w:rsid w:val="5ABA15AB"/>
    <w:rsid w:val="5ABD2793"/>
    <w:rsid w:val="5ABF12B7"/>
    <w:rsid w:val="5AC05F56"/>
    <w:rsid w:val="5AD94F58"/>
    <w:rsid w:val="5AE605F2"/>
    <w:rsid w:val="5AEC372E"/>
    <w:rsid w:val="5AF23CEE"/>
    <w:rsid w:val="5AF70E1A"/>
    <w:rsid w:val="5AF727FF"/>
    <w:rsid w:val="5AF977F4"/>
    <w:rsid w:val="5B067D60"/>
    <w:rsid w:val="5B136F0D"/>
    <w:rsid w:val="5B175C39"/>
    <w:rsid w:val="5B1D43B5"/>
    <w:rsid w:val="5B215ACE"/>
    <w:rsid w:val="5B323E82"/>
    <w:rsid w:val="5B345801"/>
    <w:rsid w:val="5B3475AF"/>
    <w:rsid w:val="5B3E51B6"/>
    <w:rsid w:val="5B411CCC"/>
    <w:rsid w:val="5B4219AE"/>
    <w:rsid w:val="5B542389"/>
    <w:rsid w:val="5B547C51"/>
    <w:rsid w:val="5B590DC3"/>
    <w:rsid w:val="5B5E185E"/>
    <w:rsid w:val="5B5E287E"/>
    <w:rsid w:val="5B5F03A4"/>
    <w:rsid w:val="5B6065F6"/>
    <w:rsid w:val="5B6339F0"/>
    <w:rsid w:val="5B7A6F8C"/>
    <w:rsid w:val="5B8A71CF"/>
    <w:rsid w:val="5B9242D5"/>
    <w:rsid w:val="5B9444F1"/>
    <w:rsid w:val="5B9C5AAD"/>
    <w:rsid w:val="5BAF4251"/>
    <w:rsid w:val="5BCF552A"/>
    <w:rsid w:val="5C0200D1"/>
    <w:rsid w:val="5C085457"/>
    <w:rsid w:val="5C2018E1"/>
    <w:rsid w:val="5C2D1728"/>
    <w:rsid w:val="5C2D68AB"/>
    <w:rsid w:val="5C3929A3"/>
    <w:rsid w:val="5C485468"/>
    <w:rsid w:val="5C4A2E02"/>
    <w:rsid w:val="5C5123E2"/>
    <w:rsid w:val="5C643EC4"/>
    <w:rsid w:val="5C693288"/>
    <w:rsid w:val="5C741C2D"/>
    <w:rsid w:val="5C7D79B4"/>
    <w:rsid w:val="5C846314"/>
    <w:rsid w:val="5C93396F"/>
    <w:rsid w:val="5C9D38E9"/>
    <w:rsid w:val="5C9E0740"/>
    <w:rsid w:val="5C9F0ED9"/>
    <w:rsid w:val="5CA30E29"/>
    <w:rsid w:val="5CA6668D"/>
    <w:rsid w:val="5CB94ACF"/>
    <w:rsid w:val="5CC22998"/>
    <w:rsid w:val="5CC73208"/>
    <w:rsid w:val="5CDF179C"/>
    <w:rsid w:val="5CE24DE9"/>
    <w:rsid w:val="5CE61DCD"/>
    <w:rsid w:val="5CEE378D"/>
    <w:rsid w:val="5CF231FB"/>
    <w:rsid w:val="5CF3349A"/>
    <w:rsid w:val="5CF615B6"/>
    <w:rsid w:val="5CFC234E"/>
    <w:rsid w:val="5CFD1C22"/>
    <w:rsid w:val="5CFF7418"/>
    <w:rsid w:val="5D04742A"/>
    <w:rsid w:val="5D0B07E3"/>
    <w:rsid w:val="5D170F36"/>
    <w:rsid w:val="5D192F00"/>
    <w:rsid w:val="5D1C654D"/>
    <w:rsid w:val="5D235B2D"/>
    <w:rsid w:val="5D251732"/>
    <w:rsid w:val="5D2D7E6B"/>
    <w:rsid w:val="5D3C099D"/>
    <w:rsid w:val="5D403C8D"/>
    <w:rsid w:val="5D443CF5"/>
    <w:rsid w:val="5D537A94"/>
    <w:rsid w:val="5D6B1282"/>
    <w:rsid w:val="5D6D0B56"/>
    <w:rsid w:val="5D7874FB"/>
    <w:rsid w:val="5D804D2D"/>
    <w:rsid w:val="5D83481E"/>
    <w:rsid w:val="5D8365CC"/>
    <w:rsid w:val="5D942587"/>
    <w:rsid w:val="5D9500AD"/>
    <w:rsid w:val="5D971AA4"/>
    <w:rsid w:val="5DA0752A"/>
    <w:rsid w:val="5DA327CA"/>
    <w:rsid w:val="5DA86032"/>
    <w:rsid w:val="5DBE5856"/>
    <w:rsid w:val="5DC15346"/>
    <w:rsid w:val="5DD21301"/>
    <w:rsid w:val="5DD230AF"/>
    <w:rsid w:val="5DDC3F2E"/>
    <w:rsid w:val="5DDE7CA6"/>
    <w:rsid w:val="5DE27796"/>
    <w:rsid w:val="5DEF1EB3"/>
    <w:rsid w:val="5DF70D68"/>
    <w:rsid w:val="5DFA0231"/>
    <w:rsid w:val="5E033269"/>
    <w:rsid w:val="5E075281"/>
    <w:rsid w:val="5E144057"/>
    <w:rsid w:val="5E146A5A"/>
    <w:rsid w:val="5E1F3B6D"/>
    <w:rsid w:val="5E211941"/>
    <w:rsid w:val="5E2733FB"/>
    <w:rsid w:val="5E2751A9"/>
    <w:rsid w:val="5E28182F"/>
    <w:rsid w:val="5E2A2EEB"/>
    <w:rsid w:val="5E31427A"/>
    <w:rsid w:val="5E343D6A"/>
    <w:rsid w:val="5E385608"/>
    <w:rsid w:val="5E4C2E61"/>
    <w:rsid w:val="5E4E6BDA"/>
    <w:rsid w:val="5E51556C"/>
    <w:rsid w:val="5E524C74"/>
    <w:rsid w:val="5E6177A5"/>
    <w:rsid w:val="5E644C39"/>
    <w:rsid w:val="5E714AFD"/>
    <w:rsid w:val="5E77771D"/>
    <w:rsid w:val="5E7B54F5"/>
    <w:rsid w:val="5E856373"/>
    <w:rsid w:val="5E8E6FD6"/>
    <w:rsid w:val="5E955BFF"/>
    <w:rsid w:val="5E974082"/>
    <w:rsid w:val="5E99597B"/>
    <w:rsid w:val="5EA52572"/>
    <w:rsid w:val="5EA66A16"/>
    <w:rsid w:val="5EA92062"/>
    <w:rsid w:val="5EAA7B88"/>
    <w:rsid w:val="5EB10F16"/>
    <w:rsid w:val="5EC450EE"/>
    <w:rsid w:val="5ECC7AFE"/>
    <w:rsid w:val="5EDB41E5"/>
    <w:rsid w:val="5EE50BC0"/>
    <w:rsid w:val="5EE70DDC"/>
    <w:rsid w:val="5EE906B0"/>
    <w:rsid w:val="5EEC01A1"/>
    <w:rsid w:val="5F0D0843"/>
    <w:rsid w:val="5F0E6369"/>
    <w:rsid w:val="5F1138B3"/>
    <w:rsid w:val="5F1E07AE"/>
    <w:rsid w:val="5F2A75AC"/>
    <w:rsid w:val="5F3B6A32"/>
    <w:rsid w:val="5F3D09FC"/>
    <w:rsid w:val="5F3E6C4E"/>
    <w:rsid w:val="5F4000F1"/>
    <w:rsid w:val="5F434264"/>
    <w:rsid w:val="5F48187B"/>
    <w:rsid w:val="5F4A00BD"/>
    <w:rsid w:val="5F5F0972"/>
    <w:rsid w:val="5F655F31"/>
    <w:rsid w:val="5F6664B4"/>
    <w:rsid w:val="5F677827"/>
    <w:rsid w:val="5F6B46F0"/>
    <w:rsid w:val="5F746004"/>
    <w:rsid w:val="5F797C86"/>
    <w:rsid w:val="5F7F1015"/>
    <w:rsid w:val="5F8272D5"/>
    <w:rsid w:val="5F8D3732"/>
    <w:rsid w:val="5F8D54CA"/>
    <w:rsid w:val="5F8F1F71"/>
    <w:rsid w:val="5F922AF6"/>
    <w:rsid w:val="5F9814C5"/>
    <w:rsid w:val="5FA016B7"/>
    <w:rsid w:val="5FB011CE"/>
    <w:rsid w:val="5FB31533"/>
    <w:rsid w:val="5FBC381B"/>
    <w:rsid w:val="5FD27396"/>
    <w:rsid w:val="5FFF04A2"/>
    <w:rsid w:val="60055270"/>
    <w:rsid w:val="60103202"/>
    <w:rsid w:val="6017124D"/>
    <w:rsid w:val="601917C5"/>
    <w:rsid w:val="601F7A80"/>
    <w:rsid w:val="60255718"/>
    <w:rsid w:val="6028345A"/>
    <w:rsid w:val="602A5424"/>
    <w:rsid w:val="60340051"/>
    <w:rsid w:val="603F3F25"/>
    <w:rsid w:val="60402552"/>
    <w:rsid w:val="60410FB0"/>
    <w:rsid w:val="604C22FE"/>
    <w:rsid w:val="605572A2"/>
    <w:rsid w:val="605B738C"/>
    <w:rsid w:val="6060478C"/>
    <w:rsid w:val="606049A2"/>
    <w:rsid w:val="60762418"/>
    <w:rsid w:val="607D5554"/>
    <w:rsid w:val="609346F9"/>
    <w:rsid w:val="60A725D1"/>
    <w:rsid w:val="60AE7E03"/>
    <w:rsid w:val="60B62814"/>
    <w:rsid w:val="60B66CB8"/>
    <w:rsid w:val="60BB7E2A"/>
    <w:rsid w:val="60BD0E40"/>
    <w:rsid w:val="60C03693"/>
    <w:rsid w:val="60C34F31"/>
    <w:rsid w:val="60C45638"/>
    <w:rsid w:val="60CA4511"/>
    <w:rsid w:val="60CA4D52"/>
    <w:rsid w:val="60E16353"/>
    <w:rsid w:val="60E76E71"/>
    <w:rsid w:val="60EC092C"/>
    <w:rsid w:val="61045C75"/>
    <w:rsid w:val="610D74CC"/>
    <w:rsid w:val="61146733"/>
    <w:rsid w:val="61202383"/>
    <w:rsid w:val="61357BDD"/>
    <w:rsid w:val="613F6CAD"/>
    <w:rsid w:val="61442516"/>
    <w:rsid w:val="614442C4"/>
    <w:rsid w:val="61446072"/>
    <w:rsid w:val="61500EBB"/>
    <w:rsid w:val="61563BD5"/>
    <w:rsid w:val="6157407D"/>
    <w:rsid w:val="61581B1D"/>
    <w:rsid w:val="61785574"/>
    <w:rsid w:val="617E77D6"/>
    <w:rsid w:val="61880654"/>
    <w:rsid w:val="618A3F56"/>
    <w:rsid w:val="6196153D"/>
    <w:rsid w:val="61B84CCE"/>
    <w:rsid w:val="61C36452"/>
    <w:rsid w:val="61CE3B8D"/>
    <w:rsid w:val="61D70C94"/>
    <w:rsid w:val="61DD034D"/>
    <w:rsid w:val="61DD3F54"/>
    <w:rsid w:val="61E41603"/>
    <w:rsid w:val="61FC4B9F"/>
    <w:rsid w:val="61FE0917"/>
    <w:rsid w:val="61FE26C5"/>
    <w:rsid w:val="61FE5186"/>
    <w:rsid w:val="61FF49F7"/>
    <w:rsid w:val="620401FF"/>
    <w:rsid w:val="620579B7"/>
    <w:rsid w:val="620D6DAC"/>
    <w:rsid w:val="62121C8E"/>
    <w:rsid w:val="621719D8"/>
    <w:rsid w:val="621B6035"/>
    <w:rsid w:val="62233ED9"/>
    <w:rsid w:val="622540F5"/>
    <w:rsid w:val="62255EA3"/>
    <w:rsid w:val="62261C1B"/>
    <w:rsid w:val="62371A21"/>
    <w:rsid w:val="624E5D0D"/>
    <w:rsid w:val="625F2EFD"/>
    <w:rsid w:val="62663D4C"/>
    <w:rsid w:val="62791D4B"/>
    <w:rsid w:val="6280132C"/>
    <w:rsid w:val="62816E52"/>
    <w:rsid w:val="628726BA"/>
    <w:rsid w:val="628F5A13"/>
    <w:rsid w:val="62922E0D"/>
    <w:rsid w:val="62946B85"/>
    <w:rsid w:val="629628FD"/>
    <w:rsid w:val="629767E0"/>
    <w:rsid w:val="629923ED"/>
    <w:rsid w:val="629E17B2"/>
    <w:rsid w:val="62A768B8"/>
    <w:rsid w:val="62AE5E99"/>
    <w:rsid w:val="62B41833"/>
    <w:rsid w:val="62B47227"/>
    <w:rsid w:val="62C423F5"/>
    <w:rsid w:val="62D72829"/>
    <w:rsid w:val="62DB0C58"/>
    <w:rsid w:val="62DB2A06"/>
    <w:rsid w:val="62DD677E"/>
    <w:rsid w:val="62ED4AF7"/>
    <w:rsid w:val="62FD600E"/>
    <w:rsid w:val="62FF66F4"/>
    <w:rsid w:val="63097573"/>
    <w:rsid w:val="630C2BBF"/>
    <w:rsid w:val="631448DA"/>
    <w:rsid w:val="631B2246"/>
    <w:rsid w:val="63221DE5"/>
    <w:rsid w:val="632223E3"/>
    <w:rsid w:val="632C3741"/>
    <w:rsid w:val="63352116"/>
    <w:rsid w:val="63400ABB"/>
    <w:rsid w:val="63500CFE"/>
    <w:rsid w:val="635078E5"/>
    <w:rsid w:val="63511692"/>
    <w:rsid w:val="635307EE"/>
    <w:rsid w:val="63637B16"/>
    <w:rsid w:val="63666773"/>
    <w:rsid w:val="636C18B0"/>
    <w:rsid w:val="636C365E"/>
    <w:rsid w:val="637864A7"/>
    <w:rsid w:val="638135AD"/>
    <w:rsid w:val="638E7A78"/>
    <w:rsid w:val="63A454EE"/>
    <w:rsid w:val="63BC45E5"/>
    <w:rsid w:val="63BE7E55"/>
    <w:rsid w:val="63BF40D6"/>
    <w:rsid w:val="63CB4828"/>
    <w:rsid w:val="63D538F9"/>
    <w:rsid w:val="63DF6526"/>
    <w:rsid w:val="63E36016"/>
    <w:rsid w:val="63E678B4"/>
    <w:rsid w:val="63ED479F"/>
    <w:rsid w:val="63FC2C34"/>
    <w:rsid w:val="63FD075A"/>
    <w:rsid w:val="64025D70"/>
    <w:rsid w:val="64041AE8"/>
    <w:rsid w:val="64065861"/>
    <w:rsid w:val="640A1577"/>
    <w:rsid w:val="641206A9"/>
    <w:rsid w:val="64144421"/>
    <w:rsid w:val="641A130C"/>
    <w:rsid w:val="642301C1"/>
    <w:rsid w:val="643979E4"/>
    <w:rsid w:val="64414AEB"/>
    <w:rsid w:val="6446207E"/>
    <w:rsid w:val="644840EA"/>
    <w:rsid w:val="644A2677"/>
    <w:rsid w:val="64533EB5"/>
    <w:rsid w:val="64550596"/>
    <w:rsid w:val="645E38EF"/>
    <w:rsid w:val="646507D9"/>
    <w:rsid w:val="646752FF"/>
    <w:rsid w:val="64676364"/>
    <w:rsid w:val="646B7DB9"/>
    <w:rsid w:val="646C600B"/>
    <w:rsid w:val="64760C38"/>
    <w:rsid w:val="6484176C"/>
    <w:rsid w:val="64845C9B"/>
    <w:rsid w:val="64904DCA"/>
    <w:rsid w:val="64964E36"/>
    <w:rsid w:val="64986C27"/>
    <w:rsid w:val="649F585E"/>
    <w:rsid w:val="64A37553"/>
    <w:rsid w:val="64A55079"/>
    <w:rsid w:val="64A77044"/>
    <w:rsid w:val="64C9520C"/>
    <w:rsid w:val="64CE6FC5"/>
    <w:rsid w:val="64CF3989"/>
    <w:rsid w:val="64D836A1"/>
    <w:rsid w:val="64EE4C72"/>
    <w:rsid w:val="64F77DDD"/>
    <w:rsid w:val="65014674"/>
    <w:rsid w:val="650A312E"/>
    <w:rsid w:val="65100493"/>
    <w:rsid w:val="651B533C"/>
    <w:rsid w:val="652A557F"/>
    <w:rsid w:val="65331D5D"/>
    <w:rsid w:val="65344D96"/>
    <w:rsid w:val="65371FF2"/>
    <w:rsid w:val="655A40B6"/>
    <w:rsid w:val="657C227E"/>
    <w:rsid w:val="65805ED1"/>
    <w:rsid w:val="65861857"/>
    <w:rsid w:val="65981067"/>
    <w:rsid w:val="6598698C"/>
    <w:rsid w:val="659D1C33"/>
    <w:rsid w:val="65B5753E"/>
    <w:rsid w:val="65C46E98"/>
    <w:rsid w:val="65CD0D2C"/>
    <w:rsid w:val="65D606DA"/>
    <w:rsid w:val="65DF6369"/>
    <w:rsid w:val="65F00576"/>
    <w:rsid w:val="65F77B57"/>
    <w:rsid w:val="65FE0EE5"/>
    <w:rsid w:val="660E0C06"/>
    <w:rsid w:val="6612673F"/>
    <w:rsid w:val="66193D37"/>
    <w:rsid w:val="662D3578"/>
    <w:rsid w:val="66320B8F"/>
    <w:rsid w:val="66383CCB"/>
    <w:rsid w:val="663A3EE7"/>
    <w:rsid w:val="663B05DB"/>
    <w:rsid w:val="664E34EF"/>
    <w:rsid w:val="66577B64"/>
    <w:rsid w:val="665E1984"/>
    <w:rsid w:val="665E1D68"/>
    <w:rsid w:val="665E7BD6"/>
    <w:rsid w:val="66695119"/>
    <w:rsid w:val="667264C2"/>
    <w:rsid w:val="66761E42"/>
    <w:rsid w:val="66772A46"/>
    <w:rsid w:val="667C1E0A"/>
    <w:rsid w:val="66800E54"/>
    <w:rsid w:val="668A4527"/>
    <w:rsid w:val="668E6345"/>
    <w:rsid w:val="668F5FE1"/>
    <w:rsid w:val="66911D59"/>
    <w:rsid w:val="66922040"/>
    <w:rsid w:val="66975874"/>
    <w:rsid w:val="66976C44"/>
    <w:rsid w:val="66AB0941"/>
    <w:rsid w:val="66AD68DD"/>
    <w:rsid w:val="66AF3A6A"/>
    <w:rsid w:val="66B772E6"/>
    <w:rsid w:val="66B9305E"/>
    <w:rsid w:val="66C8504F"/>
    <w:rsid w:val="66CA7019"/>
    <w:rsid w:val="66CC0FE3"/>
    <w:rsid w:val="66CF4630"/>
    <w:rsid w:val="66D509D6"/>
    <w:rsid w:val="66D54E9D"/>
    <w:rsid w:val="66D87988"/>
    <w:rsid w:val="66E212FE"/>
    <w:rsid w:val="66EC3434"/>
    <w:rsid w:val="66F66060"/>
    <w:rsid w:val="67024A05"/>
    <w:rsid w:val="67050051"/>
    <w:rsid w:val="670F2C7E"/>
    <w:rsid w:val="67144738"/>
    <w:rsid w:val="671604B0"/>
    <w:rsid w:val="67310DB4"/>
    <w:rsid w:val="673D3C8F"/>
    <w:rsid w:val="67452B44"/>
    <w:rsid w:val="67582877"/>
    <w:rsid w:val="675B29A9"/>
    <w:rsid w:val="675B59C3"/>
    <w:rsid w:val="677E1BB2"/>
    <w:rsid w:val="67836128"/>
    <w:rsid w:val="67851192"/>
    <w:rsid w:val="679A69EC"/>
    <w:rsid w:val="67A535E2"/>
    <w:rsid w:val="67A929B2"/>
    <w:rsid w:val="67AA29A7"/>
    <w:rsid w:val="67CC0B6F"/>
    <w:rsid w:val="67CD5013"/>
    <w:rsid w:val="67D77C40"/>
    <w:rsid w:val="67DC7089"/>
    <w:rsid w:val="67E81E4D"/>
    <w:rsid w:val="67F307F2"/>
    <w:rsid w:val="67F81964"/>
    <w:rsid w:val="67F86F62"/>
    <w:rsid w:val="67FB3E30"/>
    <w:rsid w:val="67FB4D9B"/>
    <w:rsid w:val="68024591"/>
    <w:rsid w:val="6804655B"/>
    <w:rsid w:val="680622D3"/>
    <w:rsid w:val="681F2A59"/>
    <w:rsid w:val="6821710D"/>
    <w:rsid w:val="682C160E"/>
    <w:rsid w:val="682E35D8"/>
    <w:rsid w:val="68307350"/>
    <w:rsid w:val="683805AF"/>
    <w:rsid w:val="68386205"/>
    <w:rsid w:val="68390E57"/>
    <w:rsid w:val="683E759B"/>
    <w:rsid w:val="685069F3"/>
    <w:rsid w:val="685272C6"/>
    <w:rsid w:val="68541290"/>
    <w:rsid w:val="68561AD9"/>
    <w:rsid w:val="685834A3"/>
    <w:rsid w:val="68677402"/>
    <w:rsid w:val="6873723D"/>
    <w:rsid w:val="68784853"/>
    <w:rsid w:val="687A681D"/>
    <w:rsid w:val="688651C2"/>
    <w:rsid w:val="689F6ABE"/>
    <w:rsid w:val="68AF4719"/>
    <w:rsid w:val="68B604D4"/>
    <w:rsid w:val="68B95597"/>
    <w:rsid w:val="68BB130F"/>
    <w:rsid w:val="68C606AA"/>
    <w:rsid w:val="68C877E1"/>
    <w:rsid w:val="68DE6DAC"/>
    <w:rsid w:val="68E00D76"/>
    <w:rsid w:val="68E60638"/>
    <w:rsid w:val="68EB3277"/>
    <w:rsid w:val="69006D22"/>
    <w:rsid w:val="69064A9A"/>
    <w:rsid w:val="690A194F"/>
    <w:rsid w:val="690A5DF3"/>
    <w:rsid w:val="690E109E"/>
    <w:rsid w:val="692B0A88"/>
    <w:rsid w:val="69320EA6"/>
    <w:rsid w:val="693C5C0C"/>
    <w:rsid w:val="69456E2B"/>
    <w:rsid w:val="69513281"/>
    <w:rsid w:val="6962178B"/>
    <w:rsid w:val="6973027C"/>
    <w:rsid w:val="69807E63"/>
    <w:rsid w:val="69890C49"/>
    <w:rsid w:val="69A2427D"/>
    <w:rsid w:val="69AE49D0"/>
    <w:rsid w:val="69B635F3"/>
    <w:rsid w:val="69B664BB"/>
    <w:rsid w:val="69B875FD"/>
    <w:rsid w:val="69D00DEB"/>
    <w:rsid w:val="69DD77FF"/>
    <w:rsid w:val="69E00902"/>
    <w:rsid w:val="69EA0B8E"/>
    <w:rsid w:val="69FC398E"/>
    <w:rsid w:val="69FD3262"/>
    <w:rsid w:val="6A024D1C"/>
    <w:rsid w:val="6A050368"/>
    <w:rsid w:val="6A06154D"/>
    <w:rsid w:val="6A06480C"/>
    <w:rsid w:val="6A0E546F"/>
    <w:rsid w:val="6A1938B8"/>
    <w:rsid w:val="6A1C5DDE"/>
    <w:rsid w:val="6A222CC8"/>
    <w:rsid w:val="6A25348F"/>
    <w:rsid w:val="6A2B2744"/>
    <w:rsid w:val="6A310DC4"/>
    <w:rsid w:val="6A3D3FA6"/>
    <w:rsid w:val="6A5135AE"/>
    <w:rsid w:val="6A5A4B58"/>
    <w:rsid w:val="6A5C442C"/>
    <w:rsid w:val="6A6B28C1"/>
    <w:rsid w:val="6A6F3CD8"/>
    <w:rsid w:val="6A762699"/>
    <w:rsid w:val="6A764BBA"/>
    <w:rsid w:val="6A793230"/>
    <w:rsid w:val="6A857262"/>
    <w:rsid w:val="6A8B6AC0"/>
    <w:rsid w:val="6A9040D6"/>
    <w:rsid w:val="6AB73D58"/>
    <w:rsid w:val="6ABA55F7"/>
    <w:rsid w:val="6AC072FD"/>
    <w:rsid w:val="6AC87D14"/>
    <w:rsid w:val="6ADA7BDA"/>
    <w:rsid w:val="6ADC556D"/>
    <w:rsid w:val="6ADF0BB9"/>
    <w:rsid w:val="6AF44665"/>
    <w:rsid w:val="6AFC528E"/>
    <w:rsid w:val="6AFD0277"/>
    <w:rsid w:val="6B07083C"/>
    <w:rsid w:val="6B131EAE"/>
    <w:rsid w:val="6B2748BC"/>
    <w:rsid w:val="6B2B377A"/>
    <w:rsid w:val="6B5319A0"/>
    <w:rsid w:val="6B607F4C"/>
    <w:rsid w:val="6B633598"/>
    <w:rsid w:val="6B680BAF"/>
    <w:rsid w:val="6B721A2E"/>
    <w:rsid w:val="6B740AAD"/>
    <w:rsid w:val="6B7E7E55"/>
    <w:rsid w:val="6B841E8D"/>
    <w:rsid w:val="6B87197D"/>
    <w:rsid w:val="6B8A321B"/>
    <w:rsid w:val="6B985938"/>
    <w:rsid w:val="6BB048D1"/>
    <w:rsid w:val="6BB40298"/>
    <w:rsid w:val="6BC15FEB"/>
    <w:rsid w:val="6BC95AF1"/>
    <w:rsid w:val="6BCA3618"/>
    <w:rsid w:val="6BD73FFC"/>
    <w:rsid w:val="6BE506F0"/>
    <w:rsid w:val="6BF032E7"/>
    <w:rsid w:val="6BF6440D"/>
    <w:rsid w:val="6BF84629"/>
    <w:rsid w:val="6BFD39ED"/>
    <w:rsid w:val="6C003F58"/>
    <w:rsid w:val="6C022DB1"/>
    <w:rsid w:val="6C044D7B"/>
    <w:rsid w:val="6C046B2A"/>
    <w:rsid w:val="6C0E1756"/>
    <w:rsid w:val="6C101972"/>
    <w:rsid w:val="6C2500A5"/>
    <w:rsid w:val="6C2D541C"/>
    <w:rsid w:val="6C387081"/>
    <w:rsid w:val="6C3E5F9D"/>
    <w:rsid w:val="6C4C48D3"/>
    <w:rsid w:val="6C501D6F"/>
    <w:rsid w:val="6C580C23"/>
    <w:rsid w:val="6C5D448C"/>
    <w:rsid w:val="6C710CE4"/>
    <w:rsid w:val="6C787517"/>
    <w:rsid w:val="6C7F4402"/>
    <w:rsid w:val="6C871509"/>
    <w:rsid w:val="6C9C1458"/>
    <w:rsid w:val="6CA351A2"/>
    <w:rsid w:val="6CAB3936"/>
    <w:rsid w:val="6CAE1D7A"/>
    <w:rsid w:val="6CC10EBE"/>
    <w:rsid w:val="6CC3152E"/>
    <w:rsid w:val="6CC94A75"/>
    <w:rsid w:val="6CCA7D73"/>
    <w:rsid w:val="6CCF01F4"/>
    <w:rsid w:val="6CDE7D58"/>
    <w:rsid w:val="6CE32BE3"/>
    <w:rsid w:val="6CE93F71"/>
    <w:rsid w:val="6CF941B4"/>
    <w:rsid w:val="6D033285"/>
    <w:rsid w:val="6D0D7C60"/>
    <w:rsid w:val="6D142D9C"/>
    <w:rsid w:val="6D143FFC"/>
    <w:rsid w:val="6D1E3C1B"/>
    <w:rsid w:val="6D1F1741"/>
    <w:rsid w:val="6D2D0302"/>
    <w:rsid w:val="6D321474"/>
    <w:rsid w:val="6D390A55"/>
    <w:rsid w:val="6D392803"/>
    <w:rsid w:val="6D397FE3"/>
    <w:rsid w:val="6D437B25"/>
    <w:rsid w:val="6D4833B1"/>
    <w:rsid w:val="6D4A0334"/>
    <w:rsid w:val="6D4B2536"/>
    <w:rsid w:val="6D4B4C6F"/>
    <w:rsid w:val="6D4C5D1C"/>
    <w:rsid w:val="6D543AE1"/>
    <w:rsid w:val="6D577633"/>
    <w:rsid w:val="6D657A9C"/>
    <w:rsid w:val="6D6D6950"/>
    <w:rsid w:val="6D7146EF"/>
    <w:rsid w:val="6D785A21"/>
    <w:rsid w:val="6D7B106D"/>
    <w:rsid w:val="6D7B2E1B"/>
    <w:rsid w:val="6D7E290C"/>
    <w:rsid w:val="6D806684"/>
    <w:rsid w:val="6D82064E"/>
    <w:rsid w:val="6D8223FC"/>
    <w:rsid w:val="6D832679"/>
    <w:rsid w:val="6D9B7202"/>
    <w:rsid w:val="6DA052CA"/>
    <w:rsid w:val="6DA32372"/>
    <w:rsid w:val="6DA45E41"/>
    <w:rsid w:val="6DAA7A57"/>
    <w:rsid w:val="6DB14A8F"/>
    <w:rsid w:val="6DB30807"/>
    <w:rsid w:val="6DBE53FE"/>
    <w:rsid w:val="6DC14B52"/>
    <w:rsid w:val="6DCE3893"/>
    <w:rsid w:val="6DD30EA9"/>
    <w:rsid w:val="6DE145C7"/>
    <w:rsid w:val="6DE36C13"/>
    <w:rsid w:val="6DEB48B4"/>
    <w:rsid w:val="6DF76B5E"/>
    <w:rsid w:val="6DFB21AE"/>
    <w:rsid w:val="6E053030"/>
    <w:rsid w:val="6E0E543E"/>
    <w:rsid w:val="6E0E5A3E"/>
    <w:rsid w:val="6E245261"/>
    <w:rsid w:val="6E25722B"/>
    <w:rsid w:val="6E2871D9"/>
    <w:rsid w:val="6E2B196D"/>
    <w:rsid w:val="6E475B03"/>
    <w:rsid w:val="6E55254C"/>
    <w:rsid w:val="6E587601"/>
    <w:rsid w:val="6E6733A0"/>
    <w:rsid w:val="6E7004A6"/>
    <w:rsid w:val="6E7F4B8D"/>
    <w:rsid w:val="6E804461"/>
    <w:rsid w:val="6E8B38FA"/>
    <w:rsid w:val="6E914B1E"/>
    <w:rsid w:val="6E95615F"/>
    <w:rsid w:val="6EA6211A"/>
    <w:rsid w:val="6EB505AF"/>
    <w:rsid w:val="6EB5235D"/>
    <w:rsid w:val="6EB82F70"/>
    <w:rsid w:val="6EB91995"/>
    <w:rsid w:val="6EC82EAB"/>
    <w:rsid w:val="6ECE1671"/>
    <w:rsid w:val="6ED528DE"/>
    <w:rsid w:val="6EDA6267"/>
    <w:rsid w:val="6EDD599B"/>
    <w:rsid w:val="6EF035FA"/>
    <w:rsid w:val="6EF410D7"/>
    <w:rsid w:val="6EF8049C"/>
    <w:rsid w:val="6EFF7A7C"/>
    <w:rsid w:val="6F0357BE"/>
    <w:rsid w:val="6F0528C7"/>
    <w:rsid w:val="6F063E1D"/>
    <w:rsid w:val="6F0E35BF"/>
    <w:rsid w:val="6F193D8B"/>
    <w:rsid w:val="6F215C44"/>
    <w:rsid w:val="6F3956F2"/>
    <w:rsid w:val="6F4B1580"/>
    <w:rsid w:val="6F4F2AF6"/>
    <w:rsid w:val="6F5002D8"/>
    <w:rsid w:val="6F6124E5"/>
    <w:rsid w:val="6F616041"/>
    <w:rsid w:val="6F7246F2"/>
    <w:rsid w:val="6F7C6F13"/>
    <w:rsid w:val="6F8166E3"/>
    <w:rsid w:val="6F8306AD"/>
    <w:rsid w:val="6F863CF9"/>
    <w:rsid w:val="6F906926"/>
    <w:rsid w:val="6F920790"/>
    <w:rsid w:val="6F976446"/>
    <w:rsid w:val="6F9C52CB"/>
    <w:rsid w:val="6F9D176F"/>
    <w:rsid w:val="6FA20CC6"/>
    <w:rsid w:val="6FA81EC2"/>
    <w:rsid w:val="6FAF14A2"/>
    <w:rsid w:val="6FAF3250"/>
    <w:rsid w:val="6FBB1BF5"/>
    <w:rsid w:val="6FC52A74"/>
    <w:rsid w:val="6FC54D1F"/>
    <w:rsid w:val="6FD24704"/>
    <w:rsid w:val="6FD66A2F"/>
    <w:rsid w:val="6FD9623E"/>
    <w:rsid w:val="6FDA3248"/>
    <w:rsid w:val="6FF15617"/>
    <w:rsid w:val="6FF34EB6"/>
    <w:rsid w:val="700F1E05"/>
    <w:rsid w:val="70187047"/>
    <w:rsid w:val="701B08E6"/>
    <w:rsid w:val="701B1947"/>
    <w:rsid w:val="701F03D6"/>
    <w:rsid w:val="70207CAA"/>
    <w:rsid w:val="70286ACF"/>
    <w:rsid w:val="702966B0"/>
    <w:rsid w:val="702E0A08"/>
    <w:rsid w:val="70336E0A"/>
    <w:rsid w:val="703419A7"/>
    <w:rsid w:val="70357BF9"/>
    <w:rsid w:val="704C0A9F"/>
    <w:rsid w:val="70521EB8"/>
    <w:rsid w:val="706202C3"/>
    <w:rsid w:val="70633312"/>
    <w:rsid w:val="706758D9"/>
    <w:rsid w:val="70784E31"/>
    <w:rsid w:val="70827991"/>
    <w:rsid w:val="70875F7B"/>
    <w:rsid w:val="70983CE4"/>
    <w:rsid w:val="709C1A26"/>
    <w:rsid w:val="70A02B99"/>
    <w:rsid w:val="70AB7161"/>
    <w:rsid w:val="70AD6993"/>
    <w:rsid w:val="70B159A0"/>
    <w:rsid w:val="70C611A2"/>
    <w:rsid w:val="70CD6084"/>
    <w:rsid w:val="70DF7B65"/>
    <w:rsid w:val="70E62CA2"/>
    <w:rsid w:val="7100515F"/>
    <w:rsid w:val="71035584"/>
    <w:rsid w:val="71066EA0"/>
    <w:rsid w:val="710A268A"/>
    <w:rsid w:val="710D566B"/>
    <w:rsid w:val="71107D1F"/>
    <w:rsid w:val="71193077"/>
    <w:rsid w:val="71211937"/>
    <w:rsid w:val="71215CF9"/>
    <w:rsid w:val="71233EF6"/>
    <w:rsid w:val="712A65A9"/>
    <w:rsid w:val="712F423E"/>
    <w:rsid w:val="71302A0B"/>
    <w:rsid w:val="7133147E"/>
    <w:rsid w:val="71520337"/>
    <w:rsid w:val="7164006A"/>
    <w:rsid w:val="7169742F"/>
    <w:rsid w:val="716F06CC"/>
    <w:rsid w:val="71752277"/>
    <w:rsid w:val="71862460"/>
    <w:rsid w:val="7188117E"/>
    <w:rsid w:val="718814E9"/>
    <w:rsid w:val="718B06DD"/>
    <w:rsid w:val="718F50E7"/>
    <w:rsid w:val="71921344"/>
    <w:rsid w:val="71924BD7"/>
    <w:rsid w:val="71995F66"/>
    <w:rsid w:val="719E357C"/>
    <w:rsid w:val="71A0296A"/>
    <w:rsid w:val="71A16BC9"/>
    <w:rsid w:val="71AA1F21"/>
    <w:rsid w:val="71B92164"/>
    <w:rsid w:val="71BA7C8A"/>
    <w:rsid w:val="71BF5F00"/>
    <w:rsid w:val="71C254BD"/>
    <w:rsid w:val="71C34D91"/>
    <w:rsid w:val="71D45469"/>
    <w:rsid w:val="71D7083C"/>
    <w:rsid w:val="71E11004"/>
    <w:rsid w:val="71E35433"/>
    <w:rsid w:val="71F86D8D"/>
    <w:rsid w:val="72071122"/>
    <w:rsid w:val="720E6D37"/>
    <w:rsid w:val="72103F0B"/>
    <w:rsid w:val="72161365"/>
    <w:rsid w:val="7218332F"/>
    <w:rsid w:val="721D0945"/>
    <w:rsid w:val="721D26F3"/>
    <w:rsid w:val="72356078"/>
    <w:rsid w:val="723637B5"/>
    <w:rsid w:val="724A3704"/>
    <w:rsid w:val="724A7260"/>
    <w:rsid w:val="725974A3"/>
    <w:rsid w:val="725E1E6F"/>
    <w:rsid w:val="72622489"/>
    <w:rsid w:val="726A345E"/>
    <w:rsid w:val="726A5CB0"/>
    <w:rsid w:val="726F6CC7"/>
    <w:rsid w:val="727147ED"/>
    <w:rsid w:val="727C25D2"/>
    <w:rsid w:val="72807126"/>
    <w:rsid w:val="728E1843"/>
    <w:rsid w:val="729D1A86"/>
    <w:rsid w:val="729F7563"/>
    <w:rsid w:val="72A46970"/>
    <w:rsid w:val="72A76461"/>
    <w:rsid w:val="72A9042B"/>
    <w:rsid w:val="72B8066E"/>
    <w:rsid w:val="72C25048"/>
    <w:rsid w:val="72C708B1"/>
    <w:rsid w:val="72D27981"/>
    <w:rsid w:val="72D60AF4"/>
    <w:rsid w:val="72DA4A88"/>
    <w:rsid w:val="72DF209E"/>
    <w:rsid w:val="72E72D01"/>
    <w:rsid w:val="72F53670"/>
    <w:rsid w:val="72FB055A"/>
    <w:rsid w:val="72FC67AC"/>
    <w:rsid w:val="73005B71"/>
    <w:rsid w:val="73012015"/>
    <w:rsid w:val="731E2BC7"/>
    <w:rsid w:val="731F249B"/>
    <w:rsid w:val="73244059"/>
    <w:rsid w:val="73261A7B"/>
    <w:rsid w:val="73437C7D"/>
    <w:rsid w:val="73441F01"/>
    <w:rsid w:val="734B0E16"/>
    <w:rsid w:val="73530396"/>
    <w:rsid w:val="73584B5D"/>
    <w:rsid w:val="73683E42"/>
    <w:rsid w:val="736F01C8"/>
    <w:rsid w:val="737E3665"/>
    <w:rsid w:val="73852C46"/>
    <w:rsid w:val="7389405E"/>
    <w:rsid w:val="738B7B30"/>
    <w:rsid w:val="7392114E"/>
    <w:rsid w:val="739629B5"/>
    <w:rsid w:val="73A429A0"/>
    <w:rsid w:val="73B40E35"/>
    <w:rsid w:val="73B576FE"/>
    <w:rsid w:val="73D43285"/>
    <w:rsid w:val="73DA1060"/>
    <w:rsid w:val="73DD6007"/>
    <w:rsid w:val="73DE1B39"/>
    <w:rsid w:val="73E13BF4"/>
    <w:rsid w:val="73E334C8"/>
    <w:rsid w:val="73E536E4"/>
    <w:rsid w:val="73E66D35"/>
    <w:rsid w:val="73E765D7"/>
    <w:rsid w:val="73E83A3D"/>
    <w:rsid w:val="73EF4563"/>
    <w:rsid w:val="73EF6311"/>
    <w:rsid w:val="74026044"/>
    <w:rsid w:val="740578E3"/>
    <w:rsid w:val="74122000"/>
    <w:rsid w:val="74145D78"/>
    <w:rsid w:val="741B0EB4"/>
    <w:rsid w:val="741C4C2C"/>
    <w:rsid w:val="74213B7A"/>
    <w:rsid w:val="74242EB5"/>
    <w:rsid w:val="74275AAB"/>
    <w:rsid w:val="74277859"/>
    <w:rsid w:val="743B3304"/>
    <w:rsid w:val="74453E7D"/>
    <w:rsid w:val="74486D25"/>
    <w:rsid w:val="74545312"/>
    <w:rsid w:val="7456013E"/>
    <w:rsid w:val="74602D6B"/>
    <w:rsid w:val="746A5998"/>
    <w:rsid w:val="747B1953"/>
    <w:rsid w:val="748341CE"/>
    <w:rsid w:val="748527D2"/>
    <w:rsid w:val="74861836"/>
    <w:rsid w:val="748D1686"/>
    <w:rsid w:val="749018A2"/>
    <w:rsid w:val="74A471E9"/>
    <w:rsid w:val="74AE7F7A"/>
    <w:rsid w:val="74B03CF2"/>
    <w:rsid w:val="74B044D9"/>
    <w:rsid w:val="74B135C7"/>
    <w:rsid w:val="74B27705"/>
    <w:rsid w:val="74B530B7"/>
    <w:rsid w:val="74B9224A"/>
    <w:rsid w:val="74D3178F"/>
    <w:rsid w:val="74DC4AE7"/>
    <w:rsid w:val="74F55BA9"/>
    <w:rsid w:val="74FA4F6E"/>
    <w:rsid w:val="74FB3AD9"/>
    <w:rsid w:val="74FC3388"/>
    <w:rsid w:val="751029E3"/>
    <w:rsid w:val="75134281"/>
    <w:rsid w:val="751853F4"/>
    <w:rsid w:val="7524023C"/>
    <w:rsid w:val="752709EC"/>
    <w:rsid w:val="752A42E0"/>
    <w:rsid w:val="7530273D"/>
    <w:rsid w:val="753D30AC"/>
    <w:rsid w:val="753E0AC3"/>
    <w:rsid w:val="75462AD0"/>
    <w:rsid w:val="75584D75"/>
    <w:rsid w:val="755C79D6"/>
    <w:rsid w:val="755F2CCE"/>
    <w:rsid w:val="75614FED"/>
    <w:rsid w:val="7564694C"/>
    <w:rsid w:val="7568637B"/>
    <w:rsid w:val="756920F3"/>
    <w:rsid w:val="756B7C19"/>
    <w:rsid w:val="75742F72"/>
    <w:rsid w:val="757F1917"/>
    <w:rsid w:val="758548A3"/>
    <w:rsid w:val="758A417A"/>
    <w:rsid w:val="758D1B00"/>
    <w:rsid w:val="75904EFE"/>
    <w:rsid w:val="75932CCC"/>
    <w:rsid w:val="75947170"/>
    <w:rsid w:val="759727BC"/>
    <w:rsid w:val="75A31161"/>
    <w:rsid w:val="75A57A7F"/>
    <w:rsid w:val="75B73335"/>
    <w:rsid w:val="75BF1D13"/>
    <w:rsid w:val="75C15A8B"/>
    <w:rsid w:val="75C37A55"/>
    <w:rsid w:val="75CB690A"/>
    <w:rsid w:val="75D03F20"/>
    <w:rsid w:val="75D339A9"/>
    <w:rsid w:val="75E43528"/>
    <w:rsid w:val="75E5175A"/>
    <w:rsid w:val="75FF09EF"/>
    <w:rsid w:val="7601057E"/>
    <w:rsid w:val="76067942"/>
    <w:rsid w:val="76085468"/>
    <w:rsid w:val="761C7166"/>
    <w:rsid w:val="76244623"/>
    <w:rsid w:val="76354AFB"/>
    <w:rsid w:val="76404C02"/>
    <w:rsid w:val="7651022E"/>
    <w:rsid w:val="765714FC"/>
    <w:rsid w:val="765B79F0"/>
    <w:rsid w:val="76684159"/>
    <w:rsid w:val="766B54D5"/>
    <w:rsid w:val="76725892"/>
    <w:rsid w:val="76796366"/>
    <w:rsid w:val="768076F4"/>
    <w:rsid w:val="76843C6D"/>
    <w:rsid w:val="7684414D"/>
    <w:rsid w:val="76902210"/>
    <w:rsid w:val="76957507"/>
    <w:rsid w:val="769C4061"/>
    <w:rsid w:val="769C647B"/>
    <w:rsid w:val="76A827A7"/>
    <w:rsid w:val="76AE6010"/>
    <w:rsid w:val="76BB2A9F"/>
    <w:rsid w:val="76C479BE"/>
    <w:rsid w:val="76D33CC8"/>
    <w:rsid w:val="76F115AC"/>
    <w:rsid w:val="770420D4"/>
    <w:rsid w:val="770C0F88"/>
    <w:rsid w:val="771340C5"/>
    <w:rsid w:val="771816DB"/>
    <w:rsid w:val="772868C8"/>
    <w:rsid w:val="77291B3A"/>
    <w:rsid w:val="77366005"/>
    <w:rsid w:val="773C7ABF"/>
    <w:rsid w:val="77471FC0"/>
    <w:rsid w:val="774B712C"/>
    <w:rsid w:val="774D6388"/>
    <w:rsid w:val="77536AA1"/>
    <w:rsid w:val="775D17E4"/>
    <w:rsid w:val="77604A22"/>
    <w:rsid w:val="7762504C"/>
    <w:rsid w:val="776A23CF"/>
    <w:rsid w:val="777C59E6"/>
    <w:rsid w:val="77846D70"/>
    <w:rsid w:val="77862AE9"/>
    <w:rsid w:val="778B7F90"/>
    <w:rsid w:val="779E42D6"/>
    <w:rsid w:val="77A967D7"/>
    <w:rsid w:val="77B42785"/>
    <w:rsid w:val="77B51620"/>
    <w:rsid w:val="77B75398"/>
    <w:rsid w:val="77D221D2"/>
    <w:rsid w:val="77DB72D8"/>
    <w:rsid w:val="77E26601"/>
    <w:rsid w:val="77E34AEE"/>
    <w:rsid w:val="77EA042F"/>
    <w:rsid w:val="77F42148"/>
    <w:rsid w:val="78191BAF"/>
    <w:rsid w:val="781969E4"/>
    <w:rsid w:val="782347DB"/>
    <w:rsid w:val="78257065"/>
    <w:rsid w:val="78342545"/>
    <w:rsid w:val="783B7D77"/>
    <w:rsid w:val="783E4068"/>
    <w:rsid w:val="784400DC"/>
    <w:rsid w:val="78527D35"/>
    <w:rsid w:val="785D50A4"/>
    <w:rsid w:val="78702F84"/>
    <w:rsid w:val="78746DE5"/>
    <w:rsid w:val="787943FB"/>
    <w:rsid w:val="788C2381"/>
    <w:rsid w:val="78970D25"/>
    <w:rsid w:val="789D2AE0"/>
    <w:rsid w:val="78A74AFF"/>
    <w:rsid w:val="78AA0A59"/>
    <w:rsid w:val="78AF42C1"/>
    <w:rsid w:val="78B561E6"/>
    <w:rsid w:val="78B611AB"/>
    <w:rsid w:val="78C22246"/>
    <w:rsid w:val="78CF6711"/>
    <w:rsid w:val="78D43D28"/>
    <w:rsid w:val="78E528CF"/>
    <w:rsid w:val="78F17B64"/>
    <w:rsid w:val="78F2662D"/>
    <w:rsid w:val="78F543CA"/>
    <w:rsid w:val="78F87A16"/>
    <w:rsid w:val="791B06F0"/>
    <w:rsid w:val="791E3C29"/>
    <w:rsid w:val="792425B9"/>
    <w:rsid w:val="7946222B"/>
    <w:rsid w:val="794B40FD"/>
    <w:rsid w:val="794E291D"/>
    <w:rsid w:val="7954769B"/>
    <w:rsid w:val="79586206"/>
    <w:rsid w:val="79592DE9"/>
    <w:rsid w:val="795A2FE3"/>
    <w:rsid w:val="795B1D53"/>
    <w:rsid w:val="796432FD"/>
    <w:rsid w:val="79766B8D"/>
    <w:rsid w:val="79780A9A"/>
    <w:rsid w:val="797846B3"/>
    <w:rsid w:val="797D5C14"/>
    <w:rsid w:val="797F5A41"/>
    <w:rsid w:val="79822FDC"/>
    <w:rsid w:val="798307E4"/>
    <w:rsid w:val="79956FF4"/>
    <w:rsid w:val="79975481"/>
    <w:rsid w:val="799C4845"/>
    <w:rsid w:val="79B24069"/>
    <w:rsid w:val="79B576B5"/>
    <w:rsid w:val="79C526F9"/>
    <w:rsid w:val="79CA6DF5"/>
    <w:rsid w:val="79CD5559"/>
    <w:rsid w:val="79D01C91"/>
    <w:rsid w:val="79D43F4C"/>
    <w:rsid w:val="79E63D12"/>
    <w:rsid w:val="79EE2BC7"/>
    <w:rsid w:val="7A044A59"/>
    <w:rsid w:val="7A1A1C0E"/>
    <w:rsid w:val="7A1C7734"/>
    <w:rsid w:val="7A2212BB"/>
    <w:rsid w:val="7A2B7977"/>
    <w:rsid w:val="7A304F8E"/>
    <w:rsid w:val="7A4647B1"/>
    <w:rsid w:val="7A4822D7"/>
    <w:rsid w:val="7A577676"/>
    <w:rsid w:val="7A590988"/>
    <w:rsid w:val="7A5F3E53"/>
    <w:rsid w:val="7A6108AF"/>
    <w:rsid w:val="7A686B51"/>
    <w:rsid w:val="7A721A4A"/>
    <w:rsid w:val="7A733303"/>
    <w:rsid w:val="7A765C22"/>
    <w:rsid w:val="7A7B08FF"/>
    <w:rsid w:val="7A8C22DE"/>
    <w:rsid w:val="7A8D418E"/>
    <w:rsid w:val="7A902BE2"/>
    <w:rsid w:val="7A97325F"/>
    <w:rsid w:val="7A9C2623"/>
    <w:rsid w:val="7AA8721A"/>
    <w:rsid w:val="7AC06C33"/>
    <w:rsid w:val="7AC1208A"/>
    <w:rsid w:val="7AC51B7A"/>
    <w:rsid w:val="7AC676A0"/>
    <w:rsid w:val="7AD14A54"/>
    <w:rsid w:val="7AD718AD"/>
    <w:rsid w:val="7AD93877"/>
    <w:rsid w:val="7AE7565F"/>
    <w:rsid w:val="7AF1296F"/>
    <w:rsid w:val="7AF1471D"/>
    <w:rsid w:val="7AF44659"/>
    <w:rsid w:val="7B0D0C43"/>
    <w:rsid w:val="7B191EC6"/>
    <w:rsid w:val="7B1E128A"/>
    <w:rsid w:val="7B2C1BF9"/>
    <w:rsid w:val="7B310FBD"/>
    <w:rsid w:val="7B3B1E3C"/>
    <w:rsid w:val="7B486307"/>
    <w:rsid w:val="7B5178B1"/>
    <w:rsid w:val="7B537186"/>
    <w:rsid w:val="7B66335D"/>
    <w:rsid w:val="7B672C31"/>
    <w:rsid w:val="7B6C0247"/>
    <w:rsid w:val="7B780CA4"/>
    <w:rsid w:val="7B964991"/>
    <w:rsid w:val="7B9E56C1"/>
    <w:rsid w:val="7BA41D74"/>
    <w:rsid w:val="7BBD0AA3"/>
    <w:rsid w:val="7BC97448"/>
    <w:rsid w:val="7BDD1145"/>
    <w:rsid w:val="7BE81FC4"/>
    <w:rsid w:val="7BF70459"/>
    <w:rsid w:val="7C070588"/>
    <w:rsid w:val="7C173D47"/>
    <w:rsid w:val="7C211032"/>
    <w:rsid w:val="7C3074C7"/>
    <w:rsid w:val="7C3A0345"/>
    <w:rsid w:val="7C405594"/>
    <w:rsid w:val="7C445F6B"/>
    <w:rsid w:val="7C5331B5"/>
    <w:rsid w:val="7C605FFE"/>
    <w:rsid w:val="7C701FB9"/>
    <w:rsid w:val="7C7349C3"/>
    <w:rsid w:val="7C743857"/>
    <w:rsid w:val="7C7C44BA"/>
    <w:rsid w:val="7C890695"/>
    <w:rsid w:val="7C8D66C7"/>
    <w:rsid w:val="7C9932BE"/>
    <w:rsid w:val="7CA32553"/>
    <w:rsid w:val="7CA57EB5"/>
    <w:rsid w:val="7CAD6D69"/>
    <w:rsid w:val="7CB974F6"/>
    <w:rsid w:val="7CBB12D3"/>
    <w:rsid w:val="7CC3658D"/>
    <w:rsid w:val="7CC540B3"/>
    <w:rsid w:val="7CD04806"/>
    <w:rsid w:val="7CD10CAA"/>
    <w:rsid w:val="7CE309DD"/>
    <w:rsid w:val="7CEA58C8"/>
    <w:rsid w:val="7CEF7382"/>
    <w:rsid w:val="7D006E99"/>
    <w:rsid w:val="7D1943FF"/>
    <w:rsid w:val="7D2C4132"/>
    <w:rsid w:val="7D2C5EE0"/>
    <w:rsid w:val="7D3354C1"/>
    <w:rsid w:val="7D420743"/>
    <w:rsid w:val="7D494673"/>
    <w:rsid w:val="7D494CE4"/>
    <w:rsid w:val="7D533877"/>
    <w:rsid w:val="7D60202E"/>
    <w:rsid w:val="7D662DD6"/>
    <w:rsid w:val="7D6A07B6"/>
    <w:rsid w:val="7D783146"/>
    <w:rsid w:val="7D7F5021"/>
    <w:rsid w:val="7D823D52"/>
    <w:rsid w:val="7D851A94"/>
    <w:rsid w:val="7D8D0136"/>
    <w:rsid w:val="7D9121E7"/>
    <w:rsid w:val="7D9942A1"/>
    <w:rsid w:val="7DB36601"/>
    <w:rsid w:val="7DBB1012"/>
    <w:rsid w:val="7DBB12D9"/>
    <w:rsid w:val="7DBB54B6"/>
    <w:rsid w:val="7DC720AD"/>
    <w:rsid w:val="7DC91981"/>
    <w:rsid w:val="7DCC01A6"/>
    <w:rsid w:val="7DE1316F"/>
    <w:rsid w:val="7DED1B13"/>
    <w:rsid w:val="7DEE13E8"/>
    <w:rsid w:val="7E0155BF"/>
    <w:rsid w:val="7E046E5D"/>
    <w:rsid w:val="7E1370A0"/>
    <w:rsid w:val="7E1A3D1F"/>
    <w:rsid w:val="7E1B6A4F"/>
    <w:rsid w:val="7E1C2C17"/>
    <w:rsid w:val="7E1D1CCD"/>
    <w:rsid w:val="7E1E2B8B"/>
    <w:rsid w:val="7E235535"/>
    <w:rsid w:val="7E263912"/>
    <w:rsid w:val="7E303B23"/>
    <w:rsid w:val="7E3643BE"/>
    <w:rsid w:val="7E391026"/>
    <w:rsid w:val="7E3F39F1"/>
    <w:rsid w:val="7E582D05"/>
    <w:rsid w:val="7E5C27F5"/>
    <w:rsid w:val="7E682F48"/>
    <w:rsid w:val="7E696CC0"/>
    <w:rsid w:val="7E6A0BFD"/>
    <w:rsid w:val="7E8A55B4"/>
    <w:rsid w:val="7E905802"/>
    <w:rsid w:val="7E92027A"/>
    <w:rsid w:val="7E9E4BBC"/>
    <w:rsid w:val="7EAA134C"/>
    <w:rsid w:val="7EAA3560"/>
    <w:rsid w:val="7EBA751C"/>
    <w:rsid w:val="7EBE0DBA"/>
    <w:rsid w:val="7ED50D87"/>
    <w:rsid w:val="7ED70103"/>
    <w:rsid w:val="7EDC3936"/>
    <w:rsid w:val="7EE43CD7"/>
    <w:rsid w:val="7EEE0C91"/>
    <w:rsid w:val="7EEF5417"/>
    <w:rsid w:val="7EFD1016"/>
    <w:rsid w:val="7F052E8D"/>
    <w:rsid w:val="7F0C421B"/>
    <w:rsid w:val="7F0C5FC9"/>
    <w:rsid w:val="7F2152AD"/>
    <w:rsid w:val="7F2C666B"/>
    <w:rsid w:val="7F2D5F40"/>
    <w:rsid w:val="7F477001"/>
    <w:rsid w:val="7F483017"/>
    <w:rsid w:val="7F4A4D43"/>
    <w:rsid w:val="7F4D0390"/>
    <w:rsid w:val="7F4D213E"/>
    <w:rsid w:val="7F536A74"/>
    <w:rsid w:val="7F547970"/>
    <w:rsid w:val="7F596D35"/>
    <w:rsid w:val="7F5E259D"/>
    <w:rsid w:val="7F6556D9"/>
    <w:rsid w:val="7F6A2CF0"/>
    <w:rsid w:val="7F737DF6"/>
    <w:rsid w:val="7F765B38"/>
    <w:rsid w:val="7F785976"/>
    <w:rsid w:val="7F7E49ED"/>
    <w:rsid w:val="7F963AE5"/>
    <w:rsid w:val="7FA84D2C"/>
    <w:rsid w:val="7FAC6709"/>
    <w:rsid w:val="7FAD404C"/>
    <w:rsid w:val="7FB126CD"/>
    <w:rsid w:val="7FB273CA"/>
    <w:rsid w:val="7FB83A5B"/>
    <w:rsid w:val="7FBF128D"/>
    <w:rsid w:val="7FC142EE"/>
    <w:rsid w:val="7FCA6162"/>
    <w:rsid w:val="7FD5285F"/>
    <w:rsid w:val="7FD868B2"/>
    <w:rsid w:val="7FDF36DE"/>
    <w:rsid w:val="7FE01204"/>
    <w:rsid w:val="7FF502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楷体_GB2312" w:hAnsi="楷体_GB2312" w:eastAsia="楷体_GB2312" w:cs="楷体_GB2312"/>
      <w:lang w:val="en-US" w:eastAsia="zh-CN" w:bidi="ar-SA"/>
    </w:rPr>
  </w:style>
  <w:style w:type="paragraph" w:styleId="3">
    <w:name w:val="heading 1"/>
    <w:basedOn w:val="1"/>
    <w:next w:val="1"/>
    <w:link w:val="38"/>
    <w:autoRedefine/>
    <w:qFormat/>
    <w:uiPriority w:val="0"/>
    <w:pPr>
      <w:keepNext/>
      <w:keepLines/>
      <w:numPr>
        <w:ilvl w:val="0"/>
        <w:numId w:val="1"/>
      </w:numPr>
      <w:spacing w:before="100" w:beforeLines="100"/>
      <w:ind w:firstLineChars="0"/>
      <w:jc w:val="center"/>
      <w:outlineLvl w:val="0"/>
    </w:pPr>
    <w:rPr>
      <w:rFonts w:ascii="宋体" w:hAnsi="宋体" w:eastAsia="宋体"/>
      <w:b/>
      <w:kern w:val="44"/>
      <w:sz w:val="30"/>
    </w:rPr>
  </w:style>
  <w:style w:type="paragraph" w:styleId="4">
    <w:name w:val="heading 2"/>
    <w:basedOn w:val="1"/>
    <w:next w:val="1"/>
    <w:link w:val="39"/>
    <w:autoRedefine/>
    <w:qFormat/>
    <w:uiPriority w:val="0"/>
    <w:pPr>
      <w:keepNext/>
      <w:keepLines/>
      <w:numPr>
        <w:ilvl w:val="1"/>
        <w:numId w:val="1"/>
      </w:numPr>
      <w:tabs>
        <w:tab w:val="left" w:pos="662"/>
      </w:tabs>
      <w:spacing w:before="100" w:beforeLines="100" w:after="100" w:afterLines="100"/>
      <w:ind w:firstLineChars="0"/>
      <w:jc w:val="center"/>
      <w:outlineLvl w:val="1"/>
    </w:pPr>
    <w:rPr>
      <w:rFonts w:eastAsia="宋体"/>
      <w:b/>
      <w:bCs/>
      <w:sz w:val="28"/>
      <w:szCs w:val="32"/>
    </w:rPr>
  </w:style>
  <w:style w:type="paragraph" w:styleId="5">
    <w:name w:val="heading 3"/>
    <w:basedOn w:val="1"/>
    <w:next w:val="6"/>
    <w:autoRedefine/>
    <w:qFormat/>
    <w:uiPriority w:val="0"/>
    <w:pPr>
      <w:keepNext/>
      <w:keepLines/>
      <w:numPr>
        <w:ilvl w:val="2"/>
        <w:numId w:val="2"/>
      </w:numPr>
      <w:tabs>
        <w:tab w:val="clear" w:pos="709"/>
      </w:tabs>
      <w:spacing w:line="240" w:lineRule="atLeast"/>
      <w:ind w:right="100" w:rightChars="100"/>
      <w:outlineLvl w:val="2"/>
    </w:pPr>
    <w:rPr>
      <w:b/>
      <w:bCs/>
      <w:sz w:val="24"/>
      <w:szCs w:val="32"/>
    </w:rPr>
  </w:style>
  <w:style w:type="paragraph" w:styleId="7">
    <w:name w:val="heading 4"/>
    <w:basedOn w:val="1"/>
    <w:next w:val="6"/>
    <w:autoRedefine/>
    <w:qFormat/>
    <w:uiPriority w:val="0"/>
    <w:pPr>
      <w:keepNext/>
      <w:keepLines/>
      <w:spacing w:before="280" w:after="290" w:line="376" w:lineRule="auto"/>
      <w:outlineLvl w:val="3"/>
    </w:pPr>
    <w:rPr>
      <w:b/>
      <w:bCs/>
      <w:sz w:val="28"/>
      <w:szCs w:val="28"/>
    </w:rPr>
  </w:style>
  <w:style w:type="paragraph" w:styleId="8">
    <w:name w:val="heading 5"/>
    <w:basedOn w:val="1"/>
    <w:next w:val="1"/>
    <w:autoRedefine/>
    <w:qFormat/>
    <w:uiPriority w:val="0"/>
    <w:pPr>
      <w:keepNext/>
      <w:keepLines/>
      <w:ind w:firstLine="480"/>
      <w:outlineLvl w:val="4"/>
    </w:pPr>
    <w:rPr>
      <w:bCs/>
      <w:szCs w:val="28"/>
    </w:rPr>
  </w:style>
  <w:style w:type="character" w:default="1" w:styleId="33">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0"/>
    <w:autoRedefine/>
    <w:qFormat/>
    <w:uiPriority w:val="1"/>
    <w:pPr>
      <w:spacing w:after="120"/>
    </w:pPr>
  </w:style>
  <w:style w:type="paragraph" w:customStyle="1" w:styleId="6">
    <w:name w:val="正文1"/>
    <w:basedOn w:val="1"/>
    <w:autoRedefine/>
    <w:qFormat/>
    <w:uiPriority w:val="0"/>
    <w:pPr>
      <w:spacing w:line="400" w:lineRule="exact"/>
      <w:ind w:firstLine="482"/>
    </w:pPr>
    <w:rPr>
      <w:rFonts w:ascii="Times New Roman" w:hAnsi="Times New Roman" w:eastAsia="宋体" w:cs="Times New Roman"/>
      <w:shd w:val="clear" w:color="auto" w:fill="FFFFFF"/>
    </w:rPr>
  </w:style>
  <w:style w:type="paragraph" w:styleId="9">
    <w:name w:val="toc 7"/>
    <w:basedOn w:val="1"/>
    <w:next w:val="1"/>
    <w:autoRedefine/>
    <w:unhideWhenUsed/>
    <w:qFormat/>
    <w:uiPriority w:val="39"/>
    <w:pPr>
      <w:spacing w:line="240" w:lineRule="auto"/>
      <w:ind w:left="2520" w:leftChars="1200" w:firstLine="0" w:firstLineChars="0"/>
    </w:pPr>
    <w:rPr>
      <w:rFonts w:ascii="等线" w:hAnsi="等线" w:eastAsia="等线" w:cs="Times New Roman"/>
      <w:kern w:val="2"/>
      <w:sz w:val="21"/>
      <w:szCs w:val="22"/>
    </w:rPr>
  </w:style>
  <w:style w:type="paragraph" w:styleId="10">
    <w:name w:val="Normal Indent"/>
    <w:basedOn w:val="1"/>
    <w:autoRedefine/>
    <w:qFormat/>
    <w:uiPriority w:val="0"/>
    <w:pPr>
      <w:ind w:firstLine="420"/>
    </w:pPr>
    <w:rPr>
      <w:sz w:val="30"/>
    </w:rPr>
  </w:style>
  <w:style w:type="paragraph" w:styleId="11">
    <w:name w:val="annotation text"/>
    <w:basedOn w:val="1"/>
    <w:autoRedefine/>
    <w:semiHidden/>
    <w:qFormat/>
    <w:uiPriority w:val="0"/>
    <w:pPr>
      <w:jc w:val="left"/>
    </w:pPr>
  </w:style>
  <w:style w:type="paragraph" w:styleId="12">
    <w:name w:val="Body Text Indent"/>
    <w:basedOn w:val="1"/>
    <w:autoRedefine/>
    <w:qFormat/>
    <w:uiPriority w:val="0"/>
    <w:pPr>
      <w:spacing w:after="120"/>
      <w:ind w:left="420" w:leftChars="200"/>
    </w:pPr>
  </w:style>
  <w:style w:type="paragraph" w:styleId="13">
    <w:name w:val="toc 5"/>
    <w:basedOn w:val="1"/>
    <w:next w:val="1"/>
    <w:autoRedefine/>
    <w:unhideWhenUsed/>
    <w:qFormat/>
    <w:uiPriority w:val="39"/>
    <w:pPr>
      <w:spacing w:line="240" w:lineRule="auto"/>
      <w:ind w:left="1680" w:leftChars="800" w:firstLine="0" w:firstLineChars="0"/>
    </w:pPr>
    <w:rPr>
      <w:rFonts w:ascii="等线" w:hAnsi="等线" w:eastAsia="等线" w:cs="Times New Roman"/>
      <w:kern w:val="2"/>
      <w:sz w:val="21"/>
      <w:szCs w:val="22"/>
    </w:rPr>
  </w:style>
  <w:style w:type="paragraph" w:styleId="14">
    <w:name w:val="toc 3"/>
    <w:basedOn w:val="1"/>
    <w:next w:val="1"/>
    <w:autoRedefine/>
    <w:qFormat/>
    <w:uiPriority w:val="39"/>
    <w:pPr>
      <w:ind w:left="840" w:leftChars="400"/>
    </w:pPr>
  </w:style>
  <w:style w:type="paragraph" w:styleId="15">
    <w:name w:val="Plain Text"/>
    <w:basedOn w:val="1"/>
    <w:autoRedefine/>
    <w:qFormat/>
    <w:uiPriority w:val="0"/>
  </w:style>
  <w:style w:type="paragraph" w:styleId="16">
    <w:name w:val="toc 8"/>
    <w:basedOn w:val="1"/>
    <w:next w:val="1"/>
    <w:autoRedefine/>
    <w:unhideWhenUsed/>
    <w:qFormat/>
    <w:uiPriority w:val="39"/>
    <w:pPr>
      <w:spacing w:line="240" w:lineRule="auto"/>
      <w:ind w:left="2940" w:leftChars="1400" w:firstLine="0" w:firstLineChars="0"/>
    </w:pPr>
    <w:rPr>
      <w:rFonts w:ascii="等线" w:hAnsi="等线" w:eastAsia="等线" w:cs="Times New Roman"/>
      <w:kern w:val="2"/>
      <w:sz w:val="21"/>
      <w:szCs w:val="22"/>
    </w:rPr>
  </w:style>
  <w:style w:type="paragraph" w:styleId="17">
    <w:name w:val="Balloon Text"/>
    <w:basedOn w:val="1"/>
    <w:link w:val="41"/>
    <w:autoRedefine/>
    <w:qFormat/>
    <w:uiPriority w:val="0"/>
    <w:pPr>
      <w:spacing w:line="240" w:lineRule="auto"/>
    </w:pPr>
    <w:rPr>
      <w:sz w:val="18"/>
      <w:szCs w:val="18"/>
    </w:rPr>
  </w:style>
  <w:style w:type="paragraph" w:styleId="18">
    <w:name w:val="footer"/>
    <w:basedOn w:val="1"/>
    <w:link w:val="42"/>
    <w:autoRedefine/>
    <w:qFormat/>
    <w:uiPriority w:val="99"/>
    <w:pPr>
      <w:tabs>
        <w:tab w:val="center" w:pos="4153"/>
        <w:tab w:val="right" w:pos="8306"/>
      </w:tabs>
      <w:snapToGrid w:val="0"/>
      <w:jc w:val="left"/>
    </w:pPr>
    <w:rPr>
      <w:sz w:val="18"/>
      <w:szCs w:val="18"/>
    </w:rPr>
  </w:style>
  <w:style w:type="paragraph" w:styleId="19">
    <w:name w:val="header"/>
    <w:basedOn w:val="1"/>
    <w:link w:val="43"/>
    <w:autoRedefine/>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4"/>
    <w:basedOn w:val="1"/>
    <w:next w:val="1"/>
    <w:autoRedefine/>
    <w:unhideWhenUsed/>
    <w:qFormat/>
    <w:uiPriority w:val="39"/>
    <w:pPr>
      <w:spacing w:line="240" w:lineRule="auto"/>
      <w:ind w:left="1260" w:leftChars="600" w:firstLine="0" w:firstLineChars="0"/>
    </w:pPr>
    <w:rPr>
      <w:rFonts w:ascii="等线" w:hAnsi="等线" w:eastAsia="等线" w:cs="Times New Roman"/>
      <w:kern w:val="2"/>
      <w:sz w:val="21"/>
      <w:szCs w:val="22"/>
    </w:rPr>
  </w:style>
  <w:style w:type="paragraph" w:styleId="22">
    <w:name w:val="toc 6"/>
    <w:basedOn w:val="1"/>
    <w:next w:val="1"/>
    <w:autoRedefine/>
    <w:unhideWhenUsed/>
    <w:qFormat/>
    <w:uiPriority w:val="39"/>
    <w:pPr>
      <w:spacing w:line="240" w:lineRule="auto"/>
      <w:ind w:left="2100" w:leftChars="1000" w:firstLine="0" w:firstLineChars="0"/>
    </w:pPr>
    <w:rPr>
      <w:rFonts w:ascii="等线" w:hAnsi="等线" w:eastAsia="等线" w:cs="Times New Roman"/>
      <w:kern w:val="2"/>
      <w:sz w:val="21"/>
      <w:szCs w:val="22"/>
    </w:rPr>
  </w:style>
  <w:style w:type="paragraph" w:styleId="23">
    <w:name w:val="Body Text Indent 3"/>
    <w:basedOn w:val="1"/>
    <w:autoRedefine/>
    <w:qFormat/>
    <w:uiPriority w:val="0"/>
    <w:pPr>
      <w:spacing w:after="120"/>
      <w:ind w:left="420" w:leftChars="200"/>
    </w:pPr>
    <w:rPr>
      <w:sz w:val="16"/>
      <w:szCs w:val="16"/>
    </w:rPr>
  </w:style>
  <w:style w:type="paragraph" w:styleId="24">
    <w:name w:val="toc 2"/>
    <w:basedOn w:val="1"/>
    <w:next w:val="1"/>
    <w:autoRedefine/>
    <w:qFormat/>
    <w:uiPriority w:val="39"/>
    <w:pPr>
      <w:ind w:left="420" w:leftChars="200"/>
    </w:pPr>
  </w:style>
  <w:style w:type="paragraph" w:styleId="25">
    <w:name w:val="toc 9"/>
    <w:basedOn w:val="1"/>
    <w:next w:val="1"/>
    <w:autoRedefine/>
    <w:unhideWhenUsed/>
    <w:qFormat/>
    <w:uiPriority w:val="39"/>
    <w:pPr>
      <w:spacing w:line="240" w:lineRule="auto"/>
      <w:ind w:left="3360" w:leftChars="1600" w:firstLine="0" w:firstLineChars="0"/>
    </w:pPr>
    <w:rPr>
      <w:rFonts w:ascii="等线" w:hAnsi="等线" w:eastAsia="等线" w:cs="Times New Roman"/>
      <w:kern w:val="2"/>
      <w:sz w:val="21"/>
      <w:szCs w:val="22"/>
    </w:rPr>
  </w:style>
  <w:style w:type="paragraph" w:styleId="26">
    <w:name w:val="Normal (Web)"/>
    <w:basedOn w:val="1"/>
    <w:autoRedefine/>
    <w:qFormat/>
    <w:uiPriority w:val="0"/>
    <w:pPr>
      <w:widowControl/>
      <w:spacing w:before="100" w:beforeAutospacing="1" w:after="100" w:afterAutospacing="1"/>
      <w:jc w:val="left"/>
    </w:pPr>
    <w:rPr>
      <w:sz w:val="24"/>
    </w:rPr>
  </w:style>
  <w:style w:type="paragraph" w:styleId="27">
    <w:name w:val="Title"/>
    <w:basedOn w:val="1"/>
    <w:next w:val="1"/>
    <w:link w:val="44"/>
    <w:autoRedefine/>
    <w:qFormat/>
    <w:uiPriority w:val="0"/>
    <w:pPr>
      <w:spacing w:before="240" w:after="60"/>
      <w:jc w:val="center"/>
      <w:outlineLvl w:val="0"/>
    </w:pPr>
    <w:rPr>
      <w:rFonts w:ascii="等线 Light" w:hAnsi="等线 Light" w:cs="Times New Roman"/>
      <w:b/>
      <w:bCs/>
      <w:sz w:val="32"/>
      <w:szCs w:val="32"/>
    </w:rPr>
  </w:style>
  <w:style w:type="paragraph" w:styleId="28">
    <w:name w:val="Body Text First Indent"/>
    <w:basedOn w:val="2"/>
    <w:autoRedefine/>
    <w:qFormat/>
    <w:uiPriority w:val="0"/>
    <w:pPr>
      <w:spacing w:after="0" w:line="360" w:lineRule="exact"/>
      <w:ind w:firstLine="454"/>
    </w:pPr>
  </w:style>
  <w:style w:type="table" w:styleId="30">
    <w:name w:val="Table Grid"/>
    <w:basedOn w:val="2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1">
    <w:name w:val="Table Theme"/>
    <w:basedOn w:val="29"/>
    <w:autoRedefine/>
    <w:qFormat/>
    <w:uiPriority w:val="0"/>
    <w:pPr>
      <w:widowControl w:val="0"/>
      <w:spacing w:line="360" w:lineRule="auto"/>
      <w:ind w:firstLine="6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2">
    <w:name w:val="Table Grid 1"/>
    <w:basedOn w:val="29"/>
    <w:autoRedefine/>
    <w:qFormat/>
    <w:uiPriority w:val="0"/>
    <w:pPr>
      <w:widowControl w:val="0"/>
      <w:spacing w:line="360" w:lineRule="auto"/>
      <w:ind w:firstLine="6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4">
    <w:name w:val="Strong"/>
    <w:autoRedefine/>
    <w:qFormat/>
    <w:uiPriority w:val="0"/>
    <w:rPr>
      <w:b/>
      <w:bCs/>
    </w:rPr>
  </w:style>
  <w:style w:type="character" w:styleId="35">
    <w:name w:val="page number"/>
    <w:autoRedefine/>
    <w:qFormat/>
    <w:uiPriority w:val="0"/>
  </w:style>
  <w:style w:type="character" w:styleId="36">
    <w:name w:val="Emphasis"/>
    <w:autoRedefine/>
    <w:qFormat/>
    <w:uiPriority w:val="20"/>
    <w:rPr>
      <w:i/>
    </w:rPr>
  </w:style>
  <w:style w:type="character" w:styleId="37">
    <w:name w:val="Hyperlink"/>
    <w:autoRedefine/>
    <w:qFormat/>
    <w:uiPriority w:val="99"/>
    <w:rPr>
      <w:color w:val="136EC2"/>
      <w:u w:val="single"/>
    </w:rPr>
  </w:style>
  <w:style w:type="character" w:customStyle="1" w:styleId="38">
    <w:name w:val="标题 1 Char"/>
    <w:link w:val="3"/>
    <w:autoRedefine/>
    <w:qFormat/>
    <w:uiPriority w:val="0"/>
    <w:rPr>
      <w:rFonts w:ascii="宋体" w:hAnsi="宋体" w:cs="楷体_GB2312"/>
      <w:b/>
      <w:kern w:val="44"/>
      <w:sz w:val="30"/>
    </w:rPr>
  </w:style>
  <w:style w:type="character" w:customStyle="1" w:styleId="39">
    <w:name w:val="标题 2 Char"/>
    <w:link w:val="4"/>
    <w:autoRedefine/>
    <w:qFormat/>
    <w:uiPriority w:val="0"/>
    <w:rPr>
      <w:rFonts w:ascii="楷体_GB2312" w:hAnsi="楷体_GB2312" w:cs="楷体_GB2312"/>
      <w:b/>
      <w:bCs/>
      <w:sz w:val="28"/>
      <w:szCs w:val="32"/>
    </w:rPr>
  </w:style>
  <w:style w:type="character" w:customStyle="1" w:styleId="40">
    <w:name w:val="正文文本 Char1"/>
    <w:link w:val="2"/>
    <w:autoRedefine/>
    <w:qFormat/>
    <w:uiPriority w:val="99"/>
    <w:rPr>
      <w:rFonts w:ascii="楷体_GB2312" w:hAnsi="楷体_GB2312"/>
      <w:kern w:val="2"/>
      <w:sz w:val="24"/>
      <w:szCs w:val="24"/>
    </w:rPr>
  </w:style>
  <w:style w:type="character" w:customStyle="1" w:styleId="41">
    <w:name w:val="批注框文本 Char"/>
    <w:link w:val="17"/>
    <w:autoRedefine/>
    <w:qFormat/>
    <w:uiPriority w:val="0"/>
    <w:rPr>
      <w:rFonts w:ascii="楷体_GB2312" w:hAnsi="楷体_GB2312"/>
      <w:kern w:val="2"/>
      <w:sz w:val="18"/>
      <w:szCs w:val="18"/>
    </w:rPr>
  </w:style>
  <w:style w:type="character" w:customStyle="1" w:styleId="42">
    <w:name w:val="页脚 Char"/>
    <w:link w:val="18"/>
    <w:autoRedefine/>
    <w:qFormat/>
    <w:uiPriority w:val="99"/>
    <w:rPr>
      <w:rFonts w:ascii="楷体_GB2312" w:hAnsi="楷体_GB2312"/>
      <w:kern w:val="2"/>
      <w:sz w:val="18"/>
      <w:szCs w:val="18"/>
    </w:rPr>
  </w:style>
  <w:style w:type="character" w:customStyle="1" w:styleId="43">
    <w:name w:val="页眉 Char"/>
    <w:link w:val="19"/>
    <w:autoRedefine/>
    <w:qFormat/>
    <w:uiPriority w:val="0"/>
    <w:rPr>
      <w:rFonts w:ascii="楷体_GB2312" w:hAnsi="楷体_GB2312"/>
      <w:kern w:val="2"/>
      <w:sz w:val="18"/>
      <w:szCs w:val="18"/>
    </w:rPr>
  </w:style>
  <w:style w:type="character" w:customStyle="1" w:styleId="44">
    <w:name w:val="标题 Char"/>
    <w:link w:val="27"/>
    <w:autoRedefine/>
    <w:qFormat/>
    <w:uiPriority w:val="0"/>
    <w:rPr>
      <w:rFonts w:ascii="等线 Light" w:hAnsi="等线 Light" w:eastAsia="宋体" w:cs="Times New Roman"/>
      <w:b/>
      <w:bCs/>
      <w:kern w:val="2"/>
      <w:sz w:val="32"/>
      <w:szCs w:val="32"/>
    </w:rPr>
  </w:style>
  <w:style w:type="paragraph" w:customStyle="1" w:styleId="45">
    <w:name w:val="Char"/>
    <w:basedOn w:val="1"/>
    <w:autoRedefine/>
    <w:qFormat/>
    <w:uiPriority w:val="0"/>
    <w:pPr>
      <w:widowControl/>
      <w:spacing w:after="160" w:line="240" w:lineRule="exact"/>
      <w:jc w:val="left"/>
    </w:pPr>
    <w:rPr>
      <w:lang w:eastAsia="en-US"/>
    </w:rPr>
  </w:style>
  <w:style w:type="character" w:customStyle="1" w:styleId="46">
    <w:name w:val="font11"/>
    <w:autoRedefine/>
    <w:qFormat/>
    <w:uiPriority w:val="0"/>
    <w:rPr>
      <w:rFonts w:hint="eastAsia" w:ascii="楷体_GB2312" w:hAnsi="楷体_GB2312" w:eastAsia="楷体_GB2312" w:cs="楷体_GB2312"/>
      <w:color w:val="000000"/>
      <w:sz w:val="28"/>
      <w:szCs w:val="28"/>
      <w:u w:val="none"/>
    </w:rPr>
  </w:style>
  <w:style w:type="character" w:customStyle="1" w:styleId="47">
    <w:name w:val="font21"/>
    <w:autoRedefine/>
    <w:qFormat/>
    <w:uiPriority w:val="0"/>
    <w:rPr>
      <w:rFonts w:hint="eastAsia" w:ascii="楷体_GB2312" w:hAnsi="楷体_GB2312" w:eastAsia="楷体_GB2312" w:cs="楷体_GB2312"/>
      <w:color w:val="000000"/>
      <w:sz w:val="21"/>
      <w:szCs w:val="21"/>
      <w:u w:val="none"/>
    </w:rPr>
  </w:style>
  <w:style w:type="character" w:customStyle="1" w:styleId="48">
    <w:name w:val="总规--正文 Char"/>
    <w:link w:val="49"/>
    <w:autoRedefine/>
    <w:qFormat/>
    <w:uiPriority w:val="0"/>
    <w:rPr>
      <w:rFonts w:hAnsi="楷体_GB2312" w:eastAsia="楷体_GB2312" w:cs="楷体_GB2312"/>
      <w:kern w:val="2"/>
      <w:sz w:val="24"/>
      <w:lang w:val="en-US" w:eastAsia="zh-CN" w:bidi="ar-SA"/>
    </w:rPr>
  </w:style>
  <w:style w:type="paragraph" w:customStyle="1" w:styleId="49">
    <w:name w:val="总规--正文"/>
    <w:basedOn w:val="1"/>
    <w:link w:val="48"/>
    <w:autoRedefine/>
    <w:qFormat/>
    <w:uiPriority w:val="0"/>
    <w:pPr>
      <w:ind w:firstLine="480"/>
    </w:pPr>
    <w:rPr>
      <w:sz w:val="24"/>
    </w:rPr>
  </w:style>
  <w:style w:type="paragraph" w:customStyle="1" w:styleId="50">
    <w:name w:val="_Style 2"/>
    <w:autoRedefine/>
    <w:qFormat/>
    <w:uiPriority w:val="1"/>
    <w:pPr>
      <w:widowControl w:val="0"/>
    </w:pPr>
    <w:rPr>
      <w:rFonts w:ascii="楷体_GB2312" w:hAnsi="楷体_GB2312" w:eastAsia="楷体_GB2312" w:cs="楷体_GB2312"/>
      <w:kern w:val="2"/>
      <w:sz w:val="24"/>
      <w:szCs w:val="22"/>
      <w:lang w:val="en-US" w:eastAsia="zh-CN" w:bidi="ar-SA"/>
    </w:rPr>
  </w:style>
  <w:style w:type="paragraph" w:customStyle="1" w:styleId="51">
    <w:name w:val="1"/>
    <w:basedOn w:val="1"/>
    <w:autoRedefine/>
    <w:qFormat/>
    <w:uiPriority w:val="0"/>
    <w:pPr>
      <w:keepNext/>
      <w:keepLines/>
      <w:numPr>
        <w:ilvl w:val="0"/>
        <w:numId w:val="2"/>
      </w:numPr>
      <w:spacing w:before="400" w:after="120" w:line="240" w:lineRule="atLeast"/>
      <w:ind w:right="100" w:rightChars="100"/>
      <w:outlineLvl w:val="0"/>
    </w:pPr>
    <w:rPr>
      <w:b/>
      <w:bCs/>
      <w:kern w:val="44"/>
      <w:sz w:val="84"/>
      <w:szCs w:val="84"/>
      <w14:shadow w14:blurRad="50800" w14:dist="38100" w14:dir="2700000" w14:sx="100000" w14:sy="100000" w14:kx="0" w14:ky="0" w14:algn="tl">
        <w14:srgbClr w14:val="000000">
          <w14:alpha w14:val="60000"/>
        </w14:srgbClr>
      </w14:shadow>
    </w:rPr>
  </w:style>
  <w:style w:type="paragraph" w:customStyle="1" w:styleId="52">
    <w:name w:val="Char Char Char Char1 Char Char Char Char Char Char Char"/>
    <w:basedOn w:val="1"/>
    <w:autoRedefine/>
    <w:qFormat/>
    <w:uiPriority w:val="0"/>
    <w:pPr>
      <w:widowControl/>
      <w:spacing w:after="160" w:line="240" w:lineRule="exact"/>
      <w:jc w:val="left"/>
    </w:pPr>
    <w:rPr>
      <w:sz w:val="24"/>
      <w:lang w:eastAsia="en-US"/>
    </w:rPr>
  </w:style>
  <w:style w:type="paragraph" w:customStyle="1" w:styleId="53">
    <w:name w:val="_Style 1"/>
    <w:autoRedefine/>
    <w:qFormat/>
    <w:uiPriority w:val="1"/>
    <w:pPr>
      <w:widowControl w:val="0"/>
    </w:pPr>
    <w:rPr>
      <w:rFonts w:ascii="楷体_GB2312" w:hAnsi="楷体_GB2312" w:eastAsia="楷体_GB2312" w:cs="楷体_GB2312"/>
      <w:kern w:val="2"/>
      <w:sz w:val="24"/>
      <w:szCs w:val="22"/>
      <w:lang w:val="en-US" w:eastAsia="zh-CN" w:bidi="ar-SA"/>
    </w:rPr>
  </w:style>
  <w:style w:type="paragraph" w:customStyle="1" w:styleId="54">
    <w:name w:val="文字1"/>
    <w:basedOn w:val="28"/>
    <w:autoRedefine/>
    <w:qFormat/>
    <w:uiPriority w:val="0"/>
    <w:pPr>
      <w:spacing w:line="180" w:lineRule="auto"/>
      <w:ind w:left="350" w:leftChars="350" w:firstLine="0"/>
    </w:pPr>
    <w:rPr>
      <w:sz w:val="24"/>
    </w:rPr>
  </w:style>
  <w:style w:type="paragraph" w:customStyle="1" w:styleId="55">
    <w:name w:val="样式 宋体 小四 段前: 23.4 磅 段后: 23.4 磅 行距: 1.5 倍行距1"/>
    <w:basedOn w:val="1"/>
    <w:autoRedefine/>
    <w:qFormat/>
    <w:uiPriority w:val="0"/>
    <w:pPr>
      <w:autoSpaceDN w:val="0"/>
      <w:spacing w:before="468" w:after="468"/>
    </w:pPr>
    <w:rPr>
      <w:sz w:val="24"/>
    </w:rPr>
  </w:style>
  <w:style w:type="paragraph" w:customStyle="1" w:styleId="56">
    <w:name w:val="图表名"/>
    <w:basedOn w:val="1"/>
    <w:autoRedefine/>
    <w:unhideWhenUsed/>
    <w:qFormat/>
    <w:uiPriority w:val="0"/>
    <w:pPr>
      <w:spacing w:before="156" w:beforeLines="50"/>
      <w:jc w:val="center"/>
    </w:pPr>
    <w:rPr>
      <w:b/>
      <w:szCs w:val="21"/>
    </w:rPr>
  </w:style>
  <w:style w:type="paragraph" w:customStyle="1" w:styleId="57">
    <w:name w:val="样式 标题 3 + 黑体 四号 首行缩进:  0.99 厘米"/>
    <w:basedOn w:val="5"/>
    <w:autoRedefine/>
    <w:qFormat/>
    <w:uiPriority w:val="0"/>
    <w:pPr>
      <w:tabs>
        <w:tab w:val="left" w:pos="709"/>
      </w:tabs>
      <w:spacing w:after="120" w:line="415" w:lineRule="auto"/>
      <w:ind w:firstLine="561"/>
    </w:pPr>
    <w:rPr>
      <w:sz w:val="28"/>
      <w:szCs w:val="20"/>
    </w:rPr>
  </w:style>
  <w:style w:type="paragraph" w:customStyle="1" w:styleId="58">
    <w:name w:val="正文用"/>
    <w:basedOn w:val="1"/>
    <w:autoRedefine/>
    <w:qFormat/>
    <w:uiPriority w:val="0"/>
    <w:pPr>
      <w:ind w:firstLine="480"/>
    </w:pPr>
    <w:rPr>
      <w:kern w:val="2"/>
      <w:sz w:val="24"/>
    </w:rPr>
  </w:style>
  <w:style w:type="paragraph" w:customStyle="1" w:styleId="59">
    <w:name w:val="Table Paragraph"/>
    <w:basedOn w:val="1"/>
    <w:autoRedefine/>
    <w:qFormat/>
    <w:uiPriority w:val="1"/>
  </w:style>
  <w:style w:type="paragraph" w:customStyle="1" w:styleId="60">
    <w:name w:val="样式 标题 3Char Char + 右侧:  1 字符"/>
    <w:basedOn w:val="5"/>
    <w:autoRedefine/>
    <w:qFormat/>
    <w:uiPriority w:val="0"/>
    <w:pPr>
      <w:tabs>
        <w:tab w:val="left" w:pos="709"/>
      </w:tabs>
      <w:ind w:right="0" w:rightChars="0"/>
    </w:pPr>
    <w:rPr>
      <w:szCs w:val="20"/>
    </w:rPr>
  </w:style>
  <w:style w:type="paragraph" w:customStyle="1" w:styleId="61">
    <w:name w:val="列出段落1"/>
    <w:basedOn w:val="1"/>
    <w:autoRedefine/>
    <w:unhideWhenUsed/>
    <w:qFormat/>
    <w:uiPriority w:val="0"/>
    <w:pPr>
      <w:ind w:firstLine="420"/>
    </w:pPr>
    <w:rPr>
      <w:szCs w:val="24"/>
    </w:rPr>
  </w:style>
  <w:style w:type="paragraph" w:customStyle="1" w:styleId="62">
    <w:name w:val="表格内"/>
    <w:basedOn w:val="1"/>
    <w:autoRedefine/>
    <w:qFormat/>
    <w:uiPriority w:val="0"/>
    <w:rPr>
      <w:szCs w:val="18"/>
    </w:rPr>
  </w:style>
  <w:style w:type="paragraph" w:customStyle="1" w:styleId="63">
    <w:name w:val="正文 首缩"/>
    <w:basedOn w:val="1"/>
    <w:autoRedefine/>
    <w:unhideWhenUsed/>
    <w:qFormat/>
    <w:uiPriority w:val="0"/>
    <w:pPr>
      <w:ind w:firstLine="480"/>
    </w:pPr>
    <w:rPr>
      <w:sz w:val="24"/>
      <w:szCs w:val="24"/>
    </w:rPr>
  </w:style>
  <w:style w:type="paragraph" w:customStyle="1" w:styleId="64">
    <w:name w:val="表格标题"/>
    <w:basedOn w:val="1"/>
    <w:autoRedefine/>
    <w:qFormat/>
    <w:uiPriority w:val="0"/>
    <w:pPr>
      <w:tabs>
        <w:tab w:val="left" w:pos="12720"/>
      </w:tabs>
      <w:ind w:firstLine="480"/>
      <w:jc w:val="center"/>
    </w:pPr>
    <w:rPr>
      <w:rFonts w:hint="eastAsia"/>
    </w:rPr>
  </w:style>
  <w:style w:type="character" w:customStyle="1" w:styleId="65">
    <w:name w:val="_Style 64"/>
    <w:autoRedefine/>
    <w:unhideWhenUsed/>
    <w:qFormat/>
    <w:uiPriority w:val="99"/>
    <w:rPr>
      <w:color w:val="605E5C"/>
      <w:shd w:val="clear" w:color="auto" w:fill="E1DFDD"/>
    </w:rPr>
  </w:style>
  <w:style w:type="paragraph" w:customStyle="1" w:styleId="66">
    <w:name w:val="Default"/>
    <w:autoRedefine/>
    <w:qFormat/>
    <w:uiPriority w:val="0"/>
    <w:pPr>
      <w:widowControl w:val="0"/>
      <w:autoSpaceDE w:val="0"/>
      <w:autoSpaceDN w:val="0"/>
      <w:adjustRightInd w:val="0"/>
    </w:pPr>
    <w:rPr>
      <w:rFonts w:ascii="楷体_GB2312" w:hAnsi="楷体_GB2312" w:eastAsia="楷体_GB2312" w:cs="楷体_GB2312"/>
      <w:color w:val="000000"/>
      <w:sz w:val="24"/>
      <w:szCs w:val="24"/>
      <w:lang w:val="en-US" w:eastAsia="zh-CN" w:bidi="ar-SA"/>
    </w:rPr>
  </w:style>
  <w:style w:type="character" w:customStyle="1" w:styleId="67">
    <w:name w:val="样式 bx正文 + 小四 Char"/>
    <w:link w:val="68"/>
    <w:autoRedefine/>
    <w:qFormat/>
    <w:uiPriority w:val="0"/>
    <w:rPr>
      <w:rFonts w:ascii="楷体_GB2312" w:hAnsi="楷体_GB2312"/>
      <w:color w:val="008000"/>
      <w:kern w:val="2"/>
      <w:sz w:val="24"/>
      <w:szCs w:val="21"/>
    </w:rPr>
  </w:style>
  <w:style w:type="paragraph" w:customStyle="1" w:styleId="68">
    <w:name w:val="样式 bx正文 + 小四"/>
    <w:basedOn w:val="1"/>
    <w:link w:val="67"/>
    <w:autoRedefine/>
    <w:qFormat/>
    <w:uiPriority w:val="0"/>
    <w:pPr>
      <w:adjustRightInd w:val="0"/>
      <w:snapToGrid w:val="0"/>
      <w:spacing w:after="100" w:afterAutospacing="1" w:line="240" w:lineRule="auto"/>
      <w:outlineLvl w:val="2"/>
    </w:pPr>
    <w:rPr>
      <w:color w:val="008000"/>
      <w:szCs w:val="21"/>
    </w:rPr>
  </w:style>
  <w:style w:type="character" w:customStyle="1" w:styleId="69">
    <w:name w:val="正文文本 Char"/>
    <w:autoRedefine/>
    <w:semiHidden/>
    <w:qFormat/>
    <w:uiPriority w:val="1"/>
    <w:rPr>
      <w:kern w:val="2"/>
      <w:sz w:val="24"/>
      <w:szCs w:val="24"/>
    </w:rPr>
  </w:style>
  <w:style w:type="paragraph" w:customStyle="1" w:styleId="70">
    <w:name w:val="标准文件_二级条标题"/>
    <w:next w:val="1"/>
    <w:autoRedefine/>
    <w:qFormat/>
    <w:uiPriority w:val="0"/>
    <w:pPr>
      <w:widowControl w:val="0"/>
      <w:numPr>
        <w:ilvl w:val="3"/>
        <w:numId w:val="3"/>
      </w:numPr>
      <w:spacing w:beforeLines="50" w:afterLines="50"/>
      <w:jc w:val="both"/>
      <w:outlineLvl w:val="2"/>
    </w:pPr>
    <w:rPr>
      <w:rFonts w:ascii="黑体" w:hAnsi="Times New Roman" w:eastAsia="黑体" w:cs="Times New Roman"/>
      <w:sz w:val="21"/>
      <w:lang w:val="en-US" w:eastAsia="zh-CN" w:bidi="ar-SA"/>
    </w:rPr>
  </w:style>
  <w:style w:type="paragraph" w:customStyle="1" w:styleId="71">
    <w:name w:val="标准文件_三级条标题"/>
    <w:basedOn w:val="70"/>
    <w:next w:val="1"/>
    <w:autoRedefine/>
    <w:qFormat/>
    <w:uiPriority w:val="0"/>
    <w:pPr>
      <w:widowControl/>
      <w:numPr>
        <w:ilvl w:val="4"/>
      </w:numPr>
      <w:outlineLvl w:val="3"/>
    </w:pPr>
  </w:style>
  <w:style w:type="paragraph" w:customStyle="1" w:styleId="72">
    <w:name w:val="标准文件_四级条标题"/>
    <w:next w:val="1"/>
    <w:autoRedefine/>
    <w:qFormat/>
    <w:uiPriority w:val="0"/>
    <w:pPr>
      <w:widowControl w:val="0"/>
      <w:numPr>
        <w:ilvl w:val="5"/>
        <w:numId w:val="3"/>
      </w:numPr>
      <w:spacing w:beforeLines="50" w:afterLines="50"/>
      <w:jc w:val="both"/>
      <w:outlineLvl w:val="4"/>
    </w:pPr>
    <w:rPr>
      <w:rFonts w:ascii="黑体" w:hAnsi="Times New Roman" w:eastAsia="黑体" w:cs="Times New Roman"/>
      <w:sz w:val="21"/>
      <w:lang w:val="en-US" w:eastAsia="zh-CN" w:bidi="ar-SA"/>
    </w:rPr>
  </w:style>
  <w:style w:type="paragraph" w:customStyle="1" w:styleId="73">
    <w:name w:val="标准文件_五级条标题"/>
    <w:next w:val="1"/>
    <w:autoRedefine/>
    <w:qFormat/>
    <w:uiPriority w:val="0"/>
    <w:pPr>
      <w:widowControl w:val="0"/>
      <w:numPr>
        <w:ilvl w:val="6"/>
        <w:numId w:val="3"/>
      </w:numPr>
      <w:spacing w:beforeLines="50" w:afterLines="50"/>
      <w:jc w:val="both"/>
      <w:outlineLvl w:val="5"/>
    </w:pPr>
    <w:rPr>
      <w:rFonts w:ascii="黑体" w:hAnsi="Times New Roman" w:eastAsia="黑体" w:cs="Times New Roman"/>
      <w:sz w:val="21"/>
      <w:lang w:val="en-US" w:eastAsia="zh-CN" w:bidi="ar-SA"/>
    </w:rPr>
  </w:style>
  <w:style w:type="paragraph" w:customStyle="1" w:styleId="74">
    <w:name w:val="标准文件_章标题"/>
    <w:next w:val="1"/>
    <w:autoRedefine/>
    <w:qFormat/>
    <w:uiPriority w:val="0"/>
    <w:pPr>
      <w:numPr>
        <w:ilvl w:val="1"/>
        <w:numId w:val="3"/>
      </w:numPr>
      <w:spacing w:beforeLines="100" w:afterLines="100"/>
      <w:jc w:val="both"/>
      <w:outlineLvl w:val="0"/>
    </w:pPr>
    <w:rPr>
      <w:rFonts w:ascii="黑体" w:hAnsi="Times New Roman" w:eastAsia="黑体" w:cs="Times New Roman"/>
      <w:sz w:val="21"/>
      <w:lang w:val="en-US" w:eastAsia="zh-CN" w:bidi="ar-SA"/>
    </w:rPr>
  </w:style>
  <w:style w:type="paragraph" w:customStyle="1" w:styleId="75">
    <w:name w:val="标准文件_一级条标题"/>
    <w:basedOn w:val="74"/>
    <w:next w:val="1"/>
    <w:autoRedefine/>
    <w:qFormat/>
    <w:uiPriority w:val="0"/>
    <w:pPr>
      <w:numPr>
        <w:ilvl w:val="2"/>
      </w:numPr>
      <w:spacing w:beforeLines="50" w:afterLines="50"/>
      <w:outlineLvl w:val="1"/>
    </w:pPr>
  </w:style>
  <w:style w:type="paragraph" w:customStyle="1" w:styleId="76">
    <w:name w:val="前言标题"/>
    <w:next w:val="1"/>
    <w:autoRedefine/>
    <w:qFormat/>
    <w:uiPriority w:val="0"/>
    <w:pPr>
      <w:numPr>
        <w:ilvl w:val="0"/>
        <w:numId w:val="3"/>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77">
    <w:name w:val="标准文件_注："/>
    <w:next w:val="1"/>
    <w:autoRedefine/>
    <w:qFormat/>
    <w:uiPriority w:val="0"/>
    <w:pPr>
      <w:widowControl w:val="0"/>
      <w:numPr>
        <w:ilvl w:val="0"/>
        <w:numId w:val="4"/>
      </w:numPr>
      <w:autoSpaceDE w:val="0"/>
      <w:autoSpaceDN w:val="0"/>
      <w:jc w:val="both"/>
    </w:pPr>
    <w:rPr>
      <w:rFonts w:ascii="宋体" w:hAnsi="Times New Roman" w:eastAsia="宋体" w:cs="Times New Roman"/>
      <w:sz w:val="18"/>
      <w:szCs w:val="18"/>
      <w:lang w:val="en-US" w:eastAsia="zh-CN" w:bidi="ar-SA"/>
    </w:rPr>
  </w:style>
  <w:style w:type="paragraph" w:customStyle="1" w:styleId="78">
    <w:name w:val="标准文件_附录表标题"/>
    <w:next w:val="1"/>
    <w:autoRedefine/>
    <w:qFormat/>
    <w:uiPriority w:val="0"/>
    <w:pPr>
      <w:numPr>
        <w:ilvl w:val="1"/>
        <w:numId w:val="5"/>
      </w:numPr>
      <w:adjustRightInd w:val="0"/>
      <w:snapToGrid w:val="0"/>
      <w:spacing w:beforeLines="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注×："/>
    <w:autoRedefine/>
    <w:qFormat/>
    <w:uiPriority w:val="0"/>
    <w:pPr>
      <w:widowControl w:val="0"/>
      <w:numPr>
        <w:ilvl w:val="0"/>
        <w:numId w:val="6"/>
      </w:numPr>
      <w:autoSpaceDE w:val="0"/>
      <w:autoSpaceDN w:val="0"/>
      <w:jc w:val="both"/>
    </w:pPr>
    <w:rPr>
      <w:rFonts w:ascii="宋体" w:hAnsi="Times New Roman" w:eastAsia="宋体" w:cs="Times New Roman"/>
      <w:sz w:val="18"/>
      <w:szCs w:val="18"/>
      <w:lang w:val="en-US" w:eastAsia="zh-CN" w:bidi="ar-SA"/>
    </w:rPr>
  </w:style>
  <w:style w:type="paragraph" w:customStyle="1" w:styleId="80">
    <w:name w:val="标准文件_附录表标号"/>
    <w:basedOn w:val="1"/>
    <w:next w:val="1"/>
    <w:autoRedefine/>
    <w:qFormat/>
    <w:uiPriority w:val="0"/>
    <w:pPr>
      <w:widowControl/>
      <w:numPr>
        <w:ilvl w:val="0"/>
        <w:numId w:val="5"/>
      </w:numPr>
      <w:autoSpaceDE w:val="0"/>
      <w:autoSpaceDN w:val="0"/>
      <w:spacing w:line="14" w:lineRule="exact"/>
      <w:ind w:firstLine="0" w:firstLineChars="0"/>
      <w:jc w:val="center"/>
    </w:pPr>
    <w:rPr>
      <w:rFonts w:hAnsi="Times New Roman" w:eastAsia="黑体" w:cs="Times New Roman"/>
      <w:vanish/>
      <w:sz w:val="2"/>
    </w:rPr>
  </w:style>
  <w:style w:type="table" w:customStyle="1" w:styleId="81">
    <w:name w:val="Table Normal"/>
    <w:autoRedefine/>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paragraph" w:customStyle="1" w:styleId="82">
    <w:name w:val="TD表格"/>
    <w:basedOn w:val="1"/>
    <w:autoRedefine/>
    <w:qFormat/>
    <w:uiPriority w:val="99"/>
    <w:pPr>
      <w:spacing w:line="240" w:lineRule="exact"/>
      <w:ind w:firstLine="0" w:firstLineChars="0"/>
      <w:jc w:val="center"/>
    </w:pPr>
    <w:rPr>
      <w:rFonts w:eastAsia="华文中宋"/>
      <w:sz w:val="24"/>
    </w:rPr>
  </w:style>
  <w:style w:type="paragraph" w:customStyle="1" w:styleId="83">
    <w:name w:val="WPSOffice手动目录 1"/>
    <w:autoRedefine/>
    <w:qFormat/>
    <w:uiPriority w:val="0"/>
    <w:rPr>
      <w:rFonts w:ascii="楷体_GB2312" w:hAnsi="楷体_GB2312" w:eastAsia="楷体_GB2312" w:cs="楷体_GB2312"/>
      <w:lang w:val="en-US" w:eastAsia="zh-CN" w:bidi="ar-SA"/>
    </w:rPr>
  </w:style>
  <w:style w:type="paragraph" w:customStyle="1" w:styleId="84">
    <w:name w:val="WPSOffice手动目录 2"/>
    <w:autoRedefine/>
    <w:qFormat/>
    <w:uiPriority w:val="0"/>
    <w:pPr>
      <w:ind w:left="200" w:leftChars="200"/>
    </w:pPr>
    <w:rPr>
      <w:rFonts w:ascii="楷体_GB2312" w:hAnsi="楷体_GB2312" w:eastAsia="楷体_GB2312" w:cs="楷体_GB2312"/>
      <w:lang w:val="en-US" w:eastAsia="zh-CN" w:bidi="ar-SA"/>
    </w:rPr>
  </w:style>
  <w:style w:type="paragraph" w:customStyle="1" w:styleId="85">
    <w:name w:val="_Style 84"/>
    <w:basedOn w:val="3"/>
    <w:next w:val="1"/>
    <w:autoRedefine/>
    <w:unhideWhenUsed/>
    <w:qFormat/>
    <w:uiPriority w:val="39"/>
    <w:pPr>
      <w:widowControl/>
      <w:numPr>
        <w:numId w:val="0"/>
      </w:numPr>
      <w:spacing w:before="240" w:beforeLines="0" w:line="259" w:lineRule="auto"/>
      <w:jc w:val="left"/>
      <w:outlineLvl w:val="9"/>
    </w:pPr>
    <w:rPr>
      <w:rFonts w:ascii="等线 Light" w:hAnsi="等线 Light" w:eastAsia="等线 Light" w:cs="Times New Roman"/>
      <w:b w:val="0"/>
      <w:color w:val="2F5496"/>
      <w:kern w:val="0"/>
      <w:sz w:val="32"/>
      <w:szCs w:val="32"/>
    </w:rPr>
  </w:style>
  <w:style w:type="paragraph" w:customStyle="1" w:styleId="86">
    <w:name w:val="样式1"/>
    <w:basedOn w:val="1"/>
    <w:link w:val="87"/>
    <w:autoRedefine/>
    <w:qFormat/>
    <w:uiPriority w:val="0"/>
    <w:pPr>
      <w:numPr>
        <w:ilvl w:val="0"/>
        <w:numId w:val="7"/>
      </w:numPr>
      <w:spacing w:before="163" w:beforeLines="50" w:after="163" w:afterLines="50"/>
      <w:ind w:firstLineChars="0"/>
      <w:outlineLvl w:val="1"/>
    </w:pPr>
    <w:rPr>
      <w:rFonts w:ascii="楷体" w:hAnsi="楷体" w:eastAsia="楷体"/>
      <w:color w:val="000000"/>
      <w:sz w:val="32"/>
      <w:szCs w:val="32"/>
    </w:rPr>
  </w:style>
  <w:style w:type="character" w:customStyle="1" w:styleId="87">
    <w:name w:val="样式1 字符"/>
    <w:link w:val="86"/>
    <w:autoRedefine/>
    <w:qFormat/>
    <w:uiPriority w:val="0"/>
    <w:rPr>
      <w:rFonts w:ascii="楷体" w:hAnsi="楷体" w:eastAsia="楷体" w:cs="楷体_GB2312"/>
      <w:color w:val="000000"/>
      <w:sz w:val="32"/>
      <w:szCs w:val="32"/>
    </w:rPr>
  </w:style>
  <w:style w:type="paragraph" w:customStyle="1" w:styleId="88">
    <w:name w:val="第一章"/>
    <w:basedOn w:val="3"/>
    <w:qFormat/>
    <w:uiPriority w:val="0"/>
    <w:pPr>
      <w:numPr>
        <w:numId w:val="0"/>
      </w:numPr>
      <w:spacing w:before="326" w:after="326" w:afterLines="100"/>
    </w:pPr>
    <w:rPr>
      <w:rFonts w:ascii="方正小标宋简体" w:eastAsia="方正小标宋简体" w:cs="Times New Roman"/>
      <w:b w:val="0"/>
      <w:color w:val="000000"/>
      <w:sz w:val="36"/>
      <w:szCs w:val="3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34</Pages>
  <Words>10709</Words>
  <Characters>11147</Characters>
  <Lines>80</Lines>
  <Paragraphs>22</Paragraphs>
  <TotalTime>73</TotalTime>
  <ScaleCrop>false</ScaleCrop>
  <LinksUpToDate>false</LinksUpToDate>
  <CharactersWithSpaces>11152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2025-05-09T02:36:00Z</dcterms:created>
  <dc:creator>微软用户</dc:creator>
  <cp:lastModifiedBy>一个大橙子</cp:lastModifiedBy>
  <cp:lastPrinted>2011-04-13T06:21:00Z</cp:lastPrinted>
  <dcterms:modified xsi:type="dcterms:W3CDTF">2025-11-24T07:10:02Z</dcterms:modified>
  <dc:title>将昆仑镇放在市级中心镇的高度去考虑，要考虑三个乡镇合并的合力，需要从城乡统筹、城乡一体化角度分析，同时要考虑张博路附线、张博路控规对于整个规划区域的影响，轻轨的进一步规划，孝妇河治理与水系的整体布局，产业聚集区的布局，</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SaveFontToCloudKey">
    <vt:lpwstr>302666886_btnclosed</vt:lpwstr>
  </property>
  <property fmtid="{D5CDD505-2E9C-101B-9397-08002B2CF9AE}" pid="4" name="ICV">
    <vt:lpwstr>CF92B632661744C2B2350F60616BA365_13</vt:lpwstr>
  </property>
  <property fmtid="{D5CDD505-2E9C-101B-9397-08002B2CF9AE}" pid="5" name="KSOTemplateDocerSaveRecord">
    <vt:lpwstr>eyJoZGlkIjoiZmU2YWUxYTc5ZjA2ZDc1NWMxMzY2MzNlNmIyMWFhZWYiLCJ1c2VySWQiOiIzMjE2MDYyMzEifQ==</vt:lpwstr>
  </property>
</Properties>
</file>