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560" w:lineRule="exact"/>
        <w:ind w:left="0" w:right="0" w:firstLine="0"/>
        <w:jc w:val="center"/>
        <w:textAlignment w:val="auto"/>
        <w:rPr>
          <w:rFonts w:hint="eastAsia" w:ascii="Times New Roman" w:hAnsi="Times New Roman" w:eastAsia="方正小标宋简体" w:cs="Times New Roman"/>
          <w:b/>
          <w:bCs w:val="0"/>
          <w:color w:val="000000"/>
          <w:kern w:val="0"/>
          <w:sz w:val="44"/>
          <w:szCs w:val="44"/>
          <w:lang w:val="en-US" w:eastAsia="zh-CN" w:bidi="ar-SA"/>
        </w:rPr>
      </w:pPr>
      <w:r>
        <w:rPr>
          <w:rFonts w:hint="eastAsia" w:ascii="Times New Roman" w:hAnsi="Times New Roman" w:eastAsia="方正小标宋简体" w:cs="Times New Roman"/>
          <w:b/>
          <w:bCs w:val="0"/>
          <w:color w:val="000000"/>
          <w:kern w:val="0"/>
          <w:sz w:val="44"/>
          <w:szCs w:val="44"/>
          <w:lang w:val="en-US" w:eastAsia="zh-CN" w:bidi="ar-SA"/>
        </w:rPr>
        <w:t>沂源县住房和城乡建设局2021年政府信息公开工作年度报告</w:t>
      </w:r>
    </w:p>
    <w:p>
      <w:pPr>
        <w:rPr>
          <w:rFonts w:hint="eastAsia"/>
          <w:b/>
          <w:bCs/>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560" w:lineRule="exact"/>
        <w:ind w:left="0" w:right="0" w:firstLine="645"/>
        <w:jc w:val="both"/>
        <w:textAlignment w:val="auto"/>
        <w:rPr>
          <w:rFonts w:hint="eastAsia" w:ascii="仿宋_GB2312" w:hAnsi="微软雅黑" w:eastAsia="仿宋_GB2312" w:cs="仿宋_GB2312"/>
          <w:b/>
          <w:bCs/>
          <w:i w:val="0"/>
          <w:iCs w:val="0"/>
          <w:caps w:val="0"/>
          <w:color w:val="000000"/>
          <w:spacing w:val="0"/>
          <w:sz w:val="32"/>
          <w:szCs w:val="32"/>
          <w:lang w:val="en-US" w:eastAsia="zh-CN"/>
        </w:rPr>
      </w:pPr>
      <w:r>
        <w:rPr>
          <w:rFonts w:ascii="仿宋_GB2312" w:hAnsi="微软雅黑" w:eastAsia="仿宋_GB2312" w:cs="仿宋_GB2312"/>
          <w:b/>
          <w:bCs/>
          <w:i w:val="0"/>
          <w:iCs w:val="0"/>
          <w:caps w:val="0"/>
          <w:color w:val="000000"/>
          <w:spacing w:val="0"/>
          <w:sz w:val="32"/>
          <w:szCs w:val="32"/>
        </w:rPr>
        <w:t>根据《中华人民共和国政府信息公开条例》</w:t>
      </w:r>
      <w:r>
        <w:rPr>
          <w:rFonts w:hint="eastAsia" w:ascii="仿宋_GB2312" w:hAnsi="微软雅黑" w:eastAsia="仿宋_GB2312" w:cs="仿宋_GB2312"/>
          <w:b/>
          <w:bCs/>
          <w:i w:val="0"/>
          <w:iCs w:val="0"/>
          <w:caps w:val="0"/>
          <w:color w:val="000000"/>
          <w:spacing w:val="0"/>
          <w:sz w:val="32"/>
          <w:szCs w:val="32"/>
          <w:lang w:eastAsia="zh-CN"/>
        </w:rPr>
        <w:t>的</w:t>
      </w:r>
      <w:r>
        <w:rPr>
          <w:rFonts w:ascii="仿宋_GB2312" w:hAnsi="微软雅黑" w:eastAsia="仿宋_GB2312" w:cs="仿宋_GB2312"/>
          <w:b/>
          <w:bCs/>
          <w:i w:val="0"/>
          <w:iCs w:val="0"/>
          <w:caps w:val="0"/>
          <w:color w:val="000000"/>
          <w:spacing w:val="0"/>
          <w:sz w:val="32"/>
          <w:szCs w:val="32"/>
        </w:rPr>
        <w:t>规定和</w:t>
      </w:r>
      <w:r>
        <w:rPr>
          <w:rFonts w:hint="eastAsia" w:ascii="仿宋_GB2312" w:hAnsi="微软雅黑" w:eastAsia="仿宋_GB2312" w:cs="仿宋_GB2312"/>
          <w:b/>
          <w:bCs/>
          <w:i w:val="0"/>
          <w:iCs w:val="0"/>
          <w:caps w:val="0"/>
          <w:color w:val="000000"/>
          <w:spacing w:val="0"/>
          <w:sz w:val="32"/>
          <w:szCs w:val="32"/>
          <w:lang w:eastAsia="zh-CN"/>
        </w:rPr>
        <w:t>县</w:t>
      </w:r>
      <w:r>
        <w:rPr>
          <w:rFonts w:ascii="仿宋_GB2312" w:hAnsi="微软雅黑" w:eastAsia="仿宋_GB2312" w:cs="仿宋_GB2312"/>
          <w:b/>
          <w:bCs/>
          <w:i w:val="0"/>
          <w:iCs w:val="0"/>
          <w:caps w:val="0"/>
          <w:color w:val="000000"/>
          <w:spacing w:val="0"/>
          <w:sz w:val="32"/>
          <w:szCs w:val="32"/>
        </w:rPr>
        <w:t>政府有关</w:t>
      </w:r>
      <w:r>
        <w:rPr>
          <w:rFonts w:hint="eastAsia" w:ascii="仿宋_GB2312" w:hAnsi="微软雅黑" w:eastAsia="仿宋_GB2312" w:cs="仿宋_GB2312"/>
          <w:b/>
          <w:bCs/>
          <w:i w:val="0"/>
          <w:iCs w:val="0"/>
          <w:caps w:val="0"/>
          <w:color w:val="000000"/>
          <w:spacing w:val="0"/>
          <w:sz w:val="32"/>
          <w:szCs w:val="32"/>
        </w:rPr>
        <w:t>文件要求，</w:t>
      </w:r>
      <w:r>
        <w:rPr>
          <w:rFonts w:hint="eastAsia" w:ascii="仿宋_GB2312" w:hAnsi="微软雅黑" w:eastAsia="仿宋_GB2312" w:cs="仿宋_GB2312"/>
          <w:b/>
          <w:bCs/>
          <w:i w:val="0"/>
          <w:iCs w:val="0"/>
          <w:caps w:val="0"/>
          <w:color w:val="000000"/>
          <w:spacing w:val="0"/>
          <w:sz w:val="32"/>
          <w:szCs w:val="32"/>
          <w:lang w:eastAsia="zh-CN"/>
        </w:rPr>
        <w:t>县住建局深入推进政府信息公开，顺利完成政务公开各项工作任务。按照淄博市人民政府办公室关于转发</w:t>
      </w:r>
      <w:r>
        <w:rPr>
          <w:rFonts w:hint="eastAsia" w:ascii="仿宋_GB2312" w:hAnsi="微软雅黑" w:eastAsia="仿宋_GB2312" w:cs="仿宋_GB2312"/>
          <w:b/>
          <w:bCs/>
          <w:i w:val="0"/>
          <w:iCs w:val="0"/>
          <w:caps w:val="0"/>
          <w:color w:val="000000"/>
          <w:spacing w:val="0"/>
          <w:sz w:val="32"/>
          <w:szCs w:val="32"/>
          <w:lang w:val="en-US" w:eastAsia="zh-CN"/>
        </w:rPr>
        <w:t>&lt;中华人民共和国政府信息公开工作年度报告格式&gt;的通知要求，结合我局实际，将2021年政府信息公开工作报告如下。</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560" w:lineRule="exact"/>
        <w:ind w:left="0" w:right="0" w:firstLine="645"/>
        <w:jc w:val="both"/>
        <w:textAlignment w:val="auto"/>
        <w:rPr>
          <w:rFonts w:hint="eastAsia" w:ascii="黑体" w:hAnsi="黑体" w:eastAsia="黑体" w:cs="黑体"/>
          <w:b/>
          <w:bCs/>
          <w:i w:val="0"/>
          <w:iCs w:val="0"/>
          <w:caps w:val="0"/>
          <w:color w:val="000000"/>
          <w:spacing w:val="0"/>
          <w:sz w:val="32"/>
          <w:szCs w:val="32"/>
          <w:lang w:val="en-US" w:eastAsia="zh-CN"/>
        </w:rPr>
      </w:pPr>
      <w:r>
        <w:rPr>
          <w:rFonts w:hint="eastAsia" w:ascii="黑体" w:hAnsi="黑体" w:eastAsia="黑体" w:cs="黑体"/>
          <w:b/>
          <w:bCs/>
          <w:i w:val="0"/>
          <w:iCs w:val="0"/>
          <w:caps w:val="0"/>
          <w:color w:val="000000"/>
          <w:spacing w:val="0"/>
          <w:sz w:val="32"/>
          <w:szCs w:val="32"/>
          <w:lang w:val="en-US" w:eastAsia="zh-CN"/>
        </w:rPr>
        <w:t>总体情况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560" w:lineRule="exact"/>
        <w:ind w:left="0" w:right="0" w:firstLine="640"/>
        <w:textAlignment w:val="auto"/>
        <w:rPr>
          <w:rFonts w:hint="eastAsia" w:ascii="仿宋_GB2312" w:hAnsi="微软雅黑" w:eastAsia="仿宋_GB2312" w:cs="仿宋_GB2312"/>
          <w:i w:val="0"/>
          <w:iCs w:val="0"/>
          <w:caps w:val="0"/>
          <w:color w:val="000000"/>
          <w:spacing w:val="0"/>
          <w:sz w:val="32"/>
          <w:szCs w:val="32"/>
          <w:lang w:val="en-US" w:eastAsia="zh-CN"/>
        </w:rPr>
      </w:pPr>
      <w:r>
        <w:rPr>
          <w:rFonts w:hint="eastAsia" w:ascii="仿宋_GB2312" w:hAnsi="微软雅黑" w:eastAsia="仿宋_GB2312" w:cs="仿宋_GB2312"/>
          <w:b/>
          <w:bCs/>
          <w:i w:val="0"/>
          <w:iCs w:val="0"/>
          <w:caps w:val="0"/>
          <w:color w:val="000000"/>
          <w:spacing w:val="0"/>
          <w:sz w:val="32"/>
          <w:szCs w:val="32"/>
          <w:lang w:val="en-US" w:eastAsia="zh-CN"/>
        </w:rPr>
        <w:t>今年以来，县住建局在县委县政府的正确领导下，以</w:t>
      </w:r>
      <w:r>
        <w:rPr>
          <w:rFonts w:hint="eastAsia" w:ascii="仿宋_GB2312" w:hAnsi="微软雅黑" w:eastAsia="仿宋_GB2312" w:cs="仿宋_GB2312"/>
          <w:b/>
          <w:bCs/>
          <w:i w:val="0"/>
          <w:iCs w:val="0"/>
          <w:caps w:val="0"/>
          <w:color w:val="000000"/>
          <w:spacing w:val="0"/>
          <w:sz w:val="32"/>
          <w:szCs w:val="32"/>
          <w:lang w:eastAsia="zh-CN"/>
        </w:rPr>
        <w:t>习近平新时代中国特色社会主义思想为指导思想，坚持以人民为中心的发展思想，根据《中华人民共和国政府信息公开条例》《2021年沂源县政务公开工作要点》要求，县住建局坚决落实国务院关于做好政务公开工作的决策部署，补短板，强弱项，将政务公开工作纵深推进，不断提高人民群众幸福感、获得感、安全感</w:t>
      </w:r>
      <w:r>
        <w:rPr>
          <w:rFonts w:hint="eastAsia" w:ascii="仿宋_GB2312" w:hAnsi="微软雅黑" w:eastAsia="仿宋_GB2312" w:cs="仿宋_GB2312"/>
          <w:i w:val="0"/>
          <w:iCs w:val="0"/>
          <w:caps w:val="0"/>
          <w:color w:val="000000"/>
          <w:spacing w:val="0"/>
          <w:sz w:val="32"/>
          <w:szCs w:val="32"/>
          <w:lang w:eastAsia="zh-CN"/>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rFonts w:hint="eastAsia" w:ascii="楷体" w:hAnsi="楷体" w:eastAsia="楷体" w:cs="楷体"/>
          <w:sz w:val="32"/>
          <w:szCs w:val="32"/>
        </w:rPr>
      </w:pPr>
      <w:r>
        <w:rPr>
          <w:rFonts w:hint="eastAsia" w:ascii="楷体" w:hAnsi="楷体" w:eastAsia="楷体" w:cs="楷体"/>
          <w:i w:val="0"/>
          <w:iCs w:val="0"/>
          <w:caps w:val="0"/>
          <w:color w:val="000000"/>
          <w:spacing w:val="0"/>
          <w:sz w:val="32"/>
          <w:szCs w:val="32"/>
          <w:lang w:val="en-US" w:eastAsia="zh-CN"/>
        </w:rPr>
        <w:t>（一）</w:t>
      </w:r>
      <w:r>
        <w:rPr>
          <w:rStyle w:val="10"/>
          <w:rFonts w:hint="eastAsia" w:ascii="楷体" w:hAnsi="楷体" w:eastAsia="楷体" w:cs="楷体"/>
          <w:sz w:val="32"/>
          <w:szCs w:val="32"/>
        </w:rPr>
        <w:t>主动公开内容</w:t>
      </w:r>
    </w:p>
    <w:p>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22"/>
        <w:textAlignment w:val="auto"/>
        <w:rPr>
          <w:rFonts w:hint="eastAsia" w:ascii="仿宋_GB2312" w:hAnsi="微软雅黑" w:eastAsia="仿宋_GB2312" w:cs="仿宋_GB2312"/>
          <w:b/>
          <w:bCs/>
          <w:i w:val="0"/>
          <w:iCs w:val="0"/>
          <w:caps w:val="0"/>
          <w:color w:val="000000"/>
          <w:spacing w:val="0"/>
          <w:sz w:val="32"/>
          <w:szCs w:val="32"/>
          <w:lang w:val="en-US" w:eastAsia="zh-CN"/>
        </w:rPr>
      </w:pPr>
      <w:r>
        <w:rPr>
          <w:rFonts w:hint="eastAsia" w:ascii="仿宋_GB2312" w:hAnsi="微软雅黑" w:eastAsia="仿宋_GB2312" w:cs="仿宋_GB2312"/>
          <w:b/>
          <w:bCs/>
          <w:i w:val="0"/>
          <w:iCs w:val="0"/>
          <w:caps w:val="0"/>
          <w:color w:val="000000"/>
          <w:spacing w:val="0"/>
          <w:sz w:val="32"/>
          <w:szCs w:val="32"/>
          <w:lang w:eastAsia="zh-CN"/>
        </w:rPr>
        <w:t>全面推进政府信息主动公开工作。根据我局职能转变和机构改革情况，及时更新发布机关职能、机构设置、联系方式、领导信息等相关信息。紧密围绕市政工程建设、危房改造、住房保障、建筑市场监管、行政执法等重点工作、重大项目，按照政务公开工作要求，及时高效做好政务信息发布工作。</w:t>
      </w:r>
      <w:r>
        <w:rPr>
          <w:rFonts w:hint="eastAsia" w:ascii="仿宋_GB2312" w:hAnsi="微软雅黑" w:eastAsia="仿宋_GB2312" w:cs="仿宋_GB2312"/>
          <w:b/>
          <w:bCs/>
          <w:i w:val="0"/>
          <w:iCs w:val="0"/>
          <w:caps w:val="0"/>
          <w:color w:val="000000"/>
          <w:spacing w:val="0"/>
          <w:sz w:val="32"/>
          <w:szCs w:val="32"/>
          <w:lang w:val="en-US" w:eastAsia="zh-CN"/>
        </w:rPr>
        <w:t>2021年，通过政府网站发布的信息共206条。</w:t>
      </w:r>
    </w:p>
    <w:p>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22"/>
        <w:textAlignment w:val="auto"/>
        <w:rPr>
          <w:rFonts w:hint="eastAsia" w:ascii="仿宋_GB2312" w:hAnsi="微软雅黑" w:eastAsia="仿宋_GB2312" w:cs="仿宋_GB2312"/>
          <w:b/>
          <w:bCs/>
          <w:i w:val="0"/>
          <w:iCs w:val="0"/>
          <w:caps w:val="0"/>
          <w:color w:val="000000"/>
          <w:spacing w:val="0"/>
          <w:sz w:val="32"/>
          <w:szCs w:val="32"/>
          <w:lang w:val="en-US" w:eastAsia="zh-CN"/>
        </w:rPr>
      </w:pPr>
    </w:p>
    <w:p>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22"/>
        <w:textAlignment w:val="auto"/>
        <w:rPr>
          <w:rFonts w:hint="eastAsia" w:ascii="楷体" w:hAnsi="楷体" w:eastAsia="楷体" w:cs="楷体"/>
          <w:sz w:val="32"/>
          <w:szCs w:val="32"/>
        </w:rPr>
      </w:pPr>
      <w:r>
        <w:drawing>
          <wp:anchor distT="0" distB="0" distL="114300" distR="114300" simplePos="0" relativeHeight="251659264" behindDoc="0" locked="0" layoutInCell="1" allowOverlap="1">
            <wp:simplePos x="0" y="0"/>
            <wp:positionH relativeFrom="column">
              <wp:posOffset>370840</wp:posOffset>
            </wp:positionH>
            <wp:positionV relativeFrom="paragraph">
              <wp:posOffset>-890905</wp:posOffset>
            </wp:positionV>
            <wp:extent cx="5271770" cy="3780790"/>
            <wp:effectExtent l="4445" t="4445" r="19685" b="62865"/>
            <wp:wrapTopAndBottom/>
            <wp:docPr id="2" name="图表 1"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Style w:val="10"/>
          <w:rFonts w:hint="eastAsia" w:ascii="楷体" w:hAnsi="楷体" w:eastAsia="楷体" w:cs="楷体"/>
          <w:sz w:val="32"/>
          <w:szCs w:val="32"/>
        </w:rPr>
        <w:t>（二）依申请公开情况</w:t>
      </w:r>
    </w:p>
    <w:p>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22"/>
        <w:textAlignment w:val="auto"/>
        <w:rPr>
          <w:rStyle w:val="10"/>
          <w:rFonts w:hint="eastAsia" w:ascii="仿宋" w:hAnsi="仿宋" w:eastAsia="仿宋" w:cs="仿宋"/>
          <w:sz w:val="32"/>
          <w:szCs w:val="32"/>
          <w:lang w:val="en-US" w:eastAsia="zh-CN"/>
        </w:rPr>
      </w:pPr>
      <w:r>
        <w:rPr>
          <w:rStyle w:val="10"/>
          <w:rFonts w:hint="eastAsia" w:ascii="仿宋" w:hAnsi="仿宋" w:eastAsia="仿宋" w:cs="仿宋"/>
          <w:sz w:val="32"/>
          <w:szCs w:val="32"/>
          <w:lang w:val="en-US" w:eastAsia="zh-CN"/>
        </w:rPr>
        <w:t>2021年县住建局受理政府信息依申请公开案件共8起，均依法依规及时答复申请人。不断完善政府信息依申请公开工作机制，配强力量，保持互联网、信函渠道畅通性。强化政府信息依申请公开工作培训，不断提高答复工作规范化水平，切实保障申请人合法权益。</w:t>
      </w:r>
    </w:p>
    <w:p>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22"/>
        <w:textAlignment w:val="auto"/>
        <w:rPr>
          <w:rStyle w:val="10"/>
          <w:rFonts w:hint="eastAsia" w:ascii="仿宋" w:hAnsi="仿宋" w:eastAsia="仿宋" w:cs="仿宋"/>
          <w:sz w:val="32"/>
          <w:szCs w:val="32"/>
          <w:lang w:val="en-US" w:eastAsia="zh-CN"/>
        </w:rPr>
      </w:pPr>
      <w:r>
        <w:drawing>
          <wp:anchor distT="0" distB="0" distL="114300" distR="114300" simplePos="0" relativeHeight="251660288" behindDoc="0" locked="0" layoutInCell="1" allowOverlap="1">
            <wp:simplePos x="0" y="0"/>
            <wp:positionH relativeFrom="column">
              <wp:posOffset>592455</wp:posOffset>
            </wp:positionH>
            <wp:positionV relativeFrom="paragraph">
              <wp:posOffset>355600</wp:posOffset>
            </wp:positionV>
            <wp:extent cx="4572000" cy="2743200"/>
            <wp:effectExtent l="4445" t="4445" r="14605" b="14605"/>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22"/>
        <w:textAlignment w:val="auto"/>
        <w:rPr>
          <w:rStyle w:val="10"/>
          <w:rFonts w:hint="eastAsia" w:ascii="仿宋" w:hAnsi="仿宋" w:eastAsia="仿宋" w:cs="仿宋"/>
          <w:sz w:val="32"/>
          <w:szCs w:val="32"/>
          <w:lang w:val="en-US" w:eastAsia="zh-CN"/>
        </w:rPr>
      </w:pPr>
    </w:p>
    <w:p>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22"/>
        <w:textAlignment w:val="auto"/>
        <w:rPr>
          <w:rStyle w:val="10"/>
          <w:rFonts w:hint="eastAsia" w:ascii="仿宋" w:hAnsi="仿宋" w:eastAsia="仿宋" w:cs="仿宋"/>
          <w:sz w:val="32"/>
          <w:szCs w:val="32"/>
          <w:lang w:val="en-US" w:eastAsia="zh-CN"/>
        </w:rPr>
      </w:pPr>
    </w:p>
    <w:p>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22"/>
        <w:textAlignment w:val="auto"/>
        <w:rPr>
          <w:rStyle w:val="10"/>
          <w:rFonts w:hint="eastAsia" w:ascii="仿宋" w:hAnsi="仿宋" w:eastAsia="仿宋" w:cs="仿宋"/>
          <w:sz w:val="32"/>
          <w:szCs w:val="32"/>
          <w:lang w:val="en-US"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rPr>
          <w:rStyle w:val="10"/>
          <w:rFonts w:hint="eastAsia" w:ascii="楷体" w:hAnsi="楷体" w:eastAsia="楷体" w:cs="楷体"/>
          <w:sz w:val="32"/>
          <w:szCs w:val="32"/>
          <w:lang w:val="en-US" w:eastAsia="zh-CN"/>
        </w:rPr>
      </w:pPr>
      <w:r>
        <w:rPr>
          <w:rStyle w:val="10"/>
          <w:rFonts w:hint="eastAsia" w:ascii="楷体" w:hAnsi="楷体" w:eastAsia="楷体" w:cs="楷体"/>
          <w:sz w:val="32"/>
          <w:szCs w:val="32"/>
          <w:lang w:val="en-US" w:eastAsia="zh-CN"/>
        </w:rPr>
        <w:t>（三）政府信息管理情况</w:t>
      </w:r>
    </w:p>
    <w:p>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480"/>
        <w:textAlignment w:val="auto"/>
        <w:rPr>
          <w:rStyle w:val="10"/>
          <w:rFonts w:hint="eastAsia" w:ascii="仿宋" w:hAnsi="仿宋" w:eastAsia="仿宋" w:cs="仿宋"/>
          <w:sz w:val="32"/>
          <w:szCs w:val="32"/>
          <w:lang w:eastAsia="zh-CN"/>
        </w:rPr>
      </w:pPr>
      <w:r>
        <w:rPr>
          <w:rStyle w:val="10"/>
          <w:rFonts w:hint="eastAsia" w:ascii="仿宋" w:hAnsi="仿宋" w:eastAsia="仿宋" w:cs="仿宋"/>
          <w:sz w:val="32"/>
          <w:szCs w:val="32"/>
          <w:lang w:val="en-US" w:eastAsia="zh-CN"/>
        </w:rPr>
        <w:t>不断建立健全政府信息公开工作制度，在建章立制上下足功夫，坚决落实，抓出成效。加强完善政府信息公开制度、政府信息公开指南、政府信息公开工作年度报告的栏目建设，编制完善今年的部门信息公开指南，及时发布对应栏目。根据年度重点工作和实际情况，编制完善部门主动公开基本目录，提升目录内容规范性水平。</w:t>
      </w:r>
      <w:r>
        <w:rPr>
          <w:rStyle w:val="10"/>
          <w:rFonts w:hint="eastAsia" w:ascii="仿宋" w:hAnsi="仿宋" w:eastAsia="仿宋" w:cs="仿宋"/>
          <w:sz w:val="32"/>
          <w:szCs w:val="32"/>
          <w:lang w:eastAsia="zh-CN"/>
        </w:rPr>
        <w:t>将审定把关放在重要位置，严格信息发布审核机制，确保发布信息规范、准确、无错别字，提高信息发布质量，保证政府信息发布权威性、严肃性、规范性，同时做好保密工作，对涉及国家秘密、商业秘密、个人隐私以及敏感信息，不予公开。</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rPr>
          <w:rStyle w:val="10"/>
          <w:rFonts w:hint="eastAsia" w:ascii="楷体" w:hAnsi="楷体" w:eastAsia="楷体" w:cs="楷体"/>
          <w:sz w:val="32"/>
          <w:szCs w:val="32"/>
        </w:rPr>
      </w:pPr>
      <w:r>
        <w:rPr>
          <w:rStyle w:val="10"/>
          <w:rFonts w:hint="eastAsia" w:ascii="楷体" w:hAnsi="楷体" w:eastAsia="楷体" w:cs="楷体"/>
          <w:sz w:val="32"/>
          <w:szCs w:val="32"/>
        </w:rPr>
        <w:t>（四）政府信息公开平台建设情况</w:t>
      </w:r>
    </w:p>
    <w:p>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480"/>
        <w:textAlignment w:val="auto"/>
        <w:rPr>
          <w:rStyle w:val="10"/>
          <w:rFonts w:hint="eastAsia" w:ascii="仿宋" w:hAnsi="仿宋" w:eastAsia="仿宋" w:cs="仿宋"/>
          <w:sz w:val="32"/>
          <w:szCs w:val="32"/>
          <w:lang w:eastAsia="zh-CN"/>
        </w:rPr>
      </w:pPr>
      <w:r>
        <w:rPr>
          <w:rFonts w:ascii="Calibri" w:hAnsi="Calibri" w:cs="Calibri"/>
          <w:sz w:val="32"/>
          <w:szCs w:val="32"/>
        </w:rPr>
        <w:t> </w:t>
      </w:r>
      <w:r>
        <w:rPr>
          <w:rStyle w:val="10"/>
          <w:rFonts w:hint="eastAsia" w:ascii="仿宋" w:hAnsi="仿宋" w:eastAsia="仿宋" w:cs="仿宋"/>
          <w:sz w:val="32"/>
          <w:szCs w:val="32"/>
          <w:lang w:eastAsia="zh-CN"/>
        </w:rPr>
        <w:t>将政务公开工作作为一项常态化工作坚定不移抓严抓细抓实，强化加强政府网站建设管理。定期发布信息，及时更新各栏目信息。</w:t>
      </w:r>
    </w:p>
    <w:p>
      <w:pPr>
        <w:pStyle w:val="6"/>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rPr>
          <w:rStyle w:val="10"/>
          <w:rFonts w:hint="eastAsia" w:ascii="楷体" w:hAnsi="楷体" w:eastAsia="楷体" w:cs="楷体"/>
          <w:sz w:val="32"/>
          <w:szCs w:val="32"/>
        </w:rPr>
      </w:pPr>
      <w:r>
        <w:rPr>
          <w:rStyle w:val="10"/>
          <w:rFonts w:hint="eastAsia" w:ascii="楷体" w:hAnsi="楷体" w:eastAsia="楷体" w:cs="楷体"/>
          <w:sz w:val="32"/>
          <w:szCs w:val="32"/>
        </w:rPr>
        <w:t>监督保障情况</w:t>
      </w:r>
    </w:p>
    <w:p>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22"/>
        <w:textAlignment w:val="auto"/>
        <w:rPr>
          <w:rStyle w:val="10"/>
          <w:rFonts w:hint="default" w:ascii="仿宋" w:hAnsi="仿宋" w:eastAsia="仿宋" w:cs="仿宋"/>
          <w:color w:val="auto"/>
          <w:sz w:val="32"/>
          <w:szCs w:val="32"/>
          <w:lang w:val="en-US" w:eastAsia="zh-CN"/>
        </w:rPr>
      </w:pPr>
      <w:r>
        <w:rPr>
          <w:rStyle w:val="10"/>
          <w:rFonts w:hint="eastAsia" w:ascii="仿宋" w:hAnsi="仿宋" w:eastAsia="仿宋" w:cs="仿宋"/>
          <w:color w:val="auto"/>
          <w:sz w:val="32"/>
          <w:szCs w:val="32"/>
          <w:lang w:val="en-US" w:eastAsia="zh-CN"/>
        </w:rPr>
        <w:t>调整政务公开工作领导小组，政务公开工作领导小组设在办公室，具体负责政务公开日常工作，强化责任分工，加快任务落实。每年举办2次政务公开工作培训，积极参加县政府组织的政务公开培训，不断提升工作人员的业务能力和职业素养，为提高我局政务公开工作质量和水平提供坚强保障。从工作机制、制度完善、人员配备上全面推进政务公开工作。</w:t>
      </w:r>
    </w:p>
    <w:p>
      <w:pPr>
        <w:pStyle w:val="6"/>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5" w:firstLineChars="0"/>
        <w:textAlignment w:val="auto"/>
        <w:rPr>
          <w:rStyle w:val="10"/>
          <w:rFonts w:hint="eastAsia" w:ascii="黑体" w:hAnsi="宋体" w:eastAsia="黑体" w:cs="黑体"/>
          <w:sz w:val="32"/>
          <w:szCs w:val="32"/>
        </w:rPr>
      </w:pPr>
      <w:r>
        <w:rPr>
          <w:rStyle w:val="10"/>
          <w:rFonts w:hint="eastAsia" w:ascii="黑体" w:hAnsi="宋体" w:eastAsia="黑体" w:cs="黑体"/>
          <w:sz w:val="32"/>
          <w:szCs w:val="32"/>
        </w:rPr>
        <w:t>主动公开政府信息情况</w:t>
      </w:r>
    </w:p>
    <w:tbl>
      <w:tblPr>
        <w:tblStyle w:val="7"/>
        <w:tblW w:w="82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09"/>
        <w:gridCol w:w="1842"/>
        <w:gridCol w:w="1888"/>
        <w:gridCol w:w="19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8234" w:type="dxa"/>
            <w:gridSpan w:val="4"/>
            <w:tcBorders>
              <w:bottom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sz w:val="21"/>
                <w:szCs w:val="21"/>
              </w:rPr>
            </w:pPr>
            <w:r>
              <w:rPr>
                <w:rFonts w:hint="eastAsia" w:ascii="黑体" w:hAnsi="黑体" w:eastAsia="黑体" w:cs="黑体"/>
                <w:sz w:val="21"/>
                <w:szCs w:val="21"/>
              </w:rPr>
              <w:t>第二十条第（一）项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本年制发件数</w:t>
            </w:r>
          </w:p>
        </w:tc>
        <w:tc>
          <w:tcPr>
            <w:tcW w:w="1888"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本年废止件数</w:t>
            </w:r>
          </w:p>
        </w:tc>
        <w:tc>
          <w:tcPr>
            <w:tcW w:w="1995" w:type="dxa"/>
            <w:tcBorders>
              <w:top w:val="single" w:color="000000" w:sz="2" w:space="0"/>
              <w:left w:val="single" w:color="000000" w:sz="2" w:space="0"/>
              <w:bottom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现行有效件数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规章</w:t>
            </w:r>
          </w:p>
        </w:tc>
        <w:tc>
          <w:tcPr>
            <w:tcW w:w="1842"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1995" w:type="dxa"/>
            <w:tcBorders>
              <w:top w:val="single" w:color="000000" w:sz="2" w:space="0"/>
              <w:left w:val="single" w:color="000000" w:sz="2" w:space="0"/>
              <w:bottom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行政规范性文件</w:t>
            </w:r>
          </w:p>
        </w:tc>
        <w:tc>
          <w:tcPr>
            <w:tcW w:w="1842"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1995" w:type="dxa"/>
            <w:tcBorders>
              <w:top w:val="single" w:color="000000" w:sz="2" w:space="0"/>
              <w:left w:val="single" w:color="000000" w:sz="2" w:space="0"/>
              <w:bottom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黑体" w:hAnsi="黑体" w:eastAsia="黑体" w:cs="黑体"/>
                <w:sz w:val="21"/>
                <w:szCs w:val="21"/>
              </w:rPr>
            </w:pPr>
            <w:r>
              <w:rPr>
                <w:rFonts w:hint="eastAsia" w:ascii="黑体" w:hAnsi="黑体" w:eastAsia="黑体" w:cs="黑体"/>
                <w:sz w:val="21"/>
                <w:szCs w:val="21"/>
              </w:rPr>
              <w:t>第二十条第（五）项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信息内容</w:t>
            </w:r>
          </w:p>
        </w:tc>
        <w:tc>
          <w:tcPr>
            <w:tcW w:w="5725" w:type="dxa"/>
            <w:gridSpan w:val="3"/>
            <w:tcBorders>
              <w:top w:val="single" w:color="000000" w:sz="2" w:space="0"/>
              <w:left w:val="single" w:color="000000" w:sz="2" w:space="0"/>
              <w:bottom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本年处理决定数量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行政许可</w:t>
            </w:r>
          </w:p>
        </w:tc>
        <w:tc>
          <w:tcPr>
            <w:tcW w:w="5725" w:type="dxa"/>
            <w:gridSpan w:val="3"/>
            <w:tcBorders>
              <w:top w:val="single" w:color="000000" w:sz="2" w:space="0"/>
              <w:left w:val="single" w:color="000000" w:sz="2" w:space="0"/>
              <w:bottom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8234" w:type="dxa"/>
            <w:gridSpan w:val="4"/>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黑体" w:hAnsi="黑体" w:eastAsia="黑体" w:cs="黑体"/>
                <w:sz w:val="21"/>
                <w:szCs w:val="21"/>
              </w:rPr>
            </w:pPr>
            <w:r>
              <w:rPr>
                <w:rFonts w:hint="eastAsia" w:ascii="黑体" w:hAnsi="黑体" w:eastAsia="黑体" w:cs="黑体"/>
                <w:sz w:val="21"/>
                <w:szCs w:val="21"/>
              </w:rPr>
              <w:t>第二十条第（六）项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信息内容</w:t>
            </w:r>
          </w:p>
        </w:tc>
        <w:tc>
          <w:tcPr>
            <w:tcW w:w="5725" w:type="dxa"/>
            <w:gridSpan w:val="3"/>
            <w:tcBorders>
              <w:top w:val="single" w:color="000000" w:sz="2" w:space="0"/>
              <w:left w:val="single" w:color="000000" w:sz="2" w:space="0"/>
              <w:bottom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本年处理决定数量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行政处罚</w:t>
            </w:r>
          </w:p>
        </w:tc>
        <w:tc>
          <w:tcPr>
            <w:tcW w:w="5725" w:type="dxa"/>
            <w:gridSpan w:val="3"/>
            <w:tcBorders>
              <w:top w:val="single" w:color="000000" w:sz="2" w:space="0"/>
              <w:left w:val="single" w:color="000000" w:sz="2" w:space="0"/>
              <w:bottom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行政强制</w:t>
            </w:r>
          </w:p>
        </w:tc>
        <w:tc>
          <w:tcPr>
            <w:tcW w:w="5725" w:type="dxa"/>
            <w:gridSpan w:val="3"/>
            <w:tcBorders>
              <w:top w:val="single" w:color="000000" w:sz="2" w:space="0"/>
              <w:left w:val="single" w:color="000000" w:sz="2" w:space="0"/>
              <w:bottom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黑体" w:hAnsi="黑体" w:eastAsia="黑体" w:cs="黑体"/>
                <w:sz w:val="21"/>
                <w:szCs w:val="21"/>
              </w:rPr>
            </w:pPr>
            <w:r>
              <w:rPr>
                <w:rFonts w:hint="eastAsia" w:ascii="黑体" w:hAnsi="黑体" w:eastAsia="黑体" w:cs="黑体"/>
                <w:sz w:val="21"/>
                <w:szCs w:val="21"/>
              </w:rPr>
              <w:t>第二十条第（八）项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信息内容</w:t>
            </w:r>
          </w:p>
        </w:tc>
        <w:tc>
          <w:tcPr>
            <w:tcW w:w="5725" w:type="dxa"/>
            <w:gridSpan w:val="3"/>
            <w:tcBorders>
              <w:top w:val="single" w:color="000000" w:sz="2" w:space="0"/>
              <w:left w:val="single" w:color="000000" w:sz="2" w:space="0"/>
              <w:bottom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本年收费金额（单位：万元）</w:t>
            </w:r>
          </w:p>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行政事业性收费</w:t>
            </w:r>
          </w:p>
        </w:tc>
        <w:tc>
          <w:tcPr>
            <w:tcW w:w="5725" w:type="dxa"/>
            <w:gridSpan w:val="3"/>
            <w:tcBorders>
              <w:top w:val="single" w:color="000000" w:sz="2" w:space="0"/>
              <w:left w:val="single" w:color="000000" w:sz="2" w:space="0"/>
              <w:bottom w:val="single" w:color="000000" w:sz="2" w:space="0"/>
            </w:tcBorders>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7995.17</w:t>
            </w:r>
          </w:p>
        </w:tc>
      </w:tr>
    </w:tbl>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rPr>
          <w:sz w:val="32"/>
          <w:szCs w:val="32"/>
        </w:rPr>
      </w:pPr>
      <w:r>
        <w:rPr>
          <w:rStyle w:val="10"/>
          <w:rFonts w:hint="eastAsia" w:ascii="黑体" w:hAnsi="宋体" w:eastAsia="黑体" w:cs="黑体"/>
          <w:sz w:val="32"/>
          <w:szCs w:val="32"/>
        </w:rPr>
        <w:t>三、收到和处理政府信息公开申请情况</w:t>
      </w:r>
    </w:p>
    <w:tbl>
      <w:tblPr>
        <w:tblStyle w:val="8"/>
        <w:tblpPr w:leftFromText="181" w:rightFromText="181" w:vertAnchor="text" w:horzAnchor="page" w:tblpXSpec="center" w:tblpY="28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349"/>
        <w:gridCol w:w="2761"/>
        <w:gridCol w:w="505"/>
        <w:gridCol w:w="545"/>
        <w:gridCol w:w="545"/>
        <w:gridCol w:w="624"/>
        <w:gridCol w:w="624"/>
        <w:gridCol w:w="465"/>
        <w:gridCol w:w="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0" w:type="auto"/>
            <w:gridSpan w:val="3"/>
            <w:vMerge w:val="restart"/>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（本列数据的勾稽关系为：第一项加第二项之和，等于第三项加第四项之和）</w:t>
            </w:r>
          </w:p>
        </w:tc>
        <w:tc>
          <w:tcPr>
            <w:tcW w:w="0" w:type="auto"/>
            <w:gridSpan w:val="7"/>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0" w:type="auto"/>
            <w:gridSpan w:val="3"/>
            <w:vMerge w:val="continue"/>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黑体" w:hAnsi="黑体" w:eastAsia="黑体" w:cs="黑体"/>
                <w:b w:val="0"/>
                <w:bCs w:val="0"/>
                <w:sz w:val="21"/>
                <w:szCs w:val="21"/>
              </w:rPr>
            </w:pPr>
          </w:p>
        </w:tc>
        <w:tc>
          <w:tcPr>
            <w:tcW w:w="0" w:type="auto"/>
            <w:vMerge w:val="restart"/>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自然人</w:t>
            </w:r>
          </w:p>
        </w:tc>
        <w:tc>
          <w:tcPr>
            <w:tcW w:w="0" w:type="auto"/>
            <w:gridSpan w:val="5"/>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法人或其他组织</w:t>
            </w:r>
          </w:p>
        </w:tc>
        <w:tc>
          <w:tcPr>
            <w:tcW w:w="0" w:type="auto"/>
            <w:vMerge w:val="restart"/>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0" w:type="auto"/>
            <w:gridSpan w:val="3"/>
            <w:vMerge w:val="continue"/>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黑体" w:hAnsi="黑体" w:eastAsia="黑体" w:cs="黑体"/>
                <w:b w:val="0"/>
                <w:bCs w:val="0"/>
                <w:sz w:val="21"/>
                <w:szCs w:val="21"/>
              </w:rPr>
            </w:pPr>
          </w:p>
        </w:tc>
        <w:tc>
          <w:tcPr>
            <w:tcW w:w="0" w:type="auto"/>
            <w:vMerge w:val="continue"/>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黑体" w:hAnsi="黑体" w:eastAsia="黑体" w:cs="黑体"/>
                <w:b w:val="0"/>
                <w:bCs w:val="0"/>
                <w:sz w:val="21"/>
                <w:szCs w:val="21"/>
              </w:rPr>
            </w:pP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商业企业</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科研机构</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社会公益组织</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法律服务机构</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黑体" w:hAnsi="黑体" w:eastAsia="黑体" w:cs="黑体"/>
                <w:b w:val="0"/>
                <w:bCs w:val="0"/>
                <w:sz w:val="21"/>
                <w:szCs w:val="21"/>
              </w:rPr>
            </w:pPr>
            <w:r>
              <w:rPr>
                <w:rFonts w:hint="eastAsia" w:ascii="黑体" w:hAnsi="黑体" w:eastAsia="黑体" w:cs="黑体"/>
                <w:b w:val="0"/>
                <w:bCs w:val="0"/>
                <w:sz w:val="21"/>
                <w:szCs w:val="21"/>
              </w:rPr>
              <w:t>其他</w:t>
            </w:r>
          </w:p>
        </w:tc>
        <w:tc>
          <w:tcPr>
            <w:tcW w:w="0" w:type="auto"/>
            <w:vMerge w:val="continue"/>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Calibri" w:hAnsi="Calibri"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0" w:type="auto"/>
            <w:gridSpan w:val="3"/>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一、本年新收政府信息公开申请数量</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8</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0" w:type="auto"/>
            <w:gridSpan w:val="3"/>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二、上年结转政府信息公开申请数量</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0" w:type="auto"/>
            <w:vMerge w:val="restart"/>
            <w:noWrap w:val="0"/>
            <w:vAlign w:val="center"/>
          </w:tcPr>
          <w:p>
            <w:pPr>
              <w:keepNext w:val="0"/>
              <w:keepLines w:val="0"/>
              <w:pageBreakBefore w:val="0"/>
              <w:widowControl w:val="0"/>
              <w:kinsoku/>
              <w:wordWrap/>
              <w:overflowPunct/>
              <w:topLinePunct w:val="0"/>
              <w:bidi w:val="0"/>
              <w:adjustRightInd/>
              <w:snapToGrid/>
              <w:spacing w:line="240" w:lineRule="auto"/>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三、本年度办理结果</w:t>
            </w:r>
          </w:p>
        </w:tc>
        <w:tc>
          <w:tcPr>
            <w:tcW w:w="0" w:type="auto"/>
            <w:gridSpan w:val="2"/>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rPr>
              <w:t>（一）予以公开</w:t>
            </w:r>
            <w:r>
              <w:rPr>
                <w:rFonts w:hint="eastAsia" w:ascii="宋体" w:hAnsi="宋体" w:eastAsia="宋体" w:cs="宋体"/>
                <w:b w:val="0"/>
                <w:bCs w:val="0"/>
                <w:sz w:val="21"/>
                <w:szCs w:val="21"/>
                <w:lang w:val="en-US" w:eastAsia="zh-CN"/>
              </w:rPr>
              <w:t xml:space="preserve">            </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499"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0" w:type="auto"/>
            <w:gridSpan w:val="2"/>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（二）部分公开（区分处理的，只计这一情形，不计其他情形）</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1730" w:type="dxa"/>
            <w:vMerge w:val="restart"/>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（三）不予公开</w:t>
            </w:r>
          </w:p>
        </w:tc>
        <w:tc>
          <w:tcPr>
            <w:tcW w:w="4366" w:type="dxa"/>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1．属于国家秘密</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1730" w:type="dxa"/>
            <w:vMerge w:val="continue"/>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4366" w:type="dxa"/>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2．其他法律行政法规禁止公开</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1730" w:type="dxa"/>
            <w:vMerge w:val="continue"/>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4366" w:type="dxa"/>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3．危及“三安全一稳定”</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1730" w:type="dxa"/>
            <w:vMerge w:val="continue"/>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4366" w:type="dxa"/>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4．保护第三方合法权益</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color w:val="000000"/>
                <w:sz w:val="21"/>
                <w:szCs w:val="21"/>
                <w:lang w:val="en-US" w:eastAsia="zh-CN" w:bidi="en-US"/>
              </w:rPr>
            </w:pPr>
            <w:r>
              <w:rPr>
                <w:rFonts w:hint="eastAsia" w:ascii="宋体" w:hAnsi="宋体" w:eastAsia="宋体" w:cs="宋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1730" w:type="dxa"/>
            <w:vMerge w:val="continue"/>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4366" w:type="dxa"/>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5．属于三类内部事务信息</w:t>
            </w:r>
          </w:p>
        </w:tc>
        <w:tc>
          <w:tcPr>
            <w:tcW w:w="56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9"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1730" w:type="dxa"/>
            <w:vMerge w:val="continue"/>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4366" w:type="dxa"/>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6．属于四类过程性信息</w:t>
            </w:r>
          </w:p>
        </w:tc>
        <w:tc>
          <w:tcPr>
            <w:tcW w:w="56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9"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1730" w:type="dxa"/>
            <w:vMerge w:val="continue"/>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4366" w:type="dxa"/>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7．属于行政执法案卷</w:t>
            </w:r>
          </w:p>
        </w:tc>
        <w:tc>
          <w:tcPr>
            <w:tcW w:w="56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9"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1730" w:type="dxa"/>
            <w:vMerge w:val="continue"/>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4366" w:type="dxa"/>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8．属于行政查询事项</w:t>
            </w:r>
          </w:p>
        </w:tc>
        <w:tc>
          <w:tcPr>
            <w:tcW w:w="56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9"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1730" w:type="dxa"/>
            <w:vMerge w:val="restart"/>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（四）无法提供</w:t>
            </w:r>
          </w:p>
        </w:tc>
        <w:tc>
          <w:tcPr>
            <w:tcW w:w="4366" w:type="dxa"/>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w:t>
            </w:r>
            <w:r>
              <w:rPr>
                <w:rFonts w:hint="eastAsia" w:ascii="宋体" w:hAnsi="宋体" w:eastAsia="宋体" w:cs="宋体"/>
                <w:b w:val="0"/>
                <w:bCs w:val="0"/>
                <w:sz w:val="21"/>
                <w:szCs w:val="21"/>
                <w:lang w:eastAsia="zh-CN"/>
              </w:rPr>
              <w:t>本机关</w:t>
            </w:r>
            <w:r>
              <w:rPr>
                <w:rFonts w:hint="eastAsia" w:ascii="宋体" w:hAnsi="宋体" w:eastAsia="宋体" w:cs="宋体"/>
                <w:b w:val="0"/>
                <w:bCs w:val="0"/>
                <w:sz w:val="21"/>
                <w:szCs w:val="21"/>
              </w:rPr>
              <w:t>不掌握相关政府信息</w:t>
            </w:r>
          </w:p>
        </w:tc>
        <w:tc>
          <w:tcPr>
            <w:tcW w:w="56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9"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1730" w:type="dxa"/>
            <w:vMerge w:val="continue"/>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4366" w:type="dxa"/>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2．没有现成信息需要另行制作</w:t>
            </w:r>
          </w:p>
        </w:tc>
        <w:tc>
          <w:tcPr>
            <w:tcW w:w="56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9"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1730" w:type="dxa"/>
            <w:vMerge w:val="continue"/>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4366" w:type="dxa"/>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3．补正后申请内容仍不明确</w:t>
            </w:r>
          </w:p>
        </w:tc>
        <w:tc>
          <w:tcPr>
            <w:tcW w:w="56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9"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1730" w:type="dxa"/>
            <w:vMerge w:val="restart"/>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（五）不予处理</w:t>
            </w:r>
          </w:p>
        </w:tc>
        <w:tc>
          <w:tcPr>
            <w:tcW w:w="4366" w:type="dxa"/>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1．信访举报投诉类申请</w:t>
            </w:r>
          </w:p>
        </w:tc>
        <w:tc>
          <w:tcPr>
            <w:tcW w:w="56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9"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1730" w:type="dxa"/>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4366" w:type="dxa"/>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2．重复申请</w:t>
            </w:r>
          </w:p>
        </w:tc>
        <w:tc>
          <w:tcPr>
            <w:tcW w:w="56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9"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1730" w:type="dxa"/>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4366" w:type="dxa"/>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3．要求提供公开出版物</w:t>
            </w:r>
          </w:p>
        </w:tc>
        <w:tc>
          <w:tcPr>
            <w:tcW w:w="56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9"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1730" w:type="dxa"/>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4366" w:type="dxa"/>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4．无正当理由大量反复申请</w:t>
            </w:r>
          </w:p>
        </w:tc>
        <w:tc>
          <w:tcPr>
            <w:tcW w:w="56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9"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1730" w:type="dxa"/>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4366" w:type="dxa"/>
            <w:noWrap w:val="0"/>
            <w:vAlign w:val="top"/>
          </w:tcPr>
          <w:p>
            <w:pPr>
              <w:keepNext w:val="0"/>
              <w:keepLines w:val="0"/>
              <w:pageBreakBefore w:val="0"/>
              <w:widowControl w:val="0"/>
              <w:kinsoku/>
              <w:wordWrap/>
              <w:overflowPunct/>
              <w:topLinePunct w:val="0"/>
              <w:bidi w:val="0"/>
              <w:adjustRightInd/>
              <w:snapToGrid/>
              <w:spacing w:line="240" w:lineRule="auto"/>
              <w:ind w:left="180" w:hanging="210" w:hangingChars="1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5．要求行政机关确认或重新出具已获取信息</w:t>
            </w:r>
          </w:p>
        </w:tc>
        <w:tc>
          <w:tcPr>
            <w:tcW w:w="56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9"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1730" w:type="dxa"/>
            <w:vMerge w:val="restart"/>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（六）其他处理</w:t>
            </w:r>
          </w:p>
        </w:tc>
        <w:tc>
          <w:tcPr>
            <w:tcW w:w="4366" w:type="dxa"/>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1.申请人无正当理由逾期不补正、行政机关不再处理其政府信息公开申请</w:t>
            </w:r>
          </w:p>
        </w:tc>
        <w:tc>
          <w:tcPr>
            <w:tcW w:w="56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9"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1730" w:type="dxa"/>
            <w:vMerge w:val="continue"/>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4366" w:type="dxa"/>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2.申请人逾期未按收费通知要求缴纳费用、行政机关不再处理其政府信息公开申请</w:t>
            </w:r>
          </w:p>
        </w:tc>
        <w:tc>
          <w:tcPr>
            <w:tcW w:w="56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49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499"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1730" w:type="dxa"/>
            <w:vMerge w:val="continue"/>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4366" w:type="dxa"/>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3.其他</w:t>
            </w:r>
          </w:p>
        </w:tc>
        <w:tc>
          <w:tcPr>
            <w:tcW w:w="56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49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c>
          <w:tcPr>
            <w:tcW w:w="499"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0" w:type="auto"/>
            <w:vMerge w:val="continue"/>
            <w:noWrap w:val="0"/>
            <w:vAlign w:val="top"/>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p>
        </w:tc>
        <w:tc>
          <w:tcPr>
            <w:tcW w:w="0" w:type="auto"/>
            <w:gridSpan w:val="2"/>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（七）总计</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8</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0" w:type="auto"/>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0" w:type="auto"/>
            <w:gridSpan w:val="3"/>
            <w:noWrap w:val="0"/>
            <w:vAlign w:val="center"/>
          </w:tcPr>
          <w:p>
            <w:pPr>
              <w:keepNext w:val="0"/>
              <w:keepLines w:val="0"/>
              <w:pageBreakBefore w:val="0"/>
              <w:widowControl w:val="0"/>
              <w:kinsoku/>
              <w:wordWrap/>
              <w:overflowPunct/>
              <w:topLinePunct w:val="0"/>
              <w:bidi w:val="0"/>
              <w:adjustRightInd/>
              <w:snapToGrid/>
              <w:spacing w:line="24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四、结转下年度继续办理</w:t>
            </w:r>
          </w:p>
        </w:tc>
        <w:tc>
          <w:tcPr>
            <w:tcW w:w="56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634"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773"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5"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c>
          <w:tcPr>
            <w:tcW w:w="499" w:type="dxa"/>
            <w:noWrap w:val="0"/>
            <w:vAlign w:val="center"/>
          </w:tcPr>
          <w:p>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0</w:t>
            </w:r>
          </w:p>
        </w:tc>
      </w:tr>
    </w:tbl>
    <w:tbl>
      <w:tblPr>
        <w:tblStyle w:val="8"/>
        <w:tblpPr w:leftFromText="180" w:rightFromText="180" w:vertAnchor="text" w:tblpX="10214" w:tblpY="-5760"/>
        <w:tblOverlap w:val="never"/>
        <w:tblW w:w="32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266" w:type="dxa"/>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jc w:val="both"/>
              <w:textAlignment w:val="auto"/>
              <w:rPr>
                <w:rStyle w:val="10"/>
                <w:rFonts w:hint="eastAsia" w:ascii="黑体" w:hAnsi="宋体" w:eastAsia="黑体" w:cs="黑体"/>
                <w:sz w:val="32"/>
                <w:szCs w:val="32"/>
                <w:shd w:val="clear" w:fill="FFFFFF"/>
                <w:vertAlign w:val="baseline"/>
              </w:rPr>
            </w:pPr>
          </w:p>
        </w:tc>
      </w:tr>
    </w:tbl>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643" w:firstLineChars="200"/>
        <w:jc w:val="both"/>
        <w:textAlignment w:val="auto"/>
        <w:rPr>
          <w:sz w:val="32"/>
          <w:szCs w:val="32"/>
        </w:rPr>
      </w:pPr>
      <w:r>
        <w:rPr>
          <w:rStyle w:val="10"/>
          <w:rFonts w:hint="eastAsia" w:ascii="黑体" w:hAnsi="宋体" w:eastAsia="黑体" w:cs="黑体"/>
          <w:sz w:val="32"/>
          <w:szCs w:val="32"/>
          <w:shd w:val="clear" w:fill="FFFFFF"/>
        </w:rPr>
        <w:t>四、政府信息公开行政复议、行政诉讼情况</w:t>
      </w:r>
      <w:r>
        <w:rPr>
          <w:rStyle w:val="10"/>
          <w:rFonts w:hint="eastAsia" w:ascii="仿宋" w:hAnsi="仿宋" w:eastAsia="仿宋" w:cs="仿宋"/>
          <w:color w:val="333333"/>
          <w:sz w:val="32"/>
          <w:szCs w:val="32"/>
          <w:shd w:val="clear" w:fill="FFFFFF"/>
        </w:rPr>
        <w:t> </w:t>
      </w:r>
    </w:p>
    <w:tbl>
      <w:tblPr>
        <w:tblStyle w:val="7"/>
        <w:tblW w:w="5245"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95"/>
        <w:gridCol w:w="595"/>
        <w:gridCol w:w="595"/>
        <w:gridCol w:w="595"/>
        <w:gridCol w:w="596"/>
        <w:gridCol w:w="596"/>
        <w:gridCol w:w="596"/>
        <w:gridCol w:w="596"/>
        <w:gridCol w:w="596"/>
        <w:gridCol w:w="597"/>
        <w:gridCol w:w="596"/>
        <w:gridCol w:w="596"/>
        <w:gridCol w:w="596"/>
        <w:gridCol w:w="596"/>
        <w:gridCol w:w="59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82" w:hRule="atLeast"/>
        </w:trPr>
        <w:tc>
          <w:tcPr>
            <w:tcW w:w="1666" w:type="pct"/>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黑体" w:hAnsi="黑体" w:eastAsia="黑体" w:cs="黑体"/>
                <w:b w:val="0"/>
                <w:bCs w:val="0"/>
                <w:kern w:val="2"/>
                <w:sz w:val="21"/>
                <w:szCs w:val="21"/>
                <w:lang w:val="en-US" w:eastAsia="zh-CN" w:bidi="ar-SA"/>
              </w:rPr>
            </w:pPr>
            <w:r>
              <w:rPr>
                <w:rFonts w:hint="eastAsia" w:ascii="黑体" w:hAnsi="黑体" w:eastAsia="黑体" w:cs="黑体"/>
                <w:b w:val="0"/>
                <w:bCs w:val="0"/>
                <w:kern w:val="2"/>
                <w:sz w:val="21"/>
                <w:szCs w:val="21"/>
                <w:lang w:val="en-US" w:eastAsia="zh-CN" w:bidi="ar-SA"/>
              </w:rPr>
              <w:t>行政复议</w:t>
            </w:r>
          </w:p>
        </w:tc>
        <w:tc>
          <w:tcPr>
            <w:tcW w:w="3333" w:type="pct"/>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黑体" w:hAnsi="黑体" w:eastAsia="黑体" w:cs="黑体"/>
                <w:b w:val="0"/>
                <w:bCs w:val="0"/>
                <w:kern w:val="2"/>
                <w:sz w:val="21"/>
                <w:szCs w:val="21"/>
                <w:lang w:val="en-US" w:eastAsia="zh-CN" w:bidi="ar-SA"/>
              </w:rPr>
            </w:pPr>
            <w:r>
              <w:rPr>
                <w:rFonts w:hint="eastAsia" w:ascii="黑体" w:hAnsi="黑体" w:eastAsia="黑体" w:cs="黑体"/>
                <w:b w:val="0"/>
                <w:bCs w:val="0"/>
                <w:kern w:val="2"/>
                <w:sz w:val="21"/>
                <w:szCs w:val="21"/>
                <w:lang w:val="en-US" w:eastAsia="zh-CN" w:bidi="ar-SA"/>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82" w:hRule="atLeast"/>
        </w:trPr>
        <w:tc>
          <w:tcPr>
            <w:tcW w:w="333"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结果维持</w:t>
            </w:r>
          </w:p>
        </w:tc>
        <w:tc>
          <w:tcPr>
            <w:tcW w:w="333"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结果纠正</w:t>
            </w:r>
          </w:p>
        </w:tc>
        <w:tc>
          <w:tcPr>
            <w:tcW w:w="333" w:type="pct"/>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其他结果</w:t>
            </w:r>
          </w:p>
        </w:tc>
        <w:tc>
          <w:tcPr>
            <w:tcW w:w="333" w:type="pct"/>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尚未审结</w:t>
            </w:r>
          </w:p>
        </w:tc>
        <w:tc>
          <w:tcPr>
            <w:tcW w:w="333" w:type="pct"/>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总计</w:t>
            </w:r>
          </w:p>
        </w:tc>
        <w:tc>
          <w:tcPr>
            <w:tcW w:w="1666" w:type="pct"/>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黑体" w:hAnsi="黑体" w:eastAsia="黑体" w:cs="黑体"/>
                <w:b w:val="0"/>
                <w:bCs w:val="0"/>
                <w:kern w:val="2"/>
                <w:sz w:val="21"/>
                <w:szCs w:val="21"/>
                <w:lang w:val="en-US" w:eastAsia="zh-CN" w:bidi="ar-SA"/>
              </w:rPr>
            </w:pPr>
            <w:r>
              <w:rPr>
                <w:rFonts w:hint="eastAsia" w:ascii="黑体" w:hAnsi="黑体" w:eastAsia="黑体" w:cs="黑体"/>
                <w:b w:val="0"/>
                <w:bCs w:val="0"/>
                <w:kern w:val="2"/>
                <w:sz w:val="21"/>
                <w:szCs w:val="21"/>
                <w:lang w:val="en-US" w:eastAsia="zh-CN" w:bidi="ar-SA"/>
              </w:rPr>
              <w:t>未经复议直接起诉</w:t>
            </w:r>
          </w:p>
        </w:tc>
        <w:tc>
          <w:tcPr>
            <w:tcW w:w="1666" w:type="pct"/>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黑体" w:hAnsi="黑体" w:eastAsia="黑体" w:cs="黑体"/>
                <w:b w:val="0"/>
                <w:bCs w:val="0"/>
                <w:kern w:val="2"/>
                <w:sz w:val="21"/>
                <w:szCs w:val="21"/>
                <w:lang w:val="en-US" w:eastAsia="zh-CN" w:bidi="ar-SA"/>
              </w:rPr>
            </w:pPr>
            <w:r>
              <w:rPr>
                <w:rFonts w:hint="eastAsia" w:ascii="黑体" w:hAnsi="黑体" w:eastAsia="黑体" w:cs="黑体"/>
                <w:b w:val="0"/>
                <w:bCs w:val="0"/>
                <w:kern w:val="2"/>
                <w:sz w:val="21"/>
                <w:szCs w:val="21"/>
                <w:lang w:val="en-US" w:eastAsia="zh-CN" w:bidi="ar-SA"/>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59" w:hRule="atLeast"/>
        </w:trPr>
        <w:tc>
          <w:tcPr>
            <w:tcW w:w="33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rPr>
                <w:rFonts w:hint="eastAsia" w:ascii="宋体"/>
                <w:sz w:val="24"/>
                <w:szCs w:val="24"/>
              </w:rPr>
            </w:pPr>
          </w:p>
        </w:tc>
        <w:tc>
          <w:tcPr>
            <w:tcW w:w="33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rPr>
                <w:rFonts w:hint="eastAsia" w:ascii="宋体"/>
                <w:sz w:val="24"/>
                <w:szCs w:val="24"/>
              </w:rPr>
            </w:pPr>
          </w:p>
        </w:tc>
        <w:tc>
          <w:tcPr>
            <w:tcW w:w="333" w:type="pct"/>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rPr>
                <w:rFonts w:hint="eastAsia" w:ascii="宋体"/>
                <w:sz w:val="24"/>
                <w:szCs w:val="24"/>
              </w:rPr>
            </w:pPr>
          </w:p>
        </w:tc>
        <w:tc>
          <w:tcPr>
            <w:tcW w:w="333" w:type="pct"/>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rPr>
                <w:rFonts w:hint="eastAsia" w:ascii="宋体"/>
                <w:sz w:val="24"/>
                <w:szCs w:val="24"/>
              </w:rPr>
            </w:pPr>
          </w:p>
        </w:tc>
        <w:tc>
          <w:tcPr>
            <w:tcW w:w="333" w:type="pct"/>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rPr>
                <w:rFonts w:hint="eastAsia" w:ascii="宋体"/>
                <w:sz w:val="24"/>
                <w:szCs w:val="24"/>
              </w:rPr>
            </w:pP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结果维持</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结果纠正</w:t>
            </w:r>
          </w:p>
        </w:tc>
        <w:tc>
          <w:tcPr>
            <w:tcW w:w="333"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其他结果</w:t>
            </w:r>
          </w:p>
        </w:tc>
        <w:tc>
          <w:tcPr>
            <w:tcW w:w="333"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尚未审结</w:t>
            </w:r>
          </w:p>
        </w:tc>
        <w:tc>
          <w:tcPr>
            <w:tcW w:w="333"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总计</w:t>
            </w:r>
          </w:p>
        </w:tc>
        <w:tc>
          <w:tcPr>
            <w:tcW w:w="333"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结果维持</w:t>
            </w:r>
          </w:p>
        </w:tc>
        <w:tc>
          <w:tcPr>
            <w:tcW w:w="333"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结果纠正</w:t>
            </w:r>
          </w:p>
        </w:tc>
        <w:tc>
          <w:tcPr>
            <w:tcW w:w="333"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其他结果</w:t>
            </w:r>
          </w:p>
        </w:tc>
        <w:tc>
          <w:tcPr>
            <w:tcW w:w="333"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尚未审结</w:t>
            </w:r>
          </w:p>
        </w:tc>
        <w:tc>
          <w:tcPr>
            <w:tcW w:w="333"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05" w:hRule="atLeast"/>
        </w:trPr>
        <w:tc>
          <w:tcPr>
            <w:tcW w:w="33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0</w:t>
            </w:r>
          </w:p>
        </w:tc>
      </w:tr>
    </w:tbl>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firstLine="643" w:firstLineChars="200"/>
        <w:textAlignment w:val="auto"/>
        <w:rPr>
          <w:rFonts w:hint="eastAsia" w:ascii="黑体" w:hAnsi="黑体" w:eastAsia="黑体" w:cs="黑体"/>
          <w:sz w:val="32"/>
          <w:szCs w:val="32"/>
        </w:rPr>
      </w:pPr>
      <w:r>
        <w:rPr>
          <w:rStyle w:val="10"/>
          <w:rFonts w:hint="eastAsia" w:ascii="黑体" w:hAnsi="黑体" w:eastAsia="黑体" w:cs="黑体"/>
          <w:color w:val="333333"/>
          <w:sz w:val="32"/>
          <w:szCs w:val="32"/>
        </w:rPr>
        <w:t>五、存在的主要问题及改进情况</w:t>
      </w:r>
    </w:p>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firstLine="643" w:firstLineChars="200"/>
        <w:textAlignment w:val="auto"/>
        <w:rPr>
          <w:rStyle w:val="10"/>
          <w:rFonts w:hint="eastAsia" w:ascii="楷体" w:hAnsi="楷体" w:eastAsia="楷体" w:cs="楷体"/>
          <w:color w:val="333333"/>
          <w:sz w:val="32"/>
          <w:szCs w:val="32"/>
        </w:rPr>
      </w:pPr>
      <w:r>
        <w:rPr>
          <w:rStyle w:val="10"/>
          <w:rFonts w:hint="eastAsia" w:ascii="楷体" w:hAnsi="楷体" w:eastAsia="楷体" w:cs="楷体"/>
          <w:color w:val="333333"/>
          <w:sz w:val="32"/>
          <w:szCs w:val="32"/>
          <w:lang w:eastAsia="zh-CN"/>
        </w:rPr>
        <w:t>（一）</w:t>
      </w:r>
      <w:r>
        <w:rPr>
          <w:rStyle w:val="10"/>
          <w:rFonts w:hint="eastAsia" w:ascii="楷体" w:hAnsi="楷体" w:eastAsia="楷体" w:cs="楷体"/>
          <w:color w:val="333333"/>
          <w:sz w:val="32"/>
          <w:szCs w:val="32"/>
        </w:rPr>
        <w:t>存在的主要问题</w:t>
      </w:r>
    </w:p>
    <w:p>
      <w:pPr>
        <w:pStyle w:val="6"/>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firstLine="643" w:firstLineChars="200"/>
        <w:textAlignment w:val="auto"/>
        <w:rPr>
          <w:rStyle w:val="10"/>
          <w:rFonts w:hint="eastAsia" w:ascii="仿宋" w:hAnsi="仿宋" w:eastAsia="仿宋" w:cs="仿宋"/>
          <w:b/>
          <w:bCs w:val="0"/>
          <w:color w:val="333333"/>
          <w:sz w:val="32"/>
          <w:szCs w:val="32"/>
          <w:lang w:val="en-US" w:eastAsia="zh-CN"/>
        </w:rPr>
      </w:pPr>
      <w:r>
        <w:rPr>
          <w:rStyle w:val="10"/>
          <w:rFonts w:hint="eastAsia" w:ascii="仿宋" w:hAnsi="仿宋" w:eastAsia="仿宋" w:cs="仿宋"/>
          <w:b/>
          <w:bCs w:val="0"/>
          <w:color w:val="333333"/>
          <w:sz w:val="32"/>
          <w:szCs w:val="32"/>
          <w:lang w:val="en-US" w:eastAsia="zh-CN"/>
        </w:rPr>
        <w:t>1.政务公开工作力量薄弱。政务公开工作任务繁杂、涉及科室较多、业务范围较广，协调工作量大。政务公开工作具体工作人员往往都是兼职，人少事多，疲于应付，难以保证政务公开工作保质保量完成。</w:t>
      </w:r>
    </w:p>
    <w:p>
      <w:pPr>
        <w:keepNext w:val="0"/>
        <w:keepLines w:val="0"/>
        <w:pageBreakBefore w:val="0"/>
        <w:kinsoku/>
        <w:wordWrap/>
        <w:overflowPunct/>
        <w:topLinePunct w:val="0"/>
        <w:autoSpaceDN/>
        <w:bidi w:val="0"/>
        <w:adjustRightInd/>
        <w:snapToGrid/>
        <w:spacing w:beforeAutospacing="0" w:afterAutospacing="0" w:line="560" w:lineRule="exact"/>
        <w:ind w:left="0"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2.文件、会议解读质量有待提高。对政府常务会议议题解读、对部门文件、规范性文件的解读质量不高，解读不及时，未能与正式文件同步发布。解读形式较为单一，缺乏新颖性、独特性、丰富性。</w:t>
      </w:r>
    </w:p>
    <w:p>
      <w:pPr>
        <w:keepNext w:val="0"/>
        <w:keepLines w:val="0"/>
        <w:pageBreakBefore w:val="0"/>
        <w:kinsoku/>
        <w:wordWrap/>
        <w:overflowPunct/>
        <w:topLinePunct w:val="0"/>
        <w:autoSpaceDN/>
        <w:bidi w:val="0"/>
        <w:adjustRightInd/>
        <w:snapToGrid/>
        <w:spacing w:beforeAutospacing="0" w:afterAutospacing="0" w:line="560" w:lineRule="exact"/>
        <w:ind w:left="0"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3.各科室之间配合力度不够。政务公开工作不仅是办公室分内工作，由办公室牵头负责，调度收集汇总信息数据，而且与各科室紧密相关，大部分信息由各科室产生、制作。各科室之间沟通协调有待进一步加强，协作配合力度有待进一步提高。</w:t>
      </w:r>
    </w:p>
    <w:p>
      <w:pPr>
        <w:keepNext w:val="0"/>
        <w:keepLines w:val="0"/>
        <w:pageBreakBefore w:val="0"/>
        <w:kinsoku/>
        <w:wordWrap/>
        <w:overflowPunct/>
        <w:topLinePunct w:val="0"/>
        <w:autoSpaceDN/>
        <w:bidi w:val="0"/>
        <w:adjustRightInd/>
        <w:snapToGrid/>
        <w:spacing w:beforeAutospacing="0" w:afterAutospacing="0" w:line="560" w:lineRule="exact"/>
        <w:ind w:left="0" w:firstLine="643" w:firstLineChars="200"/>
        <w:textAlignment w:val="auto"/>
        <w:rPr>
          <w:rStyle w:val="10"/>
          <w:rFonts w:hint="eastAsia" w:ascii="楷体" w:hAnsi="楷体" w:eastAsia="楷体" w:cs="楷体"/>
          <w:color w:val="333333"/>
          <w:sz w:val="32"/>
          <w:szCs w:val="32"/>
          <w:shd w:val="clear" w:fill="FFFFFF"/>
        </w:rPr>
      </w:pPr>
      <w:r>
        <w:rPr>
          <w:rStyle w:val="10"/>
          <w:rFonts w:hint="eastAsia" w:ascii="楷体" w:hAnsi="楷体" w:eastAsia="楷体" w:cs="楷体"/>
          <w:color w:val="333333"/>
          <w:sz w:val="32"/>
          <w:szCs w:val="32"/>
          <w:shd w:val="clear" w:fill="FFFFFF"/>
          <w:lang w:eastAsia="zh-CN"/>
        </w:rPr>
        <w:t>（二）</w:t>
      </w:r>
      <w:r>
        <w:rPr>
          <w:rStyle w:val="10"/>
          <w:rFonts w:hint="eastAsia" w:ascii="楷体" w:hAnsi="楷体" w:eastAsia="楷体" w:cs="楷体"/>
          <w:color w:val="333333"/>
          <w:sz w:val="32"/>
          <w:szCs w:val="32"/>
          <w:shd w:val="clear" w:fill="FFFFFF"/>
        </w:rPr>
        <w:t>改进情况</w:t>
      </w:r>
    </w:p>
    <w:p>
      <w:pPr>
        <w:keepNext w:val="0"/>
        <w:keepLines w:val="0"/>
        <w:pageBreakBefore w:val="0"/>
        <w:kinsoku/>
        <w:wordWrap/>
        <w:overflowPunct/>
        <w:topLinePunct w:val="0"/>
        <w:autoSpaceDN/>
        <w:bidi w:val="0"/>
        <w:adjustRightInd/>
        <w:snapToGrid/>
        <w:spacing w:beforeAutospacing="0" w:afterAutospacing="0" w:line="560" w:lineRule="exact"/>
        <w:ind w:left="0" w:firstLine="643" w:firstLineChars="200"/>
        <w:textAlignment w:val="auto"/>
        <w:rPr>
          <w:rStyle w:val="10"/>
          <w:rFonts w:hint="eastAsia" w:ascii="仿宋" w:hAnsi="仿宋" w:eastAsia="仿宋" w:cs="仿宋"/>
          <w:color w:val="333333"/>
          <w:sz w:val="32"/>
          <w:szCs w:val="32"/>
          <w:shd w:val="clear" w:fill="FFFFFF"/>
          <w:lang w:val="en-US" w:eastAsia="zh-CN"/>
        </w:rPr>
      </w:pPr>
      <w:r>
        <w:rPr>
          <w:rStyle w:val="10"/>
          <w:rFonts w:hint="eastAsia" w:ascii="仿宋" w:hAnsi="仿宋" w:eastAsia="仿宋" w:cs="仿宋"/>
          <w:color w:val="333333"/>
          <w:sz w:val="32"/>
          <w:szCs w:val="32"/>
          <w:shd w:val="clear" w:fill="FFFFFF"/>
          <w:lang w:val="en-US" w:eastAsia="zh-CN"/>
        </w:rPr>
        <w:t>2022年，县住建局将不断对标先进，学习标杆，提高标准，看亮点，查不足，严格按照县委县政府工作要求，坚持“问题导向，结果导向，目标导向”，扎实开展政务公开工作，做好政府信息主动公开和依申请公开，将政务公开工作迈向新台阶。主要做好以下三个方面：</w:t>
      </w:r>
    </w:p>
    <w:p>
      <w:pPr>
        <w:keepNext w:val="0"/>
        <w:keepLines w:val="0"/>
        <w:pageBreakBefore w:val="0"/>
        <w:kinsoku/>
        <w:wordWrap/>
        <w:overflowPunct/>
        <w:topLinePunct w:val="0"/>
        <w:autoSpaceDN/>
        <w:bidi w:val="0"/>
        <w:adjustRightInd/>
        <w:snapToGrid/>
        <w:spacing w:beforeAutospacing="0" w:afterAutospacing="0" w:line="560" w:lineRule="exact"/>
        <w:ind w:left="0" w:firstLine="643" w:firstLineChars="200"/>
        <w:textAlignment w:val="auto"/>
        <w:rPr>
          <w:rStyle w:val="10"/>
          <w:rFonts w:hint="eastAsia" w:ascii="仿宋" w:hAnsi="仿宋" w:eastAsia="仿宋" w:cs="仿宋"/>
          <w:color w:val="333333"/>
          <w:sz w:val="32"/>
          <w:szCs w:val="32"/>
          <w:shd w:val="clear" w:fill="FFFFFF"/>
          <w:lang w:val="en-US" w:eastAsia="zh-CN"/>
        </w:rPr>
      </w:pPr>
      <w:r>
        <w:rPr>
          <w:rStyle w:val="10"/>
          <w:rFonts w:hint="eastAsia" w:ascii="仿宋" w:hAnsi="仿宋" w:eastAsia="仿宋" w:cs="仿宋"/>
          <w:color w:val="333333"/>
          <w:sz w:val="32"/>
          <w:szCs w:val="32"/>
          <w:shd w:val="clear" w:fill="FFFFFF"/>
          <w:lang w:val="en-US" w:eastAsia="zh-CN"/>
        </w:rPr>
        <w:t>1.加强领导，提高认识。高度重视政务公开工作，将政务公开工作放在全局工作重要位置上。加强组织领导，强化责任落实。不断配强力量，明确分工。建立健全政府信息公开工作制度、保密制度、备案制度、依申请公开答复工作制度，并抓好落实，在建章立制、制度执行上下足功夫。</w:t>
      </w:r>
    </w:p>
    <w:p>
      <w:pPr>
        <w:keepNext w:val="0"/>
        <w:keepLines w:val="0"/>
        <w:pageBreakBefore w:val="0"/>
        <w:kinsoku/>
        <w:wordWrap/>
        <w:overflowPunct/>
        <w:topLinePunct w:val="0"/>
        <w:autoSpaceDN/>
        <w:bidi w:val="0"/>
        <w:adjustRightInd/>
        <w:snapToGrid/>
        <w:spacing w:beforeAutospacing="0" w:afterAutospacing="0" w:line="560" w:lineRule="exact"/>
        <w:ind w:left="0" w:firstLine="643" w:firstLineChars="200"/>
        <w:textAlignment w:val="auto"/>
        <w:rPr>
          <w:rStyle w:val="10"/>
          <w:rFonts w:hint="eastAsia" w:ascii="仿宋" w:hAnsi="仿宋" w:eastAsia="仿宋" w:cs="仿宋"/>
          <w:color w:val="333333"/>
          <w:sz w:val="32"/>
          <w:szCs w:val="32"/>
          <w:shd w:val="clear" w:fill="FFFFFF"/>
          <w:lang w:val="en-US" w:eastAsia="zh-CN"/>
        </w:rPr>
      </w:pPr>
      <w:r>
        <w:rPr>
          <w:rStyle w:val="10"/>
          <w:rFonts w:hint="eastAsia" w:ascii="仿宋" w:hAnsi="仿宋" w:eastAsia="仿宋" w:cs="仿宋"/>
          <w:color w:val="333333"/>
          <w:sz w:val="32"/>
          <w:szCs w:val="32"/>
          <w:shd w:val="clear" w:fill="FFFFFF"/>
          <w:lang w:val="en-US" w:eastAsia="zh-CN"/>
        </w:rPr>
        <w:t>2.落实责任，扎实推进。充分发挥主观性、能动性、创造力，不断解放思想，创新思路。着力提升我局政务公开工作质量和水平。大力提升解读材料质量，致力于提升解读形式内容丰富性，及时高效完成各项解读工作任务。</w:t>
      </w:r>
    </w:p>
    <w:p>
      <w:pPr>
        <w:keepNext w:val="0"/>
        <w:keepLines w:val="0"/>
        <w:pageBreakBefore w:val="0"/>
        <w:kinsoku/>
        <w:wordWrap/>
        <w:overflowPunct/>
        <w:topLinePunct w:val="0"/>
        <w:autoSpaceDN/>
        <w:bidi w:val="0"/>
        <w:adjustRightInd/>
        <w:snapToGrid/>
        <w:spacing w:beforeAutospacing="0" w:afterAutospacing="0" w:line="560" w:lineRule="exact"/>
        <w:ind w:left="0" w:firstLine="643" w:firstLineChars="200"/>
        <w:textAlignment w:val="auto"/>
        <w:rPr>
          <w:rStyle w:val="10"/>
          <w:rFonts w:hint="eastAsia" w:ascii="仿宋" w:hAnsi="仿宋" w:eastAsia="仿宋" w:cs="仿宋"/>
          <w:color w:val="333333"/>
          <w:sz w:val="32"/>
          <w:szCs w:val="32"/>
          <w:shd w:val="clear" w:fill="FFFFFF"/>
          <w:lang w:val="en-US" w:eastAsia="zh-CN"/>
        </w:rPr>
      </w:pPr>
      <w:r>
        <w:rPr>
          <w:rStyle w:val="10"/>
          <w:rFonts w:hint="eastAsia" w:ascii="仿宋" w:hAnsi="仿宋" w:eastAsia="仿宋" w:cs="仿宋"/>
          <w:color w:val="333333"/>
          <w:sz w:val="32"/>
          <w:szCs w:val="32"/>
          <w:shd w:val="clear" w:fill="FFFFFF"/>
          <w:lang w:val="en-US" w:eastAsia="zh-CN"/>
        </w:rPr>
        <w:t>3.密切联系，形成合力。政府信息公开工作是一项系统的工程，需要各部门、各科室加以配合、团结一致。各单位、各科室之间要相互协作，认真对待，互通互动，形成工作合力，共同努力将政府信息公开工作纵深推进。</w:t>
      </w:r>
    </w:p>
    <w:p>
      <w:pPr>
        <w:pStyle w:val="6"/>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560" w:lineRule="exact"/>
        <w:ind w:left="0" w:firstLine="643" w:firstLineChars="200"/>
        <w:jc w:val="left"/>
        <w:textAlignment w:val="auto"/>
        <w:rPr>
          <w:rStyle w:val="10"/>
          <w:rFonts w:hint="eastAsia" w:ascii="黑体" w:hAnsi="黑体" w:eastAsia="黑体" w:cs="黑体"/>
          <w:sz w:val="32"/>
          <w:szCs w:val="32"/>
          <w:shd w:val="clear" w:fill="FFFFFF"/>
        </w:rPr>
      </w:pPr>
      <w:r>
        <w:rPr>
          <w:rStyle w:val="10"/>
          <w:rFonts w:hint="eastAsia" w:ascii="黑体" w:hAnsi="黑体" w:eastAsia="黑体" w:cs="黑体"/>
          <w:sz w:val="32"/>
          <w:szCs w:val="32"/>
          <w:shd w:val="clear" w:fill="FFFFFF"/>
        </w:rPr>
        <w:t>六、其他需要报告的事项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rPr>
          <w:rFonts w:ascii="微软雅黑" w:hAnsi="微软雅黑" w:eastAsia="微软雅黑" w:cs="微软雅黑"/>
          <w:i w:val="0"/>
          <w:iCs w:val="0"/>
          <w:caps w:val="0"/>
          <w:color w:val="000000"/>
          <w:spacing w:val="0"/>
          <w:sz w:val="24"/>
          <w:szCs w:val="24"/>
        </w:rPr>
      </w:pPr>
      <w:r>
        <w:rPr>
          <w:rStyle w:val="10"/>
          <w:rFonts w:ascii="仿宋_GB2312" w:hAnsi="微软雅黑" w:eastAsia="仿宋_GB2312" w:cs="仿宋_GB2312"/>
          <w:b/>
          <w:bCs/>
          <w:i w:val="0"/>
          <w:iCs w:val="0"/>
          <w:caps w:val="0"/>
          <w:color w:val="000000"/>
          <w:spacing w:val="0"/>
          <w:sz w:val="32"/>
          <w:szCs w:val="32"/>
        </w:rPr>
        <w:t>1.收费情况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b/>
          <w:bCs/>
          <w:i w:val="0"/>
          <w:iCs w:val="0"/>
          <w:caps w:val="0"/>
          <w:color w:val="000000"/>
          <w:spacing w:val="0"/>
          <w:sz w:val="32"/>
          <w:szCs w:val="32"/>
        </w:rPr>
        <w:t>根据《国务院办公厅关于印发〈政府信息公开信息处理费管理办法〉的通知》（国办函〔2020〕109号）和《山东省人民政府办公厅关于做好政府信息公开信息处理费管理工作有关事项的通知》（鲁政办字〔2020〕179号）规定，本年度未收取任何政府信息公开信息处理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rPr>
          <w:rFonts w:hint="eastAsia" w:ascii="微软雅黑" w:hAnsi="微软雅黑" w:eastAsia="微软雅黑" w:cs="微软雅黑"/>
          <w:i w:val="0"/>
          <w:iCs w:val="0"/>
          <w:caps w:val="0"/>
          <w:color w:val="000000"/>
          <w:spacing w:val="0"/>
          <w:sz w:val="24"/>
          <w:szCs w:val="24"/>
        </w:rPr>
      </w:pPr>
      <w:r>
        <w:rPr>
          <w:rStyle w:val="10"/>
          <w:rFonts w:hint="eastAsia" w:ascii="仿宋_GB2312" w:hAnsi="微软雅黑" w:eastAsia="仿宋_GB2312" w:cs="仿宋_GB2312"/>
          <w:b/>
          <w:bCs/>
          <w:i w:val="0"/>
          <w:iCs w:val="0"/>
          <w:caps w:val="0"/>
          <w:color w:val="000000"/>
          <w:spacing w:val="0"/>
          <w:sz w:val="32"/>
          <w:szCs w:val="32"/>
        </w:rPr>
        <w:t>2.落实上级工作要点情况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仿宋_GB2312" w:hAnsi="微软雅黑" w:eastAsia="仿宋_GB2312" w:cs="仿宋_GB2312"/>
          <w:b/>
          <w:bCs/>
          <w:i w:val="0"/>
          <w:iCs w:val="0"/>
          <w:caps w:val="0"/>
          <w:color w:val="000000"/>
          <w:spacing w:val="0"/>
          <w:sz w:val="32"/>
          <w:szCs w:val="32"/>
          <w:lang w:eastAsia="zh-CN"/>
        </w:rPr>
      </w:pPr>
      <w:r>
        <w:rPr>
          <w:rFonts w:hint="eastAsia" w:ascii="仿宋_GB2312" w:hAnsi="微软雅黑" w:eastAsia="仿宋_GB2312" w:cs="仿宋_GB2312"/>
          <w:b/>
          <w:bCs/>
          <w:i w:val="0"/>
          <w:iCs w:val="0"/>
          <w:caps w:val="0"/>
          <w:color w:val="000000"/>
          <w:spacing w:val="0"/>
          <w:sz w:val="32"/>
          <w:szCs w:val="32"/>
        </w:rPr>
        <w:t>2021年，沂源县</w:t>
      </w:r>
      <w:r>
        <w:rPr>
          <w:rFonts w:hint="eastAsia" w:ascii="仿宋_GB2312" w:hAnsi="微软雅黑" w:eastAsia="仿宋_GB2312" w:cs="仿宋_GB2312"/>
          <w:b/>
          <w:bCs/>
          <w:i w:val="0"/>
          <w:iCs w:val="0"/>
          <w:caps w:val="0"/>
          <w:color w:val="000000"/>
          <w:spacing w:val="0"/>
          <w:sz w:val="32"/>
          <w:szCs w:val="32"/>
          <w:lang w:eastAsia="zh-CN"/>
        </w:rPr>
        <w:t>住建局</w:t>
      </w:r>
      <w:r>
        <w:rPr>
          <w:rFonts w:hint="eastAsia" w:ascii="仿宋_GB2312" w:hAnsi="微软雅黑" w:eastAsia="仿宋_GB2312" w:cs="仿宋_GB2312"/>
          <w:b/>
          <w:bCs/>
          <w:i w:val="0"/>
          <w:iCs w:val="0"/>
          <w:caps w:val="0"/>
          <w:color w:val="000000"/>
          <w:spacing w:val="0"/>
          <w:sz w:val="32"/>
          <w:szCs w:val="32"/>
        </w:rPr>
        <w:t>按照《2021年沂源县政务公开工作要点》（源政办字〔2021〕21号）相关要求,</w:t>
      </w:r>
      <w:r>
        <w:rPr>
          <w:rFonts w:hint="eastAsia" w:ascii="仿宋_GB2312" w:hAnsi="微软雅黑" w:eastAsia="仿宋_GB2312" w:cs="仿宋_GB2312"/>
          <w:b/>
          <w:bCs/>
          <w:i w:val="0"/>
          <w:iCs w:val="0"/>
          <w:caps w:val="0"/>
          <w:color w:val="000000"/>
          <w:spacing w:val="0"/>
          <w:sz w:val="32"/>
          <w:szCs w:val="32"/>
          <w:lang w:eastAsia="zh-CN"/>
        </w:rPr>
        <w:t>及时更新完善主动公开基本目录和信息公开指南，不断健全部门信息公开制度</w:t>
      </w:r>
      <w:bookmarkStart w:id="0" w:name="_GoBack"/>
      <w:bookmarkEnd w:id="0"/>
      <w:r>
        <w:rPr>
          <w:rFonts w:hint="eastAsia" w:ascii="仿宋_GB2312" w:hAnsi="微软雅黑" w:eastAsia="仿宋_GB2312" w:cs="仿宋_GB2312"/>
          <w:b/>
          <w:bCs/>
          <w:i w:val="0"/>
          <w:iCs w:val="0"/>
          <w:caps w:val="0"/>
          <w:color w:val="000000"/>
          <w:spacing w:val="0"/>
          <w:sz w:val="32"/>
          <w:szCs w:val="32"/>
          <w:lang w:eastAsia="zh-CN"/>
        </w:rPr>
        <w:t>，加强政府网站更新维护，做好信息日常发布工作。进一步健全机制，配强力量，将业务工作与政务工作公开工作有效衔接，大力落实上级</w:t>
      </w:r>
      <w:r>
        <w:rPr>
          <w:rFonts w:hint="eastAsia" w:ascii="仿宋_GB2312" w:hAnsi="微软雅黑" w:eastAsia="仿宋_GB2312" w:cs="仿宋_GB2312"/>
          <w:b/>
          <w:bCs/>
          <w:i w:val="0"/>
          <w:iCs w:val="0"/>
          <w:caps w:val="0"/>
          <w:color w:val="000000"/>
          <w:spacing w:val="0"/>
          <w:sz w:val="32"/>
          <w:szCs w:val="32"/>
        </w:rPr>
        <w:t>政务公开工作要点</w:t>
      </w:r>
      <w:r>
        <w:rPr>
          <w:rFonts w:hint="eastAsia" w:ascii="仿宋_GB2312" w:hAnsi="微软雅黑" w:eastAsia="仿宋_GB2312" w:cs="仿宋_GB2312"/>
          <w:b/>
          <w:bCs/>
          <w:i w:val="0"/>
          <w:iCs w:val="0"/>
          <w:caps w:val="0"/>
          <w:color w:val="000000"/>
          <w:spacing w:val="0"/>
          <w:sz w:val="32"/>
          <w:szCs w:val="32"/>
          <w:lang w:eastAsia="zh-CN"/>
        </w:rPr>
        <w:t>。</w:t>
      </w:r>
    </w:p>
    <w:p>
      <w:pPr>
        <w:pStyle w:val="6"/>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560" w:lineRule="exact"/>
        <w:ind w:left="0" w:firstLine="643" w:firstLineChars="200"/>
        <w:jc w:val="left"/>
        <w:textAlignment w:val="auto"/>
        <w:rPr>
          <w:rStyle w:val="10"/>
          <w:rFonts w:hint="default" w:ascii="黑体" w:hAnsi="黑体" w:eastAsia="黑体" w:cs="黑体"/>
          <w:sz w:val="32"/>
          <w:szCs w:val="32"/>
          <w:shd w:val="clear" w:fill="FFFFFF"/>
          <w:lang w:val="en-US" w:eastAsia="zh-CN"/>
        </w:rPr>
      </w:pPr>
      <w:r>
        <w:rPr>
          <w:rStyle w:val="10"/>
          <w:rFonts w:hint="eastAsia" w:ascii="黑体" w:hAnsi="黑体" w:eastAsia="黑体" w:cs="黑体"/>
          <w:sz w:val="32"/>
          <w:szCs w:val="32"/>
          <w:shd w:val="clear" w:fill="FFFFFF"/>
          <w:lang w:val="en-US" w:eastAsia="zh-CN"/>
        </w:rPr>
        <w:t>3.</w:t>
      </w:r>
      <w:r>
        <w:rPr>
          <w:rStyle w:val="10"/>
          <w:rFonts w:ascii="仿宋_GB2312" w:hAnsi="微软雅黑" w:eastAsia="仿宋_GB2312" w:cs="仿宋_GB2312"/>
          <w:b/>
          <w:bCs/>
          <w:i w:val="0"/>
          <w:iCs w:val="0"/>
          <w:caps w:val="0"/>
          <w:color w:val="000000"/>
          <w:spacing w:val="0"/>
          <w:sz w:val="32"/>
          <w:szCs w:val="32"/>
          <w:shd w:val="clear" w:fill="FFFFFF"/>
        </w:rPr>
        <w:t>人大代表建议和政协提案办理结果公开情况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3" w:firstLineChars="200"/>
        <w:jc w:val="left"/>
        <w:textAlignment w:val="auto"/>
        <w:rPr>
          <w:rStyle w:val="10"/>
          <w:rFonts w:hint="default" w:ascii="仿宋" w:hAnsi="仿宋" w:eastAsia="仿宋" w:cs="仿宋"/>
          <w:b/>
          <w:bCs/>
          <w:color w:val="333333"/>
          <w:sz w:val="32"/>
          <w:szCs w:val="32"/>
          <w:shd w:val="clear" w:fill="FFFFFF"/>
          <w:lang w:val="en-US" w:eastAsia="zh-CN"/>
        </w:rPr>
      </w:pPr>
      <w:r>
        <w:rPr>
          <w:rFonts w:ascii="仿宋" w:hAnsi="仿宋" w:eastAsia="仿宋" w:cs="仿宋"/>
          <w:b/>
          <w:bCs/>
          <w:sz w:val="32"/>
          <w:szCs w:val="32"/>
        </w:rPr>
        <w:t>2021</w:t>
      </w:r>
      <w:r>
        <w:rPr>
          <w:rFonts w:hint="eastAsia" w:ascii="仿宋" w:hAnsi="仿宋" w:eastAsia="仿宋" w:cs="仿宋"/>
          <w:b/>
          <w:bCs/>
          <w:sz w:val="32"/>
          <w:szCs w:val="32"/>
        </w:rPr>
        <w:t>年县住建局共承办人大代表建议和政协委员提案共25件，比去年同比增加了66.7%，其中人大代表建议13件，比去年增加了11件，政协委员提案12件，比去年减少了7.7%。人大建议和政协委员提案反映的问题集中在以下四个方面，一是加强物业管理、完善小区公共基础设施建设建议提案7件，二是完善市政基础设施建设、提升城市品质建议提案11件，三是加强棚户区改造建议提案3件，四是加强老旧小区改造建议提案3件，加强建材、装饰装修材料的市场管理提案1件。这些意见和建议表现了</w:t>
      </w:r>
      <w:r>
        <w:rPr>
          <w:rFonts w:hint="eastAsia" w:ascii="仿宋" w:hAnsi="仿宋" w:eastAsia="仿宋" w:cs="仿宋"/>
          <w:b/>
          <w:bCs/>
          <w:caps w:val="0"/>
          <w:color w:val="000000"/>
          <w:spacing w:val="0"/>
          <w:sz w:val="32"/>
          <w:szCs w:val="32"/>
          <w:shd w:val="clear" w:fill="FFFFFF"/>
        </w:rPr>
        <w:t>人大代表、政协委员、各级领导和社会各界对住建领域工作</w:t>
      </w:r>
      <w:r>
        <w:rPr>
          <w:rFonts w:hint="eastAsia" w:ascii="仿宋" w:hAnsi="仿宋" w:eastAsia="仿宋" w:cs="仿宋"/>
          <w:b/>
          <w:bCs/>
          <w:sz w:val="32"/>
          <w:szCs w:val="32"/>
        </w:rPr>
        <w:t>关心与重视，充分反映了广大人民群众的心声和诉求。我局高度重视建议提案的答复工作，加强组织领导，对建议提案答复工作进行任务分解，明确具体承办科室和人员。认真研究对策，积极采取切实可行举措，对于人大代表，政协委员反馈的问题，有效进行反馈回应，提高公众满意度，实现办复率100%。</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3ED5DF"/>
    <w:multiLevelType w:val="singleLevel"/>
    <w:tmpl w:val="A03ED5DF"/>
    <w:lvl w:ilvl="0" w:tentative="0">
      <w:start w:val="5"/>
      <w:numFmt w:val="chineseCounting"/>
      <w:suff w:val="nothing"/>
      <w:lvlText w:val="（%1）"/>
      <w:lvlJc w:val="left"/>
      <w:rPr>
        <w:rFonts w:hint="eastAsia"/>
      </w:rPr>
    </w:lvl>
  </w:abstractNum>
  <w:abstractNum w:abstractNumId="1">
    <w:nsid w:val="7E5941BB"/>
    <w:multiLevelType w:val="singleLevel"/>
    <w:tmpl w:val="7E5941B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6502A5"/>
    <w:rsid w:val="04DF5805"/>
    <w:rsid w:val="0585028E"/>
    <w:rsid w:val="0D5E3032"/>
    <w:rsid w:val="0DAC6849"/>
    <w:rsid w:val="16674766"/>
    <w:rsid w:val="17E01C64"/>
    <w:rsid w:val="19F52027"/>
    <w:rsid w:val="1A06262D"/>
    <w:rsid w:val="22115837"/>
    <w:rsid w:val="24A62146"/>
    <w:rsid w:val="25B17549"/>
    <w:rsid w:val="25DD6D16"/>
    <w:rsid w:val="25F27CC9"/>
    <w:rsid w:val="2734450E"/>
    <w:rsid w:val="293607E6"/>
    <w:rsid w:val="2E1A6F2B"/>
    <w:rsid w:val="30644416"/>
    <w:rsid w:val="30887B60"/>
    <w:rsid w:val="317E0299"/>
    <w:rsid w:val="31BB099B"/>
    <w:rsid w:val="351B4977"/>
    <w:rsid w:val="3DA0319B"/>
    <w:rsid w:val="3EF06421"/>
    <w:rsid w:val="400C556A"/>
    <w:rsid w:val="40BA62C0"/>
    <w:rsid w:val="48C000DF"/>
    <w:rsid w:val="5E197DFF"/>
    <w:rsid w:val="629E5C56"/>
    <w:rsid w:val="62D72823"/>
    <w:rsid w:val="676502A5"/>
    <w:rsid w:val="67D33381"/>
    <w:rsid w:val="6A2353BE"/>
    <w:rsid w:val="769E03BF"/>
    <w:rsid w:val="77E372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ind w:firstLine="200" w:firstLineChars="200"/>
      <w:outlineLvl w:val="0"/>
    </w:pPr>
    <w:rPr>
      <w:rFonts w:ascii="Calibri Light" w:hAnsi="Calibri Light" w:eastAsia="黑体" w:cs="Times New Roman"/>
      <w:b/>
      <w:bCs/>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主动公开信息数量</a:t>
            </a:r>
          </a:p>
        </c:rich>
      </c:tx>
      <c:layout/>
      <c:overlay val="0"/>
      <c:spPr>
        <a:noFill/>
        <a:ln>
          <a:noFill/>
        </a:ln>
        <a:effectLst/>
      </c:spPr>
    </c:title>
    <c:autoTitleDeleted val="0"/>
    <c:plotArea>
      <c:layout>
        <c:manualLayout>
          <c:layoutTarget val="inner"/>
          <c:xMode val="edge"/>
          <c:yMode val="edge"/>
          <c:x val="0.300459674049311"/>
          <c:y val="0.25974025974026"/>
          <c:w val="0.408552723220504"/>
          <c:h val="0.692561983471074"/>
        </c:manualLayout>
      </c:layout>
      <c:pieChart>
        <c:varyColors val="1"/>
        <c:ser>
          <c:idx val="0"/>
          <c:order val="0"/>
          <c:tx>
            <c:strRef>
              <c:f>[工作簿1]Sheet1!$B$1</c:f>
              <c:strCache>
                <c:ptCount val="1"/>
                <c:pt idx="0">
                  <c:v>主动公开信息数量</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[工作簿1]Sheet1!$A$2:$A$9</c:f>
              <c:strCache>
                <c:ptCount val="8"/>
                <c:pt idx="0">
                  <c:v>住房保障</c:v>
                </c:pt>
                <c:pt idx="1">
                  <c:v>建议提案办理</c:v>
                </c:pt>
                <c:pt idx="2">
                  <c:v>重点民生</c:v>
                </c:pt>
                <c:pt idx="3">
                  <c:v>农村危房改造</c:v>
                </c:pt>
                <c:pt idx="4">
                  <c:v>管理和服务公开</c:v>
                </c:pt>
                <c:pt idx="5">
                  <c:v>双随机一公开</c:v>
                </c:pt>
                <c:pt idx="6">
                  <c:v>政务公开工作推进</c:v>
                </c:pt>
                <c:pt idx="7">
                  <c:v>其他信息</c:v>
                </c:pt>
              </c:strCache>
            </c:strRef>
          </c:cat>
          <c:val>
            <c:numRef>
              <c:f>[工作簿1]Sheet1!$B$2:$B$9</c:f>
              <c:numCache>
                <c:formatCode>General</c:formatCode>
                <c:ptCount val="8"/>
                <c:pt idx="0">
                  <c:v>12</c:v>
                </c:pt>
                <c:pt idx="1">
                  <c:v>28</c:v>
                </c:pt>
                <c:pt idx="2">
                  <c:v>31</c:v>
                </c:pt>
                <c:pt idx="3">
                  <c:v>6</c:v>
                </c:pt>
                <c:pt idx="4">
                  <c:v>13</c:v>
                </c:pt>
                <c:pt idx="5">
                  <c:v>12</c:v>
                </c:pt>
                <c:pt idx="6">
                  <c:v>4</c:v>
                </c:pt>
                <c:pt idx="7">
                  <c:v>100</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依申请办理数量</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[工作簿1]Sheet1!$A$12:$A$14</c:f>
              <c:strCache>
                <c:ptCount val="3"/>
                <c:pt idx="0">
                  <c:v>2021年</c:v>
                </c:pt>
                <c:pt idx="1">
                  <c:v>2020年</c:v>
                </c:pt>
                <c:pt idx="2">
                  <c:v>2019年</c:v>
                </c:pt>
              </c:strCache>
            </c:strRef>
          </c:cat>
          <c:val>
            <c:numRef>
              <c:f>[工作簿1]Sheet1!$B$12:$B$14</c:f>
              <c:numCache>
                <c:formatCode>General</c:formatCode>
                <c:ptCount val="3"/>
                <c:pt idx="0">
                  <c:v>8</c:v>
                </c:pt>
                <c:pt idx="1">
                  <c:v>6</c:v>
                </c:pt>
                <c:pt idx="2">
                  <c:v>0</c:v>
                </c:pt>
              </c:numCache>
            </c:numRef>
          </c:val>
        </c:ser>
        <c:dLbls>
          <c:showLegendKey val="0"/>
          <c:showVal val="0"/>
          <c:showCatName val="0"/>
          <c:showSerName val="0"/>
          <c:showPercent val="0"/>
          <c:showBubbleSize val="0"/>
        </c:dLbls>
        <c:gapWidth val="219"/>
        <c:overlap val="-27"/>
        <c:axId val="629900720"/>
        <c:axId val="199781395"/>
      </c:barChart>
      <c:catAx>
        <c:axId val="62990072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9781395"/>
        <c:crosses val="autoZero"/>
        <c:auto val="1"/>
        <c:lblAlgn val="ctr"/>
        <c:lblOffset val="100"/>
        <c:noMultiLvlLbl val="0"/>
      </c:catAx>
      <c:valAx>
        <c:axId val="1997813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9900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Office_11.1.0.11278_F1E327BC-269C-435d-A152-05C5408002CA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2022-01-11T01:25:00Z</dcterms:created>
  <dc:creator>suo孩子</dc:creator>
  <cp:lastModifiedBy>suo孩子</cp:lastModifiedBy>
  <dcterms:modified xsi:type="dcterms:W3CDTF">2022-02-07T02:10:54Z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2052-11.1.0.11278</vt:lpwstr>
  </property>
  <property fmtid="{D5CDD505-2E9C-101B-9397-08002B2CF9AE}" pid="3" name="ICV">
    <vt:lpwstr>63D8A9AA63DC4A8DB4E10906C3BCCA33</vt:lpwstr>
  </property>
</Properties>
</file>