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黑体" w:eastAsia="黑体" w:cs="仿宋_GB2312"/>
          <w:color w:val="000000"/>
          <w:szCs w:val="32"/>
        </w:rPr>
      </w:pPr>
      <w:r>
        <w:rPr>
          <w:rFonts w:hint="eastAsia" w:ascii="黑体" w:hAnsi="黑体" w:eastAsia="黑体" w:cs="仿宋_GB2312"/>
          <w:color w:val="000000"/>
          <w:szCs w:val="32"/>
        </w:rPr>
        <w:t>附件</w:t>
      </w:r>
    </w:p>
    <w:p>
      <w:pPr>
        <w:ind w:firstLine="880"/>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市场主体歇业“一件事”工作分工表</w:t>
      </w:r>
    </w:p>
    <w:p>
      <w:pPr>
        <w:spacing w:line="240" w:lineRule="exact"/>
        <w:ind w:firstLine="720"/>
        <w:jc w:val="center"/>
        <w:rPr>
          <w:rFonts w:ascii="方正小标宋简体" w:hAnsi="方正小标宋简体" w:eastAsia="方正小标宋简体" w:cs="方正小标宋简体"/>
          <w:sz w:val="36"/>
          <w:szCs w:val="36"/>
        </w:rPr>
      </w:pPr>
    </w:p>
    <w:tbl>
      <w:tblPr>
        <w:tblStyle w:val="9"/>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15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25" w:type="dxa"/>
            <w:noWrap/>
          </w:tcPr>
          <w:p>
            <w:pPr>
              <w:spacing w:line="400" w:lineRule="exact"/>
              <w:ind w:firstLine="0" w:firstLineChars="0"/>
              <w:jc w:val="center"/>
              <w:rPr>
                <w:rFonts w:ascii="黑体" w:hAnsi="黑体" w:eastAsia="黑体" w:cs="Times New Roman"/>
                <w:sz w:val="24"/>
              </w:rPr>
            </w:pPr>
            <w:r>
              <w:rPr>
                <w:rFonts w:ascii="黑体" w:hAnsi="黑体" w:eastAsia="黑体" w:cs="Times New Roman"/>
                <w:sz w:val="24"/>
              </w:rPr>
              <w:t>序号</w:t>
            </w:r>
          </w:p>
        </w:tc>
        <w:tc>
          <w:tcPr>
            <w:tcW w:w="10157" w:type="dxa"/>
            <w:noWrap/>
          </w:tcPr>
          <w:p>
            <w:pPr>
              <w:spacing w:line="400" w:lineRule="exact"/>
              <w:ind w:firstLine="480"/>
              <w:jc w:val="center"/>
              <w:rPr>
                <w:rFonts w:ascii="黑体" w:hAnsi="黑体" w:eastAsia="黑体" w:cs="Times New Roman"/>
                <w:sz w:val="24"/>
              </w:rPr>
            </w:pPr>
            <w:r>
              <w:rPr>
                <w:rFonts w:ascii="黑体" w:hAnsi="黑体" w:eastAsia="黑体" w:cs="Times New Roman"/>
                <w:sz w:val="24"/>
              </w:rPr>
              <w:t>工作任务</w:t>
            </w:r>
          </w:p>
        </w:tc>
        <w:tc>
          <w:tcPr>
            <w:tcW w:w="3118" w:type="dxa"/>
            <w:noWrap/>
          </w:tcPr>
          <w:p>
            <w:pPr>
              <w:spacing w:line="400" w:lineRule="exact"/>
              <w:ind w:firstLine="0" w:firstLineChars="0"/>
              <w:jc w:val="center"/>
              <w:rPr>
                <w:rFonts w:ascii="黑体" w:hAnsi="黑体" w:eastAsia="黑体" w:cs="Times New Roman"/>
                <w:sz w:val="24"/>
              </w:rPr>
            </w:pPr>
            <w:r>
              <w:rPr>
                <w:rFonts w:ascii="黑体" w:hAnsi="黑体" w:eastAsia="黑体" w:cs="Times New Roman"/>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725"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1</w:t>
            </w:r>
          </w:p>
        </w:tc>
        <w:tc>
          <w:tcPr>
            <w:tcW w:w="10157" w:type="dxa"/>
            <w:noWrap/>
            <w:vAlign w:val="center"/>
          </w:tcPr>
          <w:p>
            <w:pPr>
              <w:spacing w:line="320" w:lineRule="exact"/>
              <w:ind w:firstLine="420"/>
              <w:rPr>
                <w:rFonts w:ascii="Times New Roman" w:hAnsi="Times New Roman" w:cs="Times New Roman"/>
                <w:sz w:val="24"/>
              </w:rPr>
            </w:pPr>
            <w:r>
              <w:rPr>
                <w:rFonts w:ascii="Times New Roman" w:hAnsi="仿宋_GB2312" w:cs="Times New Roman"/>
                <w:color w:val="000000"/>
                <w:sz w:val="21"/>
                <w:szCs w:val="21"/>
              </w:rPr>
              <w:t>拟歇业市场主体向行政审批部门申请歇业备案，行政审批部门公示歇业期限、法律文书送达地址等信息，</w:t>
            </w:r>
            <w:r>
              <w:rPr>
                <w:rFonts w:ascii="Times New Roman" w:hAnsi="仿宋_GB2312" w:cs="Times New Roman"/>
                <w:color w:val="404040"/>
                <w:sz w:val="21"/>
                <w:szCs w:val="21"/>
              </w:rPr>
              <w:t>在县政务服务中心设立歇业</w:t>
            </w:r>
            <w:r>
              <w:rPr>
                <w:rFonts w:ascii="Times New Roman" w:hAnsi="Times New Roman" w:cs="Times New Roman"/>
                <w:color w:val="404040"/>
                <w:sz w:val="21"/>
                <w:szCs w:val="21"/>
              </w:rPr>
              <w:t>“</w:t>
            </w:r>
            <w:r>
              <w:rPr>
                <w:rFonts w:ascii="Times New Roman" w:hAnsi="仿宋_GB2312" w:cs="Times New Roman"/>
                <w:color w:val="404040"/>
                <w:sz w:val="21"/>
                <w:szCs w:val="21"/>
              </w:rPr>
              <w:t>一件事</w:t>
            </w:r>
            <w:r>
              <w:rPr>
                <w:rFonts w:ascii="Times New Roman" w:hAnsi="Times New Roman" w:cs="Times New Roman"/>
                <w:color w:val="404040"/>
                <w:sz w:val="21"/>
                <w:szCs w:val="21"/>
              </w:rPr>
              <w:t>”</w:t>
            </w:r>
            <w:r>
              <w:rPr>
                <w:rFonts w:ascii="Times New Roman" w:hAnsi="仿宋_GB2312" w:cs="Times New Roman"/>
                <w:color w:val="404040"/>
                <w:sz w:val="21"/>
                <w:szCs w:val="21"/>
              </w:rPr>
              <w:t>专窗，实行歇业</w:t>
            </w:r>
            <w:r>
              <w:rPr>
                <w:rFonts w:ascii="Times New Roman" w:hAnsi="Times New Roman" w:cs="Times New Roman"/>
                <w:color w:val="404040"/>
                <w:sz w:val="21"/>
                <w:szCs w:val="21"/>
              </w:rPr>
              <w:t>“</w:t>
            </w:r>
            <w:r>
              <w:rPr>
                <w:rFonts w:ascii="Times New Roman" w:hAnsi="仿宋_GB2312" w:cs="Times New Roman"/>
                <w:color w:val="404040"/>
                <w:sz w:val="21"/>
                <w:szCs w:val="21"/>
              </w:rPr>
              <w:t>一件事</w:t>
            </w:r>
            <w:r>
              <w:rPr>
                <w:rFonts w:ascii="Times New Roman" w:hAnsi="Times New Roman" w:cs="Times New Roman"/>
                <w:color w:val="404040"/>
                <w:sz w:val="21"/>
                <w:szCs w:val="21"/>
              </w:rPr>
              <w:t>”</w:t>
            </w:r>
            <w:r>
              <w:rPr>
                <w:rFonts w:ascii="Times New Roman" w:hAnsi="仿宋_GB2312" w:cs="Times New Roman"/>
                <w:color w:val="404040"/>
                <w:sz w:val="21"/>
                <w:szCs w:val="21"/>
              </w:rPr>
              <w:t>业务</w:t>
            </w:r>
            <w:r>
              <w:rPr>
                <w:rFonts w:ascii="Times New Roman" w:hAnsi="Times New Roman" w:cs="Times New Roman"/>
                <w:color w:val="404040"/>
                <w:sz w:val="21"/>
                <w:szCs w:val="21"/>
              </w:rPr>
              <w:t>“</w:t>
            </w:r>
            <w:r>
              <w:rPr>
                <w:rFonts w:ascii="Times New Roman" w:hAnsi="仿宋_GB2312" w:cs="Times New Roman"/>
                <w:color w:val="404040"/>
                <w:sz w:val="21"/>
                <w:szCs w:val="21"/>
              </w:rPr>
              <w:t>一窗受理、集成服务</w:t>
            </w:r>
            <w:r>
              <w:rPr>
                <w:rFonts w:ascii="Times New Roman" w:hAnsi="Times New Roman" w:cs="Times New Roman"/>
                <w:color w:val="404040"/>
                <w:sz w:val="21"/>
                <w:szCs w:val="21"/>
              </w:rPr>
              <w:t>”</w:t>
            </w:r>
            <w:r>
              <w:rPr>
                <w:rFonts w:ascii="Times New Roman" w:hAnsi="仿宋_GB2312" w:cs="Times New Roman"/>
                <w:color w:val="404040"/>
                <w:sz w:val="21"/>
                <w:szCs w:val="21"/>
              </w:rPr>
              <w:t>，材料齐全即可</w:t>
            </w:r>
            <w:r>
              <w:rPr>
                <w:rFonts w:hint="eastAsia" w:ascii="Times New Roman" w:hAnsi="仿宋_GB2312" w:cs="Times New Roman"/>
                <w:color w:val="404040"/>
                <w:sz w:val="21"/>
                <w:szCs w:val="21"/>
                <w:lang w:eastAsia="zh-CN"/>
              </w:rPr>
              <w:t>当场</w:t>
            </w:r>
            <w:r>
              <w:rPr>
                <w:rFonts w:ascii="Times New Roman" w:hAnsi="仿宋_GB2312" w:cs="Times New Roman"/>
                <w:color w:val="404040"/>
                <w:sz w:val="21"/>
                <w:szCs w:val="21"/>
              </w:rPr>
              <w:t>办结。专窗工作人员负责企业歇业材料综合受理、内部流转、专项对接，并注重提升政策引导、咨询等服务。</w:t>
            </w:r>
          </w:p>
        </w:tc>
        <w:tc>
          <w:tcPr>
            <w:tcW w:w="3118"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县行政审批服务局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725"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2</w:t>
            </w:r>
          </w:p>
        </w:tc>
        <w:tc>
          <w:tcPr>
            <w:tcW w:w="10157" w:type="dxa"/>
            <w:noWrap/>
            <w:vAlign w:val="center"/>
          </w:tcPr>
          <w:p>
            <w:pPr>
              <w:spacing w:line="400" w:lineRule="exact"/>
              <w:ind w:firstLine="420"/>
              <w:rPr>
                <w:rFonts w:ascii="Times New Roman" w:hAnsi="Times New Roman" w:cs="Times New Roman"/>
                <w:sz w:val="24"/>
              </w:rPr>
            </w:pPr>
            <w:r>
              <w:rPr>
                <w:rFonts w:ascii="Times New Roman" w:hAnsi="仿宋_GB2312" w:cs="Times New Roman"/>
                <w:color w:val="000000"/>
                <w:sz w:val="21"/>
                <w:szCs w:val="21"/>
              </w:rPr>
              <w:t>歇业备案完成后的市场主体，</w:t>
            </w:r>
            <w:r>
              <w:rPr>
                <w:rFonts w:ascii="Times New Roman" w:hAnsi="仿宋_GB2312" w:cs="Times New Roman"/>
                <w:color w:val="000000"/>
                <w:sz w:val="21"/>
                <w:szCs w:val="21"/>
                <w:shd w:val="clear" w:color="auto" w:fill="FFFFFF"/>
              </w:rPr>
              <w:t>公示年度报告时收支情况可进行</w:t>
            </w:r>
            <w:r>
              <w:rPr>
                <w:rFonts w:ascii="Times New Roman" w:hAnsi="Times New Roman" w:cs="Times New Roman"/>
                <w:color w:val="000000"/>
                <w:sz w:val="21"/>
                <w:szCs w:val="21"/>
                <w:shd w:val="clear" w:color="auto" w:fill="FFFFFF"/>
              </w:rPr>
              <w:t>“</w:t>
            </w:r>
            <w:r>
              <w:rPr>
                <w:rFonts w:ascii="Times New Roman" w:hAnsi="仿宋_GB2312" w:cs="Times New Roman"/>
                <w:color w:val="000000"/>
                <w:sz w:val="21"/>
                <w:szCs w:val="21"/>
                <w:shd w:val="clear" w:color="auto" w:fill="FFFFFF"/>
              </w:rPr>
              <w:t>零申报</w:t>
            </w:r>
            <w:r>
              <w:rPr>
                <w:rFonts w:ascii="Times New Roman" w:hAnsi="Times New Roman" w:cs="Times New Roman"/>
                <w:color w:val="000000"/>
                <w:sz w:val="21"/>
                <w:szCs w:val="21"/>
                <w:shd w:val="clear" w:color="auto" w:fill="FFFFFF"/>
              </w:rPr>
              <w:t>”</w:t>
            </w:r>
          </w:p>
        </w:tc>
        <w:tc>
          <w:tcPr>
            <w:tcW w:w="3118" w:type="dxa"/>
            <w:noWrap/>
            <w:vAlign w:val="center"/>
          </w:tcPr>
          <w:p>
            <w:pPr>
              <w:spacing w:line="400" w:lineRule="exact"/>
              <w:ind w:firstLine="0" w:firstLineChars="0"/>
              <w:jc w:val="center"/>
              <w:rPr>
                <w:rFonts w:ascii="Times New Roman" w:hAnsi="Times New Roman" w:cs="Times New Roman"/>
                <w:sz w:val="24"/>
              </w:rPr>
            </w:pPr>
            <w:r>
              <w:rPr>
                <w:rFonts w:hint="eastAsia" w:ascii="Times New Roman" w:hAnsi="Times New Roman" w:cs="Times New Roman"/>
                <w:sz w:val="24"/>
              </w:rPr>
              <w:t>县市场监管局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1" w:hRule="atLeast"/>
        </w:trPr>
        <w:tc>
          <w:tcPr>
            <w:tcW w:w="725"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3</w:t>
            </w:r>
          </w:p>
        </w:tc>
        <w:tc>
          <w:tcPr>
            <w:tcW w:w="10157" w:type="dxa"/>
            <w:noWrap/>
            <w:vAlign w:val="center"/>
          </w:tcPr>
          <w:p>
            <w:pPr>
              <w:pStyle w:val="7"/>
              <w:shd w:val="clear" w:color="auto" w:fill="FFFFFF"/>
              <w:spacing w:before="0" w:beforeAutospacing="0" w:after="0" w:afterAutospacing="0" w:line="320" w:lineRule="exact"/>
              <w:ind w:firstLine="452"/>
              <w:jc w:val="both"/>
              <w:rPr>
                <w:rFonts w:ascii="Times New Roman" w:hAnsi="Times New Roman"/>
                <w:color w:val="404040"/>
                <w:sz w:val="21"/>
                <w:szCs w:val="21"/>
              </w:rPr>
            </w:pPr>
            <w:r>
              <w:rPr>
                <w:rFonts w:ascii="Times New Roman" w:hAnsi="仿宋_GB2312"/>
                <w:color w:val="222222"/>
                <w:spacing w:val="8"/>
                <w:sz w:val="21"/>
                <w:szCs w:val="21"/>
                <w:shd w:val="clear" w:color="auto" w:fill="FFFFFF"/>
              </w:rPr>
              <w:t>实行定期定额征收的个体工商户或比照定期定额户进行管理的个人独资企业</w:t>
            </w:r>
            <w:r>
              <w:rPr>
                <w:rFonts w:ascii="Times New Roman" w:hAnsi="仿宋_GB2312"/>
                <w:color w:val="000000"/>
                <w:sz w:val="21"/>
                <w:szCs w:val="21"/>
              </w:rPr>
              <w:t>同时办理税务部门的停业登记，填写《停业复业报告书》，说明停业理由、停业期限、停业前的纳税情况和发票的领、用、存情况，并结清应纳税款、滞纳金、罚款</w:t>
            </w:r>
            <w:r>
              <w:rPr>
                <w:rStyle w:val="11"/>
                <w:rFonts w:ascii="Times New Roman" w:hAnsi="仿宋_GB2312"/>
                <w:b w:val="0"/>
                <w:bCs/>
                <w:color w:val="191919"/>
                <w:kern w:val="2"/>
                <w:sz w:val="21"/>
                <w:szCs w:val="21"/>
                <w:shd w:val="clear" w:color="auto" w:fill="FFFFFF"/>
              </w:rPr>
              <w:t>。</w:t>
            </w:r>
            <w:r>
              <w:rPr>
                <w:rFonts w:ascii="Times New Roman" w:hAnsi="仿宋_GB2312"/>
                <w:color w:val="3C3C3C"/>
                <w:sz w:val="21"/>
                <w:szCs w:val="21"/>
                <w:shd w:val="clear" w:color="auto" w:fill="FFFFFF"/>
              </w:rPr>
              <w:t>自行申报的纳税人（主要是单位纳税人及经营规模较大的个体工商户）歇业期间，还需要纳税人按期自行申报相关税税费，如果在歇业期间未发生经营收入可以零申报</w:t>
            </w:r>
            <w:r>
              <w:rPr>
                <w:rFonts w:ascii="Times New Roman" w:hAnsi="仿宋_GB2312"/>
                <w:color w:val="000000"/>
                <w:sz w:val="21"/>
                <w:szCs w:val="21"/>
                <w:shd w:val="clear" w:color="auto" w:fill="FFFFFF"/>
              </w:rPr>
              <w:t>；</w:t>
            </w:r>
            <w:r>
              <w:rPr>
                <w:rFonts w:ascii="Times New Roman" w:hAnsi="仿宋_GB2312"/>
                <w:color w:val="000000" w:themeColor="text1"/>
                <w:sz w:val="21"/>
                <w:szCs w:val="21"/>
                <w14:textFill>
                  <w14:solidFill>
                    <w14:schemeClr w14:val="tx1"/>
                  </w14:solidFill>
                </w14:textFill>
              </w:rPr>
              <w:t>未发生纳税义务的，不必申报缴纳税款。</w:t>
            </w:r>
          </w:p>
          <w:p>
            <w:pPr>
              <w:pStyle w:val="7"/>
              <w:shd w:val="clear" w:color="auto" w:fill="FFFFFF"/>
              <w:spacing w:before="0" w:beforeAutospacing="0" w:after="0" w:afterAutospacing="0" w:line="320" w:lineRule="exact"/>
              <w:ind w:firstLine="420"/>
              <w:jc w:val="both"/>
              <w:rPr>
                <w:rFonts w:ascii="Times New Roman" w:hAnsi="Times New Roman"/>
                <w:color w:val="404040"/>
                <w:sz w:val="21"/>
                <w:szCs w:val="21"/>
              </w:rPr>
            </w:pPr>
            <w:r>
              <w:rPr>
                <w:rFonts w:ascii="Times New Roman" w:hAnsi="仿宋_GB2312"/>
                <w:color w:val="3C3C3C"/>
                <w:sz w:val="21"/>
                <w:szCs w:val="21"/>
                <w:shd w:val="clear" w:color="auto" w:fill="FFFFFF"/>
              </w:rPr>
              <w:t>纳税人应当于恢复生产经营之前，向税务机关申报办理复业登记。纳税人停业期满不能及时恢复生产经营的，应当在停业期满前到税务机关办理延长停业登记。</w:t>
            </w:r>
          </w:p>
        </w:tc>
        <w:tc>
          <w:tcPr>
            <w:tcW w:w="3118"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县税务局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725"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4</w:t>
            </w:r>
          </w:p>
        </w:tc>
        <w:tc>
          <w:tcPr>
            <w:tcW w:w="10157" w:type="dxa"/>
            <w:noWrap/>
            <w:vAlign w:val="center"/>
          </w:tcPr>
          <w:p>
            <w:pPr>
              <w:pStyle w:val="7"/>
              <w:shd w:val="clear" w:color="auto" w:fill="FFFFFF"/>
              <w:spacing w:before="0" w:beforeAutospacing="0" w:after="0" w:afterAutospacing="0" w:line="320" w:lineRule="exact"/>
              <w:ind w:firstLine="420"/>
              <w:jc w:val="both"/>
              <w:rPr>
                <w:rFonts w:ascii="Times New Roman" w:hAnsi="Times New Roman"/>
                <w:color w:val="3C3C3C"/>
                <w:sz w:val="21"/>
                <w:szCs w:val="21"/>
                <w:shd w:val="clear" w:color="auto" w:fill="FFFFFF"/>
              </w:rPr>
            </w:pPr>
            <w:r>
              <w:rPr>
                <w:rFonts w:ascii="Times New Roman" w:hAnsi="仿宋_GB2312"/>
                <w:color w:val="3C3C3C"/>
                <w:sz w:val="21"/>
                <w:szCs w:val="21"/>
                <w:shd w:val="clear" w:color="auto" w:fill="FFFFFF"/>
              </w:rPr>
              <w:t>市场主体歇业后，市场主体的职工所要办理的灵活就业人员参保登记（社保、医保）、失业登记、失业保险金申领、求职登记、职业培训补贴申领、就业困难人员认定等事项。</w:t>
            </w:r>
          </w:p>
          <w:p>
            <w:pPr>
              <w:pStyle w:val="7"/>
              <w:shd w:val="clear" w:color="auto" w:fill="FFFFFF"/>
              <w:spacing w:before="0" w:beforeAutospacing="0" w:after="0" w:afterAutospacing="0" w:line="320" w:lineRule="exact"/>
              <w:ind w:firstLine="420"/>
              <w:jc w:val="both"/>
              <w:rPr>
                <w:rFonts w:ascii="Times New Roman" w:hAnsi="Times New Roman"/>
                <w:color w:val="3C3C3C"/>
                <w:sz w:val="21"/>
                <w:szCs w:val="21"/>
                <w:shd w:val="clear" w:color="auto" w:fill="FFFFFF"/>
              </w:rPr>
            </w:pPr>
            <w:r>
              <w:rPr>
                <w:rFonts w:ascii="Times New Roman" w:hAnsi="仿宋_GB2312"/>
                <w:color w:val="3C3C3C"/>
                <w:sz w:val="21"/>
                <w:szCs w:val="21"/>
                <w:shd w:val="clear" w:color="auto" w:fill="FFFFFF"/>
              </w:rPr>
              <w:t>企业职工退出企业后，未达到退休年龄的，可以选择以灵活就业人员身份参加职工基本医疗保险，并填写《职工医保参保登记表》，在县政务服务中心窗口递交登记表办理。</w:t>
            </w:r>
          </w:p>
          <w:p>
            <w:pPr>
              <w:pStyle w:val="7"/>
              <w:shd w:val="clear" w:color="auto" w:fill="FFFFFF"/>
              <w:spacing w:before="0" w:beforeAutospacing="0" w:after="0" w:afterAutospacing="0" w:line="320" w:lineRule="exact"/>
              <w:ind w:firstLine="420"/>
              <w:jc w:val="both"/>
              <w:rPr>
                <w:rFonts w:ascii="Times New Roman" w:hAnsi="Times New Roman"/>
                <w:sz w:val="21"/>
                <w:szCs w:val="21"/>
              </w:rPr>
            </w:pPr>
            <w:r>
              <w:rPr>
                <w:rFonts w:ascii="Times New Roman" w:hAnsi="仿宋_GB2312"/>
                <w:color w:val="3C3C3C"/>
                <w:sz w:val="21"/>
                <w:szCs w:val="21"/>
                <w:shd w:val="clear" w:color="auto" w:fill="FFFFFF"/>
              </w:rPr>
              <w:t>市场主体终止歇业后，可通过</w:t>
            </w:r>
            <w:r>
              <w:rPr>
                <w:rFonts w:ascii="Times New Roman" w:hAnsi="Times New Roman" w:cs="Times New Roman"/>
                <w:color w:val="404040"/>
                <w:sz w:val="21"/>
                <w:szCs w:val="21"/>
              </w:rPr>
              <w:t>“</w:t>
            </w:r>
            <w:r>
              <w:rPr>
                <w:rFonts w:ascii="Times New Roman" w:hAnsi="仿宋_GB2312" w:cs="Times New Roman"/>
                <w:color w:val="404040"/>
                <w:sz w:val="21"/>
                <w:szCs w:val="21"/>
              </w:rPr>
              <w:t>一件事</w:t>
            </w:r>
            <w:r>
              <w:rPr>
                <w:rFonts w:ascii="Times New Roman" w:hAnsi="Times New Roman" w:cs="Times New Roman"/>
                <w:color w:val="404040"/>
                <w:sz w:val="21"/>
                <w:szCs w:val="21"/>
              </w:rPr>
              <w:t>”</w:t>
            </w:r>
            <w:r>
              <w:rPr>
                <w:rFonts w:ascii="Times New Roman" w:hAnsi="仿宋_GB2312"/>
                <w:color w:val="3C3C3C"/>
                <w:sz w:val="21"/>
                <w:szCs w:val="21"/>
                <w:shd w:val="clear" w:color="auto" w:fill="FFFFFF"/>
              </w:rPr>
              <w:t>专窗恢复社保、医保缴纳，并通过</w:t>
            </w:r>
            <w:r>
              <w:rPr>
                <w:rFonts w:hint="eastAsia" w:ascii="Times New Roman" w:hAnsi="仿宋_GB2312"/>
                <w:color w:val="3C3C3C"/>
                <w:sz w:val="21"/>
                <w:szCs w:val="21"/>
                <w:shd w:val="clear" w:color="auto" w:fill="FFFFFF"/>
                <w:lang w:eastAsia="zh-CN"/>
              </w:rPr>
              <w:t>国家企业信用信息</w:t>
            </w:r>
            <w:r>
              <w:rPr>
                <w:rFonts w:ascii="Times New Roman" w:hAnsi="仿宋_GB2312"/>
                <w:color w:val="3C3C3C"/>
                <w:sz w:val="21"/>
                <w:szCs w:val="21"/>
                <w:shd w:val="clear" w:color="auto" w:fill="FFFFFF"/>
              </w:rPr>
              <w:t>公示系统向社会公示。</w:t>
            </w:r>
          </w:p>
        </w:tc>
        <w:tc>
          <w:tcPr>
            <w:tcW w:w="3118" w:type="dxa"/>
            <w:noWrap/>
            <w:vAlign w:val="center"/>
          </w:tcPr>
          <w:p>
            <w:pPr>
              <w:spacing w:line="400" w:lineRule="exact"/>
              <w:ind w:firstLine="0" w:firstLineChars="0"/>
              <w:jc w:val="center"/>
              <w:rPr>
                <w:rFonts w:hint="eastAsia" w:ascii="Times New Roman" w:hAnsi="Times New Roman" w:cs="Times New Roman"/>
                <w:sz w:val="24"/>
              </w:rPr>
            </w:pPr>
            <w:r>
              <w:rPr>
                <w:rFonts w:hint="eastAsia" w:ascii="Times New Roman" w:hAnsi="Times New Roman" w:cs="Times New Roman"/>
                <w:sz w:val="24"/>
              </w:rPr>
              <w:t>县人力资源社会保障局</w:t>
            </w:r>
          </w:p>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市医保局沂源分局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725"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5</w:t>
            </w:r>
          </w:p>
        </w:tc>
        <w:tc>
          <w:tcPr>
            <w:tcW w:w="10157" w:type="dxa"/>
            <w:noWrap/>
            <w:vAlign w:val="center"/>
          </w:tcPr>
          <w:p>
            <w:pPr>
              <w:spacing w:line="320" w:lineRule="exact"/>
              <w:ind w:firstLine="420"/>
              <w:rPr>
                <w:rFonts w:ascii="Times New Roman" w:hAnsi="Times New Roman" w:cs="Times New Roman"/>
                <w:sz w:val="21"/>
                <w:szCs w:val="21"/>
              </w:rPr>
            </w:pPr>
            <w:r>
              <w:rPr>
                <w:rFonts w:ascii="Times New Roman" w:hAnsi="仿宋_GB2312" w:cs="Times New Roman"/>
                <w:color w:val="404040"/>
                <w:sz w:val="21"/>
                <w:szCs w:val="21"/>
              </w:rPr>
              <w:t>缴存住房公积金确有困难的歇业企业，可以降低缴存比例，最低可以降至</w:t>
            </w:r>
            <w:r>
              <w:rPr>
                <w:rFonts w:ascii="Times New Roman" w:hAnsi="Times New Roman" w:cs="Times New Roman"/>
                <w:color w:val="404040"/>
                <w:sz w:val="21"/>
                <w:szCs w:val="21"/>
              </w:rPr>
              <w:t>5%</w:t>
            </w:r>
            <w:r>
              <w:rPr>
                <w:rFonts w:ascii="Times New Roman" w:hAnsi="仿宋_GB2312" w:cs="Times New Roman"/>
                <w:color w:val="404040"/>
                <w:sz w:val="21"/>
                <w:szCs w:val="21"/>
              </w:rPr>
              <w:t>，缴存住房公积金确有困难的歇业企业，经本企业职工代表或工会讨论通过，可申请缓缴住房公积金。</w:t>
            </w:r>
          </w:p>
        </w:tc>
        <w:tc>
          <w:tcPr>
            <w:tcW w:w="3118" w:type="dxa"/>
            <w:noWrap/>
            <w:vAlign w:val="center"/>
          </w:tcPr>
          <w:p>
            <w:pPr>
              <w:spacing w:line="400" w:lineRule="exact"/>
              <w:ind w:firstLine="0" w:firstLineChars="0"/>
              <w:jc w:val="center"/>
              <w:rPr>
                <w:rFonts w:ascii="Times New Roman" w:hAnsi="Times New Roman" w:cs="Times New Roman"/>
                <w:sz w:val="24"/>
              </w:rPr>
            </w:pPr>
            <w:r>
              <w:rPr>
                <w:rFonts w:ascii="Times New Roman" w:hAnsi="Times New Roman" w:cs="Times New Roman"/>
                <w:sz w:val="24"/>
              </w:rPr>
              <w:t>市住房公积金管理中心</w:t>
            </w:r>
          </w:p>
          <w:p>
            <w:pPr>
              <w:spacing w:line="400" w:lineRule="exact"/>
              <w:ind w:firstLine="0" w:firstLineChars="0"/>
              <w:jc w:val="center"/>
              <w:rPr>
                <w:rFonts w:hint="eastAsia" w:ascii="Times New Roman" w:hAnsi="Times New Roman" w:eastAsia="仿宋_GB2312" w:cs="Times New Roman"/>
                <w:sz w:val="24"/>
                <w:lang w:eastAsia="zh-CN"/>
              </w:rPr>
            </w:pPr>
            <w:r>
              <w:rPr>
                <w:rFonts w:ascii="Times New Roman" w:hAnsi="Times New Roman" w:cs="Times New Roman"/>
                <w:sz w:val="24"/>
              </w:rPr>
              <w:t>沂源</w:t>
            </w:r>
            <w:r>
              <w:rPr>
                <w:rFonts w:hint="eastAsia" w:ascii="Times New Roman" w:hAnsi="Times New Roman" w:cs="Times New Roman"/>
                <w:sz w:val="24"/>
                <w:lang w:eastAsia="zh-CN"/>
              </w:rPr>
              <w:t>分中心</w:t>
            </w:r>
          </w:p>
        </w:tc>
      </w:tr>
    </w:tbl>
    <w:p>
      <w:pPr>
        <w:ind w:firstLine="0" w:firstLineChars="0"/>
        <w:rPr>
          <w:rFonts w:ascii="Times New Roman" w:hAnsi="Times New Roman" w:cs="Times New Roman"/>
          <w:szCs w:val="32"/>
        </w:rPr>
      </w:pPr>
      <w:bookmarkStart w:id="0" w:name="_GoBack"/>
      <w:bookmarkEnd w:id="0"/>
    </w:p>
    <w:sectPr>
      <w:headerReference r:id="rId5" w:type="default"/>
      <w:footerReference r:id="rId7" w:type="default"/>
      <w:headerReference r:id="rId6" w:type="even"/>
      <w:footerReference r:id="rId8" w:type="even"/>
      <w:pgSz w:w="16838" w:h="11906" w:orient="landscape"/>
      <w:pgMar w:top="1417" w:right="1531" w:bottom="1417"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9969"/>
      <w:docPartObj>
        <w:docPartGallery w:val="autotext"/>
      </w:docPartObj>
    </w:sdtPr>
    <w:sdtEndPr>
      <w:rPr>
        <w:rFonts w:ascii="宋体" w:hAnsi="宋体" w:eastAsia="宋体"/>
        <w:sz w:val="28"/>
        <w:szCs w:val="32"/>
      </w:rPr>
    </w:sdtEndPr>
    <w:sdtContent>
      <w:p>
        <w:pPr>
          <w:pStyle w:val="5"/>
          <w:spacing w:line="240" w:lineRule="auto"/>
          <w:ind w:left="320" w:leftChars="100" w:right="320" w:rightChars="100" w:firstLine="360"/>
          <w:jc w:val="right"/>
        </w:pPr>
        <w:r>
          <w:rPr>
            <w:rFonts w:hint="eastAsia" w:ascii="宋体" w:hAnsi="宋体" w:eastAsia="宋体"/>
            <w:sz w:val="28"/>
            <w:szCs w:val="32"/>
          </w:rPr>
          <w:t xml:space="preserve">— </w:t>
        </w:r>
        <w:r>
          <w:rPr>
            <w:rFonts w:hint="eastAsia" w:ascii="宋体" w:hAnsi="宋体" w:eastAsia="宋体"/>
            <w:sz w:val="28"/>
            <w:szCs w:val="32"/>
            <w:lang w:val="en-US" w:eastAsia="zh-CN"/>
          </w:rPr>
          <w:t>5</w:t>
        </w:r>
        <w:r>
          <w:rPr>
            <w:rFonts w:hint="eastAsia" w:ascii="宋体" w:hAnsi="宋体" w:eastAsia="宋体"/>
            <w:sz w:val="28"/>
            <w:szCs w:val="32"/>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9997"/>
      <w:docPartObj>
        <w:docPartGallery w:val="autotext"/>
      </w:docPartObj>
    </w:sdtPr>
    <w:sdtEndPr>
      <w:rPr>
        <w:rFonts w:ascii="宋体" w:hAnsi="宋体" w:eastAsia="宋体"/>
        <w:sz w:val="28"/>
        <w:szCs w:val="32"/>
      </w:rPr>
    </w:sdtEndPr>
    <w:sdtContent>
      <w:p>
        <w:pPr>
          <w:pStyle w:val="5"/>
          <w:spacing w:line="240" w:lineRule="auto"/>
          <w:ind w:left="320" w:leftChars="100" w:right="320" w:rightChars="100" w:firstLine="0" w:firstLineChars="0"/>
          <w:rPr>
            <w:rFonts w:ascii="宋体" w:hAnsi="宋体" w:eastAsia="宋体"/>
            <w:sz w:val="28"/>
            <w:szCs w:val="32"/>
          </w:rPr>
        </w:pPr>
        <w:r>
          <w:rPr>
            <w:rFonts w:hint="eastAsia" w:ascii="宋体" w:hAnsi="宋体" w:eastAsia="宋体"/>
            <w:sz w:val="28"/>
            <w:szCs w:val="32"/>
          </w:rPr>
          <w:t xml:space="preserve">— </w:t>
        </w:r>
        <w:r>
          <w:rPr>
            <w:rFonts w:ascii="宋体" w:hAnsi="宋体" w:eastAsia="宋体"/>
            <w:sz w:val="28"/>
            <w:szCs w:val="32"/>
          </w:rPr>
          <w:fldChar w:fldCharType="begin"/>
        </w:r>
        <w:r>
          <w:rPr>
            <w:rFonts w:ascii="宋体" w:hAnsi="宋体" w:eastAsia="宋体"/>
            <w:sz w:val="28"/>
            <w:szCs w:val="32"/>
          </w:rPr>
          <w:instrText xml:space="preserve"> PAGE   \* MERGEFORMAT </w:instrText>
        </w:r>
        <w:r>
          <w:rPr>
            <w:rFonts w:ascii="宋体" w:hAnsi="宋体" w:eastAsia="宋体"/>
            <w:sz w:val="28"/>
            <w:szCs w:val="32"/>
          </w:rPr>
          <w:fldChar w:fldCharType="separate"/>
        </w:r>
        <w:r>
          <w:rPr>
            <w:rFonts w:ascii="宋体" w:hAnsi="宋体" w:eastAsia="宋体"/>
            <w:sz w:val="28"/>
            <w:szCs w:val="32"/>
            <w:lang w:val="zh-CN"/>
          </w:rPr>
          <w:t>2</w:t>
        </w:r>
        <w:r>
          <w:rPr>
            <w:rFonts w:ascii="宋体" w:hAnsi="宋体" w:eastAsia="宋体"/>
            <w:sz w:val="28"/>
            <w:szCs w:val="32"/>
          </w:rPr>
          <w:fldChar w:fldCharType="end"/>
        </w:r>
        <w:r>
          <w:rPr>
            <w:rFonts w:hint="eastAsia" w:ascii="宋体" w:hAnsi="宋体" w:eastAsia="宋体"/>
            <w:sz w:val="28"/>
            <w:szCs w:val="32"/>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0384F"/>
    <w:rsid w:val="000D7714"/>
    <w:rsid w:val="004C61FB"/>
    <w:rsid w:val="00835E2F"/>
    <w:rsid w:val="00A044ED"/>
    <w:rsid w:val="00B621D8"/>
    <w:rsid w:val="00CD7B57"/>
    <w:rsid w:val="00F95537"/>
    <w:rsid w:val="0E582C0E"/>
    <w:rsid w:val="11AB7D42"/>
    <w:rsid w:val="129C545E"/>
    <w:rsid w:val="13CE35F1"/>
    <w:rsid w:val="15E1077F"/>
    <w:rsid w:val="1C4C1B2C"/>
    <w:rsid w:val="1D9D7320"/>
    <w:rsid w:val="2C411B1D"/>
    <w:rsid w:val="2F3C1892"/>
    <w:rsid w:val="32FE4F86"/>
    <w:rsid w:val="378135D1"/>
    <w:rsid w:val="38663F9A"/>
    <w:rsid w:val="3B7A53C4"/>
    <w:rsid w:val="3BE56563"/>
    <w:rsid w:val="3ED567E6"/>
    <w:rsid w:val="3EDA587A"/>
    <w:rsid w:val="4028743F"/>
    <w:rsid w:val="41CA4073"/>
    <w:rsid w:val="428D56EF"/>
    <w:rsid w:val="46D86459"/>
    <w:rsid w:val="47776AB2"/>
    <w:rsid w:val="4E76044F"/>
    <w:rsid w:val="4F8634FA"/>
    <w:rsid w:val="561D6612"/>
    <w:rsid w:val="5B4F263B"/>
    <w:rsid w:val="61F75293"/>
    <w:rsid w:val="638F771B"/>
    <w:rsid w:val="69812BBC"/>
    <w:rsid w:val="6EF0384F"/>
    <w:rsid w:val="6F0750D9"/>
    <w:rsid w:val="78A26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outlineLvl w:val="1"/>
    </w:pPr>
    <w:rPr>
      <w:rFonts w:ascii="Arial" w:hAnsi="Arial" w:eastAsia="黑体"/>
    </w:rPr>
  </w:style>
  <w:style w:type="paragraph" w:styleId="4">
    <w:name w:val="heading 3"/>
    <w:basedOn w:val="1"/>
    <w:next w:val="1"/>
    <w:link w:val="12"/>
    <w:semiHidden/>
    <w:unhideWhenUsed/>
    <w:qFormat/>
    <w:uiPriority w:val="0"/>
    <w:pPr>
      <w:keepNext/>
      <w:keepLines/>
      <w:outlineLvl w:val="2"/>
    </w:pPr>
    <w:rPr>
      <w:rFonts w:eastAsia="楷体_GB231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customStyle="1" w:styleId="12">
    <w:name w:val="标题 3 Char"/>
    <w:link w:val="4"/>
    <w:qFormat/>
    <w:uiPriority w:val="0"/>
    <w:rPr>
      <w:rFonts w:eastAsia="楷体_GB2312"/>
    </w:rPr>
  </w:style>
  <w:style w:type="character" w:customStyle="1" w:styleId="13">
    <w:name w:val="页脚 Char"/>
    <w:basedOn w:val="10"/>
    <w:link w:val="5"/>
    <w:qFormat/>
    <w:uiPriority w:val="99"/>
    <w:rPr>
      <w:rFonts w:eastAsia="仿宋_GB2312"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2532</Words>
  <Characters>2543</Characters>
  <Lines>18</Lines>
  <Paragraphs>5</Paragraphs>
  <TotalTime>10</TotalTime>
  <ScaleCrop>false</ScaleCrop>
  <LinksUpToDate>false</LinksUpToDate>
  <CharactersWithSpaces>2573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2022-04-19T01:25:00Z</dcterms:created>
  <dc:creator>Ringo</dc:creator>
  <cp:lastModifiedBy>赵董</cp:lastModifiedBy>
  <cp:lastPrinted>2022-04-24T08:37:00Z</cp:lastPrinted>
  <dcterms:modified xsi:type="dcterms:W3CDTF">2022-06-14T01:23:35Z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49CF2E4BA5D94AC8A6CF8F8AB6AE4D39</vt:lpwstr>
  </property>
  <property fmtid="{D5CDD505-2E9C-101B-9397-08002B2CF9AE}" pid="4" name="commondata">
    <vt:lpwstr>eyJoZGlkIjoiNTIyNDEwYjljZDA2NWRlNjIzYmZhODgwMTRlODRmYjUifQ==</vt:lpwstr>
  </property>
</Properties>
</file>