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0B5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沂源县民政局202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年政府信息公开工作年度报告</w:t>
      </w:r>
    </w:p>
    <w:p w14:paraId="446E68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本年度报告中所列数据的统计期限从202</w:t>
      </w:r>
      <w:r>
        <w:rPr>
          <w:rFonts w:hint="eastAsia"/>
          <w:lang w:val="en-US" w:eastAsia="zh-CN"/>
        </w:rPr>
        <w:t>5</w:t>
      </w:r>
      <w:r>
        <w:t>年1月1日至12月31日止。如对本年度报告有任何疑问，请与沂源县民政局办公室联系（地址：沂源县胜利路16号，民政局二楼办公室；邮编：256100；电话：0533-3241093；传真：3241569；电子邮箱：mzj2008@zb.shandong.cn ）。</w:t>
      </w:r>
    </w:p>
    <w:p w14:paraId="7CDFDD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rPr>
          <w:rStyle w:val="6"/>
        </w:rPr>
        <w:t>一、总体情况</w:t>
      </w:r>
    </w:p>
    <w:p w14:paraId="24A2D3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/>
        </w:rPr>
      </w:pPr>
      <w:r>
        <w:t>202</w:t>
      </w:r>
      <w:r>
        <w:rPr>
          <w:rFonts w:hint="eastAsia"/>
          <w:lang w:val="en-US" w:eastAsia="zh-CN"/>
        </w:rPr>
        <w:t>5</w:t>
      </w:r>
      <w:r>
        <w:t>年，县民政局认真贯彻落实国家、省、市、县有关政务公开的有关要求，</w:t>
      </w:r>
      <w:r>
        <w:rPr>
          <w:rFonts w:hint="eastAsia"/>
        </w:rPr>
        <w:t>以保障群众知情权、参与权、监督权为核心，健全工作机制、深化公开内容、优化公开渠道、强化监督保障，推动政府信息公开工作与民政业务深度融合，切实提升政务公开规范化水平。</w:t>
      </w:r>
    </w:p>
    <w:p w14:paraId="0F8570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（一）主动公开内容</w:t>
      </w:r>
    </w:p>
    <w:p w14:paraId="5171E54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202</w:t>
      </w:r>
      <w:r>
        <w:rPr>
          <w:rFonts w:hint="eastAsia"/>
          <w:lang w:val="en-US" w:eastAsia="zh-CN"/>
        </w:rPr>
        <w:t>5</w:t>
      </w:r>
      <w:r>
        <w:t>年累计主动公开政府信息</w:t>
      </w:r>
      <w:r>
        <w:rPr>
          <w:rFonts w:hint="eastAsia"/>
          <w:lang w:val="en-US" w:eastAsia="zh-CN"/>
        </w:rPr>
        <w:t>132</w:t>
      </w:r>
      <w:r>
        <w:t>条，重点领域信息公开</w:t>
      </w:r>
      <w:r>
        <w:rPr>
          <w:rFonts w:hint="eastAsia"/>
          <w:lang w:val="en-US" w:eastAsia="zh-CN"/>
        </w:rPr>
        <w:t>40</w:t>
      </w:r>
      <w:r>
        <w:t>条，“双随机、一公开”类</w:t>
      </w:r>
      <w:r>
        <w:rPr>
          <w:rFonts w:hint="eastAsia"/>
          <w:lang w:val="en-US" w:eastAsia="zh-CN"/>
        </w:rPr>
        <w:t>46</w:t>
      </w:r>
      <w:r>
        <w:t>条、重点领域检查</w:t>
      </w:r>
      <w:r>
        <w:rPr>
          <w:rFonts w:hint="eastAsia"/>
          <w:lang w:val="en-US" w:eastAsia="zh-CN"/>
        </w:rPr>
        <w:t>6</w:t>
      </w:r>
      <w:r>
        <w:t>条，其他类</w:t>
      </w:r>
      <w:r>
        <w:rPr>
          <w:rFonts w:hint="eastAsia"/>
          <w:lang w:val="en-US" w:eastAsia="zh-CN"/>
        </w:rPr>
        <w:t>12</w:t>
      </w:r>
      <w:r>
        <w:t>条。</w:t>
      </w:r>
    </w:p>
    <w:p w14:paraId="77D4597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（二）依申请公开情况</w:t>
      </w:r>
    </w:p>
    <w:p w14:paraId="0F40A50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  202</w:t>
      </w:r>
      <w:r>
        <w:rPr>
          <w:rFonts w:hint="eastAsia"/>
          <w:lang w:val="en-US" w:eastAsia="zh-CN"/>
        </w:rPr>
        <w:t>5年</w:t>
      </w:r>
      <w:r>
        <w:t>，我局未接到依申请公开政府信息的申请，数量与去年持平。</w:t>
      </w:r>
    </w:p>
    <w:p w14:paraId="2181A6C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（三）政府信息管理情况</w:t>
      </w:r>
    </w:p>
    <w:p w14:paraId="7851977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完善信息公开审核制度，严格执行“先审核、后公开”原则，细化审核流程，明确审核责任，防范信息公开风险；同步梳理完善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形成《沂源县民政局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主动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事项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目录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，动态更新公开内容，确保公开信息准确、规范、及时。</w:t>
      </w:r>
    </w:p>
    <w:p w14:paraId="0DC3FF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（四）政府信息公开平台</w:t>
      </w:r>
    </w:p>
    <w:p w14:paraId="091DA069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依托县政府网站，及时更新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政策文件、养老服务、社会保障与救助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等内容；通过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沂源融媒政务APP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，聚焦群众关切的低保、养老、婚俗改革等政策，推送解读文章、工作动态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在政务服务大厅民政窗口设置公开专栏，摆放政策手册、宣传展板，安排专人提供咨询引导服务，打通政策公开“最后一公里”。</w:t>
      </w:r>
    </w:p>
    <w:p w14:paraId="31A6D7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 （五）监督保障情况</w:t>
      </w:r>
    </w:p>
    <w:p w14:paraId="5C837BF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强化组织领导，调整优化政务公开工作领导小组，召开专题会议研究部署政务公开工作。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加强业务培训，组织全局工作人员开展政府信息公开专题培训，重点讲解《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中华人民共和国政府信息公开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条例》及公开流程、审核规范等内容，提升工作人员专业能力，筑牢政务公开工作基础。</w:t>
      </w:r>
    </w:p>
    <w:p w14:paraId="282DAF95">
      <w:pPr>
        <w:pStyle w:val="3"/>
        <w:keepNext w:val="0"/>
        <w:keepLines w:val="0"/>
        <w:widowControl/>
        <w:suppressLineNumbers w:val="0"/>
        <w:spacing w:line="26" w:lineRule="atLeast"/>
      </w:pPr>
      <w:bookmarkStart w:id="0" w:name="_GoBack"/>
      <w:bookmarkEnd w:id="0"/>
    </w:p>
    <w:p w14:paraId="4D42402F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6"/>
        </w:rPr>
        <w:t>二、主动公开政府信息情况</w:t>
      </w:r>
    </w:p>
    <w:tbl>
      <w:tblPr>
        <w:tblStyle w:val="4"/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4"/>
        <w:gridCol w:w="1940"/>
        <w:gridCol w:w="1814"/>
        <w:gridCol w:w="1828"/>
      </w:tblGrid>
      <w:tr w14:paraId="756C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715" w:type="dxa"/>
            <w:gridSpan w:val="4"/>
            <w:shd w:val="clear" w:color="auto" w:fill="auto"/>
            <w:vAlign w:val="center"/>
          </w:tcPr>
          <w:p w14:paraId="38EB419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第二十条  第（一）项</w:t>
            </w:r>
          </w:p>
        </w:tc>
      </w:tr>
      <w:tr w14:paraId="2C1C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31AA9B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信息内容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D111FF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本年制发件数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E0FCC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本年废止件数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CF887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现行有效件数</w:t>
            </w:r>
          </w:p>
        </w:tc>
      </w:tr>
      <w:tr w14:paraId="5948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0D647EC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规章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F60B53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44C061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D3DAB3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3239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6D96D32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行政规范性文件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1E9003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F97948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D9B0F1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445D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715" w:type="dxa"/>
            <w:gridSpan w:val="4"/>
            <w:shd w:val="clear" w:color="auto" w:fill="auto"/>
            <w:vAlign w:val="center"/>
          </w:tcPr>
          <w:p w14:paraId="768CFED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第二十条  第（五）项</w:t>
            </w:r>
          </w:p>
        </w:tc>
      </w:tr>
      <w:tr w14:paraId="2F51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0919319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信息内容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777388C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本年处理决定数量</w:t>
            </w:r>
          </w:p>
        </w:tc>
      </w:tr>
      <w:tr w14:paraId="7C6C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2B1D4AE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行政许可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09FFC46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52B7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715" w:type="dxa"/>
            <w:gridSpan w:val="4"/>
            <w:shd w:val="clear" w:color="auto" w:fill="auto"/>
            <w:vAlign w:val="center"/>
          </w:tcPr>
          <w:p w14:paraId="5ABBE20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第二十条  第（六）项</w:t>
            </w:r>
          </w:p>
        </w:tc>
      </w:tr>
      <w:tr w14:paraId="604A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125E426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信息内容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65E8F4D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本年处理决定数量</w:t>
            </w:r>
          </w:p>
        </w:tc>
      </w:tr>
      <w:tr w14:paraId="1017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7D030BC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行政处罚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5CAE4B9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16DE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285C5DA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行政强制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78A45B3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6A2A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715" w:type="dxa"/>
            <w:gridSpan w:val="4"/>
            <w:shd w:val="clear" w:color="auto" w:fill="auto"/>
            <w:vAlign w:val="center"/>
          </w:tcPr>
          <w:p w14:paraId="5078569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第二十条  第（八）项</w:t>
            </w:r>
          </w:p>
        </w:tc>
      </w:tr>
      <w:tr w14:paraId="7B61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273006B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信息内容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2A7E6BB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本年收费金额（单位：万元）</w:t>
            </w:r>
          </w:p>
        </w:tc>
      </w:tr>
      <w:tr w14:paraId="4EC2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6E4E377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行政事业性收费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4DA6738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9D8B702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 w14:paraId="3576AA40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6"/>
        </w:rPr>
        <w:t>三、收到和处理政府信息公开申请情况</w:t>
      </w:r>
    </w:p>
    <w:p w14:paraId="7576D07D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tbl>
      <w:tblPr>
        <w:tblStyle w:val="4"/>
        <w:tblW w:w="5115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5"/>
        <w:gridCol w:w="3201"/>
        <w:gridCol w:w="4019"/>
        <w:gridCol w:w="720"/>
        <w:gridCol w:w="720"/>
        <w:gridCol w:w="720"/>
        <w:gridCol w:w="720"/>
        <w:gridCol w:w="720"/>
        <w:gridCol w:w="720"/>
        <w:gridCol w:w="735"/>
      </w:tblGrid>
      <w:tr w14:paraId="012A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73" w:type="pct"/>
            <w:gridSpan w:val="3"/>
            <w:vMerge w:val="restart"/>
            <w:shd w:val="clear" w:color="auto" w:fill="auto"/>
            <w:vAlign w:val="center"/>
          </w:tcPr>
          <w:p w14:paraId="08A45C2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  <w:p w14:paraId="5C46AB7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（本列数据的勾稽关系为：第一项加第二项之和，等于第三项加第四项之和）</w:t>
            </w:r>
          </w:p>
          <w:p w14:paraId="28DD2A7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</w:t>
            </w:r>
          </w:p>
        </w:tc>
        <w:tc>
          <w:tcPr>
            <w:tcW w:w="1221" w:type="pct"/>
            <w:gridSpan w:val="7"/>
            <w:shd w:val="clear" w:color="auto" w:fill="auto"/>
            <w:vAlign w:val="center"/>
          </w:tcPr>
          <w:p w14:paraId="495BB9C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申请人情况</w:t>
            </w:r>
          </w:p>
        </w:tc>
      </w:tr>
      <w:tr w14:paraId="3E8B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73" w:type="pct"/>
            <w:gridSpan w:val="3"/>
            <w:vMerge w:val="continue"/>
            <w:shd w:val="clear" w:color="auto" w:fill="auto"/>
            <w:vAlign w:val="center"/>
          </w:tcPr>
          <w:p w14:paraId="54E6C4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" w:type="pct"/>
            <w:vMerge w:val="restart"/>
            <w:shd w:val="clear" w:color="auto" w:fill="auto"/>
            <w:vAlign w:val="center"/>
          </w:tcPr>
          <w:p w14:paraId="6D22780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自然人</w:t>
            </w:r>
          </w:p>
        </w:tc>
        <w:tc>
          <w:tcPr>
            <w:tcW w:w="872" w:type="pct"/>
            <w:gridSpan w:val="5"/>
            <w:shd w:val="clear" w:color="auto" w:fill="auto"/>
            <w:vAlign w:val="center"/>
          </w:tcPr>
          <w:p w14:paraId="797828A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法人或其他组织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</w:tcPr>
          <w:p w14:paraId="2221B18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总计</w:t>
            </w:r>
          </w:p>
        </w:tc>
      </w:tr>
      <w:tr w14:paraId="3218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tblCellSpacing w:w="15" w:type="dxa"/>
        </w:trPr>
        <w:tc>
          <w:tcPr>
            <w:tcW w:w="3273" w:type="pct"/>
            <w:gridSpan w:val="3"/>
            <w:vMerge w:val="continue"/>
            <w:shd w:val="clear" w:color="auto" w:fill="auto"/>
            <w:vAlign w:val="center"/>
          </w:tcPr>
          <w:p w14:paraId="560FC3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" w:type="pct"/>
            <w:vMerge w:val="continue"/>
            <w:shd w:val="clear" w:color="auto" w:fill="auto"/>
            <w:vAlign w:val="center"/>
          </w:tcPr>
          <w:p w14:paraId="2BCE6D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A4CD89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商业企业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D6E712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科研机构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205916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社会公益组织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D6246B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法律服务机构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35F31E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其他</w:t>
            </w:r>
          </w:p>
        </w:tc>
        <w:tc>
          <w:tcPr>
            <w:tcW w:w="174" w:type="pct"/>
            <w:vMerge w:val="continue"/>
            <w:shd w:val="clear" w:color="auto" w:fill="auto"/>
            <w:vAlign w:val="center"/>
          </w:tcPr>
          <w:p w14:paraId="73DDB7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4B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273" w:type="pct"/>
            <w:gridSpan w:val="3"/>
            <w:shd w:val="clear" w:color="auto" w:fill="auto"/>
            <w:vAlign w:val="center"/>
          </w:tcPr>
          <w:p w14:paraId="2CBC7A2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一、本年新收政府信息公开申请数量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3BD83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243C85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D3CD7B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E09126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2212BF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D8211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A55984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</w:tr>
      <w:tr w14:paraId="422C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73" w:type="pct"/>
            <w:gridSpan w:val="3"/>
            <w:shd w:val="clear" w:color="auto" w:fill="auto"/>
            <w:vAlign w:val="center"/>
          </w:tcPr>
          <w:p w14:paraId="52322A7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二、上年结转政府信息公开申请数量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77969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B9EEC5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C99940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6ED193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54EF97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CE9D31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CC53D9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</w:tr>
      <w:tr w14:paraId="477C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tblCellSpacing w:w="15" w:type="dxa"/>
        </w:trPr>
        <w:tc>
          <w:tcPr>
            <w:tcW w:w="1103" w:type="pct"/>
            <w:vMerge w:val="restart"/>
            <w:shd w:val="clear" w:color="auto" w:fill="auto"/>
            <w:vAlign w:val="center"/>
          </w:tcPr>
          <w:p w14:paraId="7556AEF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三、本年度办理结果</w:t>
            </w:r>
          </w:p>
          <w:p w14:paraId="0757921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</w:t>
            </w:r>
          </w:p>
        </w:tc>
        <w:tc>
          <w:tcPr>
            <w:tcW w:w="2169" w:type="pct"/>
            <w:gridSpan w:val="2"/>
            <w:shd w:val="clear" w:color="auto" w:fill="auto"/>
            <w:vAlign w:val="center"/>
          </w:tcPr>
          <w:p w14:paraId="68C8696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（一）予以公开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CE6006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26DEEE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79A1C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B375E2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4182BF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77A6A5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385FCA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</w:tr>
      <w:tr w14:paraId="2C18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0B7B8A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pct"/>
            <w:gridSpan w:val="2"/>
            <w:shd w:val="clear" w:color="auto" w:fill="auto"/>
            <w:vAlign w:val="center"/>
          </w:tcPr>
          <w:p w14:paraId="62E9EF8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（二）部分公开（区分处理的，只计这一情形，不计其他情形）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C51A96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803556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4B13B6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9A4F1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930219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4392BF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A79873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</w:tr>
      <w:tr w14:paraId="3716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E7048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restart"/>
            <w:shd w:val="clear" w:color="auto" w:fill="auto"/>
            <w:vAlign w:val="center"/>
          </w:tcPr>
          <w:p w14:paraId="74D319B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（三）不予公开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50D05DA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1.属于国家秘密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63D4C8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7FB1C9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6EE56F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413926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031549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BAB60A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01921C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</w:tr>
      <w:tr w14:paraId="2039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5BD08C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072957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4C51949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2.其他法律行政法规禁止公开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AA8F66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5638F5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FFF653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7E9444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34C978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76805F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F15590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</w:tr>
      <w:tr w14:paraId="68B3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01910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690B8E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75F4686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3.危及“三安全一稳定”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D2F641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2FC75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B4908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E6FA19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50C651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AAECE5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1EF09D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</w:tr>
      <w:tr w14:paraId="67C7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50214E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615921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2899AD1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4.保护第三方合法权益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37ABC4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A6DE6F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D346EC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7D29EC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0DA7D4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890E03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6447C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0 </w:t>
            </w:r>
          </w:p>
        </w:tc>
      </w:tr>
      <w:tr w14:paraId="787A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FD37D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1A5840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537CC27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5.属于三类内部事务信息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477BCD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3D5C52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C20D08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039AC4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23B811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E93DEE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2E6F87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</w:tr>
      <w:tr w14:paraId="3302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5713B5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02EA89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5593B0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6.属于四类过程性信息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9778BB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28A0CA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B4BBA1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73E28D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A8DF9A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3FBDAF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BBD92C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6148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0C64CE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2FF5CD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51993F3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7.属于行政执法案卷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B8F017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958550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2CEFDB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977C69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5F1A9A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BACF9B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202796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5B28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2F1471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5CDD7C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3844586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8.属于行政查询事项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AC9D2D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9A0EBF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AD837A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CAD22C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F602C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524378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0EF2D7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433C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466BF1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restart"/>
            <w:shd w:val="clear" w:color="auto" w:fill="auto"/>
            <w:vAlign w:val="center"/>
          </w:tcPr>
          <w:p w14:paraId="2257B15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（四）无法提供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214B0BF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1.本机关不掌握相关政府信息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8B88F3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BF7FDC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14E3EA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355AE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AF7EFA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2A098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7B984D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71F3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0ADC7A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660F3B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364A2A5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2.没有现成信息需要另行制作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24D7CA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04E484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36AA0D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4E36DF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3D34C5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AE1839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F4B4DB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60C7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0FC435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370359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23BDE4A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3.补正后申请内容仍不明确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9FF649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D8E1E1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88A67F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638AFC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BD0283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AC1068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ED56C3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0AB5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7E664B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restart"/>
            <w:shd w:val="clear" w:color="auto" w:fill="auto"/>
            <w:vAlign w:val="center"/>
          </w:tcPr>
          <w:p w14:paraId="63D0CB6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（五）不予处理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62F088C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1.信访举报投诉类申请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FA306C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9B6AF8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693F8A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F03D94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729049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F84370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9E6A67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7C0F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349694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4127CA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09E0636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2.重复申请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5B2773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07458A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E63CA0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CB318C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20F6AB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CE321E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F794AC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0F2C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C8CF1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0A118D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765602E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3.要求提供公开出版物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C29CF0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DF3B4F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C2E74B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A3B9EE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706FB9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D35B3C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2B2192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5CEE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4EF335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6520BD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0B69CDD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CE6EB4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F2E2E9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BA85E7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B083D9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EC3086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2390A6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91D15E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</w:tr>
      <w:tr w14:paraId="5983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974E1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66E967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23060E0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4.无正当理由大量反复申请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5026BC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F3AFFE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25883E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25131B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6A3292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132AA7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483748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02E8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501E23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293B1C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485B687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5.要求行政机关确认或重新出具已获取信息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8F542A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1A0687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8B9C9F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81A4F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5FA7CB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E1C9D7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543FDB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53C7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3D6F02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6C0AD47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（六）其他处理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4942ACB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1.申请人无正当理由逾期不补正、行政机关不再处理其政府信息公开申请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B55F4B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AA072F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268AB3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900E34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D8693F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26B837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3FEF7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4862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EEB1C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4EBB080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6CF810D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2.申请人逾期未按收费通知要求缴纳费用、行政机关不再处理其政府信息公开申请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67E3FB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D3D6E2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1C2151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BD630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FFEFCE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F55840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C73A8D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2A6C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3F6C97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5E90AF1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35E2082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3.其他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07C47A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BC52A7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41F47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9915CB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88D496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BB4D87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ABE022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</w:tr>
      <w:tr w14:paraId="70D0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04826E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pct"/>
            <w:gridSpan w:val="2"/>
            <w:shd w:val="clear" w:color="auto" w:fill="auto"/>
            <w:vAlign w:val="center"/>
          </w:tcPr>
          <w:p w14:paraId="1681412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（七）总计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CB76C9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84BE29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47023D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618394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310E94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515110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7DD709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41FB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1" w:hRule="atLeast"/>
          <w:tblCellSpacing w:w="15" w:type="dxa"/>
        </w:trPr>
        <w:tc>
          <w:tcPr>
            <w:tcW w:w="3273" w:type="pct"/>
            <w:gridSpan w:val="3"/>
            <w:shd w:val="clear" w:color="auto" w:fill="auto"/>
            <w:vAlign w:val="center"/>
          </w:tcPr>
          <w:tbl>
            <w:tblPr>
              <w:tblStyle w:val="4"/>
              <w:tblW w:w="0" w:type="auto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35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35"/>
            </w:tblGrid>
            <w:tr w14:paraId="1E59EF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185" w:type="dxa"/>
                  <w:gridSpan w:val="5"/>
                  <w:shd w:val="clear" w:color="auto" w:fill="auto"/>
                  <w:vAlign w:val="center"/>
                </w:tcPr>
                <w:p w14:paraId="74696A0C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行政复议</w:t>
                  </w:r>
                </w:p>
              </w:tc>
              <w:tc>
                <w:tcPr>
                  <w:tcW w:w="6645" w:type="dxa"/>
                  <w:gridSpan w:val="10"/>
                  <w:shd w:val="clear" w:color="auto" w:fill="auto"/>
                  <w:vAlign w:val="center"/>
                </w:tcPr>
                <w:p w14:paraId="6844451A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行政诉讼</w:t>
                  </w:r>
                </w:p>
              </w:tc>
            </w:tr>
            <w:tr w14:paraId="4C4D0C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705" w:type="dxa"/>
                  <w:vMerge w:val="restart"/>
                  <w:shd w:val="clear" w:color="auto" w:fill="auto"/>
                  <w:vAlign w:val="center"/>
                </w:tcPr>
                <w:p w14:paraId="1B476C23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结果维持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auto"/>
                  <w:vAlign w:val="center"/>
                </w:tcPr>
                <w:p w14:paraId="72052D2F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结果纠正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1DC95F9F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其他结果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5F03DE1B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尚未审结</w:t>
                  </w:r>
                </w:p>
              </w:tc>
              <w:tc>
                <w:tcPr>
                  <w:tcW w:w="675" w:type="dxa"/>
                  <w:vMerge w:val="restart"/>
                  <w:shd w:val="clear" w:color="auto" w:fill="auto"/>
                  <w:vAlign w:val="center"/>
                </w:tcPr>
                <w:p w14:paraId="11DDA95C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总计</w:t>
                  </w:r>
                </w:p>
              </w:tc>
              <w:tc>
                <w:tcPr>
                  <w:tcW w:w="3510" w:type="dxa"/>
                  <w:gridSpan w:val="5"/>
                  <w:shd w:val="clear" w:color="auto" w:fill="auto"/>
                  <w:vAlign w:val="center"/>
                </w:tcPr>
                <w:p w14:paraId="4F3FBB8C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未经复议直接起诉</w:t>
                  </w:r>
                </w:p>
              </w:tc>
              <w:tc>
                <w:tcPr>
                  <w:tcW w:w="3120" w:type="dxa"/>
                  <w:gridSpan w:val="5"/>
                  <w:shd w:val="clear" w:color="auto" w:fill="auto"/>
                  <w:vAlign w:val="center"/>
                </w:tcPr>
                <w:p w14:paraId="6FADD2B2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复议后起诉</w:t>
                  </w:r>
                </w:p>
              </w:tc>
            </w:tr>
            <w:tr w14:paraId="5BBDEF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705" w:type="dxa"/>
                  <w:vMerge w:val="continue"/>
                  <w:shd w:val="clear" w:color="auto" w:fill="auto"/>
                  <w:vAlign w:val="center"/>
                </w:tcPr>
                <w:p w14:paraId="398124FE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vMerge w:val="continue"/>
                  <w:shd w:val="clear" w:color="auto" w:fill="auto"/>
                  <w:vAlign w:val="center"/>
                </w:tcPr>
                <w:p w14:paraId="5574596B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continue"/>
                  <w:shd w:val="clear" w:color="auto" w:fill="auto"/>
                  <w:vAlign w:val="center"/>
                </w:tcPr>
                <w:p w14:paraId="3E9E3EEE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continue"/>
                  <w:shd w:val="clear" w:color="auto" w:fill="auto"/>
                  <w:vAlign w:val="center"/>
                </w:tcPr>
                <w:p w14:paraId="258C667A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  <w:vMerge w:val="continue"/>
                  <w:shd w:val="clear" w:color="auto" w:fill="auto"/>
                  <w:vAlign w:val="center"/>
                </w:tcPr>
                <w:p w14:paraId="5BAB4B62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  <w:vAlign w:val="center"/>
                </w:tcPr>
                <w:p w14:paraId="5CBB37F8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结果维持</w:t>
                  </w:r>
                </w:p>
              </w:tc>
              <w:tc>
                <w:tcPr>
                  <w:tcW w:w="585" w:type="dxa"/>
                  <w:shd w:val="clear" w:color="auto" w:fill="auto"/>
                  <w:vAlign w:val="center"/>
                </w:tcPr>
                <w:p w14:paraId="4DCBC7B7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结果纠正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360B349F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其他</w:t>
                  </w:r>
                </w:p>
                <w:p w14:paraId="4F0E4F39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</w:t>
                  </w:r>
                </w:p>
              </w:tc>
              <w:tc>
                <w:tcPr>
                  <w:tcW w:w="1005" w:type="dxa"/>
                  <w:shd w:val="clear" w:color="auto" w:fill="auto"/>
                  <w:vAlign w:val="center"/>
                </w:tcPr>
                <w:p w14:paraId="14112C2A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尚未审结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49F66A05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总计</w:t>
                  </w: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 w14:paraId="20C7DA14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结果维持</w:t>
                  </w:r>
                </w:p>
              </w:tc>
              <w:tc>
                <w:tcPr>
                  <w:tcW w:w="570" w:type="dxa"/>
                  <w:shd w:val="clear" w:color="auto" w:fill="auto"/>
                  <w:vAlign w:val="center"/>
                </w:tcPr>
                <w:p w14:paraId="6BFCE610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结果纠正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087FBDF2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其他结果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43CD97FB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尚未审结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692CEA31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总计</w:t>
                  </w:r>
                </w:p>
              </w:tc>
            </w:tr>
            <w:tr w14:paraId="2A9FC8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705" w:type="dxa"/>
                  <w:shd w:val="clear" w:color="auto" w:fill="auto"/>
                  <w:vAlign w:val="center"/>
                </w:tcPr>
                <w:p w14:paraId="69645EE9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3906E9AD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FD5ADB0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377B80C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75" w:type="dxa"/>
                  <w:shd w:val="clear" w:color="auto" w:fill="auto"/>
                  <w:vAlign w:val="center"/>
                </w:tcPr>
                <w:p w14:paraId="1634EBB0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15" w:type="dxa"/>
                  <w:shd w:val="clear" w:color="auto" w:fill="auto"/>
                  <w:vAlign w:val="center"/>
                </w:tcPr>
                <w:p w14:paraId="068D6670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585" w:type="dxa"/>
                  <w:shd w:val="clear" w:color="auto" w:fill="auto"/>
                  <w:vAlign w:val="center"/>
                </w:tcPr>
                <w:p w14:paraId="2613210A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1EE19597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1005" w:type="dxa"/>
                  <w:shd w:val="clear" w:color="auto" w:fill="auto"/>
                  <w:vAlign w:val="center"/>
                </w:tcPr>
                <w:p w14:paraId="40E38705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161C0EA7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 w14:paraId="40CC3F31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570" w:type="dxa"/>
                  <w:shd w:val="clear" w:color="auto" w:fill="auto"/>
                  <w:vAlign w:val="center"/>
                </w:tcPr>
                <w:p w14:paraId="7019A8D0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13AAC677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6B543B1F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4E6D23BF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</w:tr>
          </w:tbl>
          <w:p w14:paraId="1C317A7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四、结转下年度继续办理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F84F61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8C27DF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78B250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80989C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3B5ED7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8CC805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47E815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</w:tbl>
    <w:p w14:paraId="59DB313C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6"/>
        </w:rPr>
        <w:t>四、因政府信息公开申请提起行政复议、行政诉讼的情况</w:t>
      </w:r>
    </w:p>
    <w:p w14:paraId="52D51314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tbl>
      <w:tblPr>
        <w:tblStyle w:val="4"/>
        <w:tblW w:w="974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3"/>
        <w:gridCol w:w="553"/>
        <w:gridCol w:w="553"/>
        <w:gridCol w:w="553"/>
        <w:gridCol w:w="553"/>
        <w:gridCol w:w="553"/>
        <w:gridCol w:w="1455"/>
      </w:tblGrid>
      <w:tr w14:paraId="034FB6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760" w:type="dxa"/>
            <w:gridSpan w:val="5"/>
            <w:shd w:val="clear" w:color="auto" w:fill="auto"/>
            <w:vAlign w:val="center"/>
          </w:tcPr>
          <w:p w14:paraId="334935F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行政复议</w:t>
            </w:r>
          </w:p>
        </w:tc>
        <w:tc>
          <w:tcPr>
            <w:tcW w:w="5526" w:type="dxa"/>
            <w:gridSpan w:val="10"/>
            <w:shd w:val="clear" w:color="auto" w:fill="auto"/>
            <w:vAlign w:val="center"/>
          </w:tcPr>
          <w:p w14:paraId="58422A5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行政诉讼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C19F21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7FB16A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245831F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结果维持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 w14:paraId="602C9CD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结果纠正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 w14:paraId="230980B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其他结果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 w14:paraId="2A163CD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尚未审结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 w14:paraId="4DEBF15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总计</w:t>
            </w:r>
          </w:p>
        </w:tc>
        <w:tc>
          <w:tcPr>
            <w:tcW w:w="2761" w:type="dxa"/>
            <w:gridSpan w:val="5"/>
            <w:shd w:val="clear" w:color="auto" w:fill="auto"/>
            <w:vAlign w:val="center"/>
          </w:tcPr>
          <w:p w14:paraId="53D058A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未经复议直接起诉</w:t>
            </w:r>
          </w:p>
        </w:tc>
        <w:tc>
          <w:tcPr>
            <w:tcW w:w="2765" w:type="dxa"/>
            <w:gridSpan w:val="5"/>
            <w:shd w:val="clear" w:color="auto" w:fill="auto"/>
            <w:vAlign w:val="center"/>
          </w:tcPr>
          <w:p w14:paraId="59225D9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复议后起诉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DA2034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42ACBA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2" w:type="dxa"/>
            <w:vMerge w:val="continue"/>
            <w:shd w:val="clear" w:color="auto" w:fill="auto"/>
            <w:vAlign w:val="center"/>
          </w:tcPr>
          <w:p w14:paraId="2D7934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shd w:val="clear" w:color="auto" w:fill="auto"/>
            <w:vAlign w:val="center"/>
          </w:tcPr>
          <w:p w14:paraId="0D0931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shd w:val="clear" w:color="auto" w:fill="auto"/>
            <w:vAlign w:val="center"/>
          </w:tcPr>
          <w:p w14:paraId="348135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shd w:val="clear" w:color="auto" w:fill="auto"/>
            <w:vAlign w:val="center"/>
          </w:tcPr>
          <w:p w14:paraId="53431D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shd w:val="clear" w:color="auto" w:fill="auto"/>
            <w:vAlign w:val="center"/>
          </w:tcPr>
          <w:p w14:paraId="150DF4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020F185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结果维持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F28285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结果纠正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888214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其他结果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7406A0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尚未审结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3915128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总计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40C76F4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结果维持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0F9C86F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结果纠正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3FDBB77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其他结果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4D26768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尚未审结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42C4169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总计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80F873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4DC665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2" w:type="dxa"/>
            <w:shd w:val="clear" w:color="auto" w:fill="auto"/>
            <w:vAlign w:val="center"/>
          </w:tcPr>
          <w:p w14:paraId="64FE0E9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33ECC5A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211B2D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E13E00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685FD1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671DA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3C247E7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350393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0F0920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776EB50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32413F2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0FC00D4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0163B29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5E8B36A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6995DFD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5FF816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</w:tbl>
    <w:p w14:paraId="7471D74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939874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五、政府信息公开工作存在的主要问题及改进情况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025年，沂源县民政局认真贯彻落实政务公开各项工作要求，在持续提升公开质效的同时，也对照标准检视出一些薄弱环节。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（一）工作中存在的主要问题和困难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是部分公开栏目信息的更新时效性有待加强，日常运维管理需进一步细化。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是政策解读的方式方法创新不足，形式多样性不够，影响了解读的传播效果和公众理解度。</w:t>
      </w:r>
    </w:p>
    <w:p w14:paraId="780339C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（二）具体解决办法和改进措施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是优化信息发布工作机制，明确专人专责，保障本机关政府信息发布的全面性、准确性、及时性与有效性。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是积极探索多元化政策解读模式，增加线下面对面解读、现场答疑等互动性强、直观易懂的形式，切实提升政策解读的实效性与覆盖面，助力政策真正落到实处。</w:t>
      </w:r>
    </w:p>
    <w:p w14:paraId="6C638FD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六、其他需要报告的事项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（一）依申请公开信息处理费收费情况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本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年度，本单位严格按照《国务院办公厅关于印发〈政府信息公开信息处理费管理办法〉的通知》（国办函〔2020〕109号）执行，未向申请人收取任何信息处理费。</w:t>
      </w:r>
    </w:p>
    <w:p w14:paraId="7B2C23E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（二）建议提案办理总体情况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025年，我局共受理并办结人大代表建议、政协委员提案8件。</w:t>
      </w:r>
    </w:p>
    <w:p w14:paraId="26B6985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（三）创新实践情况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新开设“民政政策云讲堂”，定期通过线上直播形式对养老服务、社会救助等群众关切的政策进行互动解读与答疑，延伸了政策宣传的时空范围，提升了政务公开的互动性与精准性。</w:t>
      </w:r>
    </w:p>
    <w:p w14:paraId="313251B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（四）落实上级方案情况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本单位紧扣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上级工作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要求，按时保质完成各项任务清单，上级部署得到有效贯彻落实，整体实施效果良好。</w:t>
      </w:r>
    </w:p>
    <w:p w14:paraId="6C209E9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（五）其他需要说明的事项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本年度无其他需要专项报告的事项。</w:t>
      </w:r>
    </w:p>
    <w:p w14:paraId="03D45BA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13BEB9E0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t> </w:t>
      </w:r>
    </w:p>
    <w:p w14:paraId="0E16B0B3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t>                                            沂源县民政局</w:t>
      </w:r>
    </w:p>
    <w:p w14:paraId="186B2AAF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t>                                         202</w:t>
      </w:r>
      <w:r>
        <w:rPr>
          <w:rFonts w:hint="eastAsia"/>
          <w:lang w:val="en-US" w:eastAsia="zh-CN"/>
        </w:rPr>
        <w:t>6</w:t>
      </w:r>
      <w:r>
        <w:t>年1月26日</w:t>
      </w:r>
    </w:p>
    <w:p w14:paraId="2D84980A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 w14:paraId="7AE0F2F7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 w14:paraId="16381FA3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 w14:paraId="45AF2A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530A"/>
    <w:rsid w:val="02614E03"/>
    <w:rsid w:val="0C6D481C"/>
    <w:rsid w:val="0D7A6C1B"/>
    <w:rsid w:val="0D8458C4"/>
    <w:rsid w:val="0E611762"/>
    <w:rsid w:val="15865D43"/>
    <w:rsid w:val="17B172B6"/>
    <w:rsid w:val="1C67088B"/>
    <w:rsid w:val="21B06830"/>
    <w:rsid w:val="22B365D8"/>
    <w:rsid w:val="254237AE"/>
    <w:rsid w:val="26B7240F"/>
    <w:rsid w:val="2D0A67F8"/>
    <w:rsid w:val="2D69241C"/>
    <w:rsid w:val="2E1D524D"/>
    <w:rsid w:val="2F3E36CD"/>
    <w:rsid w:val="33A81E05"/>
    <w:rsid w:val="35A973C7"/>
    <w:rsid w:val="36FC0D23"/>
    <w:rsid w:val="37490E61"/>
    <w:rsid w:val="3C185278"/>
    <w:rsid w:val="3CAF1767"/>
    <w:rsid w:val="416B7C26"/>
    <w:rsid w:val="45570BED"/>
    <w:rsid w:val="45B1654F"/>
    <w:rsid w:val="47727F60"/>
    <w:rsid w:val="49474E2F"/>
    <w:rsid w:val="49805F60"/>
    <w:rsid w:val="4AFD3262"/>
    <w:rsid w:val="4D3A32CE"/>
    <w:rsid w:val="4DDF5C24"/>
    <w:rsid w:val="4EA27487"/>
    <w:rsid w:val="52050620"/>
    <w:rsid w:val="54763DB6"/>
    <w:rsid w:val="5D245401"/>
    <w:rsid w:val="62731FE6"/>
    <w:rsid w:val="62917095"/>
    <w:rsid w:val="641461CF"/>
    <w:rsid w:val="64E21E2A"/>
    <w:rsid w:val="662E25FC"/>
    <w:rsid w:val="686F06AF"/>
    <w:rsid w:val="69AA64E5"/>
    <w:rsid w:val="69D1246D"/>
    <w:rsid w:val="6AE56C04"/>
    <w:rsid w:val="6BC6435F"/>
    <w:rsid w:val="6DCB2B7A"/>
    <w:rsid w:val="6E5B3343"/>
    <w:rsid w:val="73003FD8"/>
    <w:rsid w:val="74D12037"/>
    <w:rsid w:val="768F5FAD"/>
    <w:rsid w:val="78550CFB"/>
    <w:rsid w:val="78D14237"/>
    <w:rsid w:val="7A1F0FD2"/>
    <w:rsid w:val="7DFB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617</Words>
  <Characters>688</Characters>
  <Lines>0</Lines>
  <Paragraphs>0</Paragraphs>
  <TotalTime>5</TotalTime>
  <ScaleCrop>false</ScaleCrop>
  <LinksUpToDate>false</LinksUpToDate>
  <CharactersWithSpaces>696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2026-01-28T08:26:00Z</dcterms:created>
  <dc:creator>Administrator</dc:creator>
  <cp:lastModifiedBy>Darren</cp:lastModifiedBy>
  <dcterms:modified xsi:type="dcterms:W3CDTF">2026-01-30T03:40:46Z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eyJoZGlkIjoiMjg3ZjAyMDg1OGQ5ODY4NmE5NjlkNzRmYmM5NjEwYTgiLCJ1c2VySWQiOiIyMDI3OTg5NDcifQ==</vt:lpwstr>
  </property>
  <property fmtid="{D5CDD505-2E9C-101B-9397-08002B2CF9AE}" pid="4" name="ICV">
    <vt:lpwstr>F2DBFF04C65F4B208F395EF6EF9CDA07_12</vt:lpwstr>
  </property>
</Properties>
</file>