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县交通运输局</w:t>
      </w:r>
    </w:p>
    <w:p>
      <w:pPr>
        <w:spacing w:line="560" w:lineRule="exact"/>
        <w:jc w:val="center"/>
        <w:rPr>
          <w:rFonts w:ascii="宋体" w:hAnsi="宋体" w:eastAsia="宋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2020年度法治建设报告</w:t>
      </w:r>
      <w:r>
        <w:rPr>
          <w:rFonts w:ascii="宋体" w:hAnsi="宋体" w:eastAsia="宋体" w:cs="宋体"/>
          <w:sz w:val="2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2020年以来，县交通运输局以构建和谐、高效、便民的交通执法环境为主线，全面落实行政执法三项制度，正确履行法定权力，依法行政能力和为民服务水平显著提升。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行政执法三项制度推进落实情况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（一）严格实施执法信息公示制。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一是规范事前公示。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通过县政府网站及时公开行政检查、行政强制、行政处罚等8项权责清单，“双随机一公开”事项清单、依据、程序等，进一步规范事前公示。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二是做好事中公示。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利用“双随机一公开” 执法系统，公开行政执法人员资格，在执法单位办公场所设立执法监督岗，在违章处理、行政服务等窗口公示行政处罚、行政服务事项流程、办结时限、所需材料以及工作人员岗位信息。严格实施执法人员持证上岗、亮证执法工作要求，规范执法事中公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三是推动事后公示。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自2017年开始，我局一直坚持通过县政府网站公示行政处罚情况，每周公示一次，接受群众监督。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（二）积极推进执法全过程记录制。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 是明确记录内容及程序。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通过制定《行政执法全过程记录制度》明确了执法人员对执法程序、调查取证、审查决定、送达执行、归档管理等行政执法整个过程进行全程记录;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二是加强执法装备建设。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购置了23部行政执法记录仪。配发给监察大队一线执法人员，加强执法全过程记录。按照省市要求统一执法文书，确保每件行政执法案件有记录、有案卷，保障执法全过程文字记录完整，执法文书规范，案卷完整齐全，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（三）开展重大行政执法决定法制审核制。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《重大执法决定法制审核制度》，在局法制审核工作小组审核的同时，邀请法律顾问参加，集体审议重大行政执法案件。同时，我局制定了重大行政执法案件集体讨论制度，明确了重大执法案件范围以及法制审核程序、要求。2020年以来，共审查执法案件145起，强化了法制审核制度的落实，规范了执法行为，有力地促进了严格规范公正执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二、行政执法开展情况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（一）加强“一岗双责”，强化权力约束。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一是全力推动法治政府建设工作。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严格落实“一岗双责”，实行“一把手”负总责，分管领导靠上抓，单位负责人直接抓，法制机构监督检查的工作机制。制定执法检查计划，将执法责任层层分解，落实到岗到人，确保行政执法工作顺利开展。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二是强化权力监管约束。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法程序，严明执法纪律，实行查处分离，严格落实行政执法三项制度以及内部审计，工程建设、交通执法、运输管理、安全生产等领域重大问题联席会议制度，增强工作联动，有效实现权利的监督制约，最大程度实现决策的公平、公正、公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三是加大执法宣传力度。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强化执法工作宣传，利用微信公众号、报纸专栏、电台专栏、网站等平台，定期对群众关心、社会关注的政策法规进行解读。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（二）加强队伍建设，强化正风肃纪。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一是加强人员教育培训。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在认真开展好理论学习的基础上，组织全体干部职工开展法律法规教育培训，通过法律讲座、法律考试等多种形式，不断提升执法队伍素质。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二是加强队伍正风肃纪。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成立局纪检督察组，强化队伍日常管理和监督，将经常性监督和突击性明察暗访结合起来，加大纪律作风监督检查力度。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三是严格规范执法。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结合交通运输执法工作的特殊性，以及执法工作现实需要，规范路检路查程序、执法用语、法律文书，塑造执法人员良好形象，确保执法行为规范有序。</w:t>
      </w:r>
    </w:p>
    <w:p>
      <w:pPr>
        <w:spacing w:line="540" w:lineRule="exact"/>
        <w:ind w:firstLine="569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（三）坚持依法行政，强化行业监管。一是全力推进交通行业监管。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强化源头监管，全面加强“两客一危”运输监管，排隐患、零容忍、严整改。</w:t>
      </w:r>
      <w:r>
        <w:rPr>
          <w:rFonts w:hint="eastAsia" w:ascii="仿宋_GB2312" w:eastAsia="仿宋_GB2312"/>
          <w:sz w:val="32"/>
          <w:szCs w:val="32"/>
        </w:rPr>
        <w:t>处理各类运政违章案件120件次，查处黑出租27辆，危化品非法经营车辆1辆；</w:t>
      </w:r>
      <w:r>
        <w:rPr>
          <w:rFonts w:hint="eastAsia" w:ascii="华文仿宋" w:hAnsi="华文仿宋" w:eastAsia="华文仿宋" w:cs="华文仿宋"/>
          <w:sz w:val="32"/>
        </w:rPr>
        <w:t>审核驾校学员7500余人，并抓好了非法培训点的清理工作。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二是深入推进移动污染源整治攻坚战</w:t>
      </w:r>
      <w:r>
        <w:rPr>
          <w:rFonts w:hint="eastAsia" w:ascii="仿宋" w:hAnsi="仿宋" w:eastAsia="仿宋" w:cs="仿宋"/>
          <w:sz w:val="32"/>
          <w:szCs w:val="32"/>
        </w:rPr>
        <w:t>按照环保治理要求，积极引导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国三柴油重型车辆退出运输市场，目前已淘汰国三车辆289辆，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发放淘汰补贴500多万元；完成沂源县超限检测站建设，并于5月份正式投入使用；</w:t>
      </w:r>
      <w:r>
        <w:rPr>
          <w:rFonts w:hint="eastAsia" w:ascii="仿宋_GB2312" w:eastAsia="仿宋_GB2312"/>
          <w:sz w:val="32"/>
          <w:szCs w:val="32"/>
        </w:rPr>
        <w:t>联合交警部门检查车辆12690余台次，查处超限超载车辆1158余辆次，卸载6.8万余吨，配合环保交警等部门联合检测重型柴油货车160次，检测重型柴油车4800辆。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三是深入开展交通运输执法监察攻坚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超限超载和普货拉载危险品行为安全隐患大、管控难度大、屡禁不止等问题，局党组坚持“一盘棋”思想，打破部门、科室界限，组成路面执法攻坚组，24小时无缝隙执法，持续保持高压，起到了极大震慑作用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四是扎实做好疫情防控交通联防监管。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自1月26日开始，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我局牵头做好全县疫情防控交通联防联控工作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高速公路出入口、国省道等重点路段设置了10个交通联防检查站，在县乡道路设置了12处劝返点，共检查车辆74088辆，检查人员113126人，劝返外省车辆1356辆、随车人员2060人，对全县疫情防治工作做出了重要贡献。二是加快交通运输企业复工复产审核，积极开展“定制化”“点对点”交通运输服务。疫情期间为运输生产生活及疫情防治应急等物资车辆发放通行证684张，放行持通行证车辆11081辆，确保了全县生产生活秩序有序开展。五是</w:t>
      </w:r>
      <w:r>
        <w:rPr>
          <w:rFonts w:hint="eastAsia" w:ascii="仿宋" w:hAnsi="仿宋" w:eastAsia="仿宋" w:cs="仿宋"/>
          <w:sz w:val="32"/>
          <w:szCs w:val="32"/>
        </w:rPr>
        <w:t>认真排查全县冷链食品运输车辆，定期组织冷链运输从业人员进行核酸检测，共组织人员进行核酸检测6轮38人次，检测率达100%。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三、存在的问题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交通执法工作中，我们做了大量工作，但仍存在着一些不可忽视的问题:一是执法改革未全部到位，交通运输内部权责不明晰，影响了执法效能;二是执法环境不容乐观，执法缺乏强制力，执法取证工作存在一定难度;三是行业安全监管形势严峻，责任和压力越来越大，人员混用严重，执法力量不足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四、下一步打算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一是进一步完善“三项制度”。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其他单位经验，进一步明确行政执法公示、执法全过程记录和重大行政执法决定法制审核的内容、范围、程序、方式，规范执法制度建设。强化“三项制度”的落实，进一步总结经验，改正不足，严格落实“三项制度”，加强监督检查督办，确保制度得到有效实施，以制度管人、管事，促进执法行为规范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二是进一步加强法制宣传教育工作。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开展法律法规学习和素质培训，增强领导干部和执法人员法治意识，不断提升执法能力和服务质量。坚持政务公开，深化权力阳光运行机制，以新闻宣传为重点，及时向社会公布工作动态，加强宣传引导，塑造良好交通形象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三是全面落实法治部门建设工作责任制。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积极做好我局行政执法系统与司法局系统的对接，在完善执法程序的基础上，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及时总结经验，不断强化服务理念，提升服务水平，增强决策的科学性和规范性，为维护交通运输市场秩序稳定健康发展创造良好的法治坏境。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2020年12月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8日</w:t>
      </w:r>
    </w:p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A4126C"/>
    <w:multiLevelType w:val="singleLevel"/>
    <w:tmpl w:val="CBA412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7A6574"/>
    <w:rsid w:val="00000756"/>
    <w:rsid w:val="000B07E5"/>
    <w:rsid w:val="00152802"/>
    <w:rsid w:val="001F1BF4"/>
    <w:rsid w:val="00231DFA"/>
    <w:rsid w:val="002323C9"/>
    <w:rsid w:val="0040309D"/>
    <w:rsid w:val="0043423F"/>
    <w:rsid w:val="00492FB0"/>
    <w:rsid w:val="004C49C1"/>
    <w:rsid w:val="004D7C88"/>
    <w:rsid w:val="0050110B"/>
    <w:rsid w:val="00630F50"/>
    <w:rsid w:val="00724DF4"/>
    <w:rsid w:val="0074604E"/>
    <w:rsid w:val="0076556C"/>
    <w:rsid w:val="008E791D"/>
    <w:rsid w:val="009059BB"/>
    <w:rsid w:val="0093425A"/>
    <w:rsid w:val="0098223A"/>
    <w:rsid w:val="00993507"/>
    <w:rsid w:val="009943AA"/>
    <w:rsid w:val="009A5AD8"/>
    <w:rsid w:val="009E1E74"/>
    <w:rsid w:val="00A12844"/>
    <w:rsid w:val="00A47AC4"/>
    <w:rsid w:val="00A64E28"/>
    <w:rsid w:val="00B85B8D"/>
    <w:rsid w:val="00BC4E21"/>
    <w:rsid w:val="00BD2EE2"/>
    <w:rsid w:val="00C707FC"/>
    <w:rsid w:val="00C71F2C"/>
    <w:rsid w:val="00D10277"/>
    <w:rsid w:val="00D36B2D"/>
    <w:rsid w:val="00E0522B"/>
    <w:rsid w:val="00E10099"/>
    <w:rsid w:val="00F20752"/>
    <w:rsid w:val="00F21809"/>
    <w:rsid w:val="00F7466C"/>
    <w:rsid w:val="00F82301"/>
    <w:rsid w:val="00FC4B17"/>
    <w:rsid w:val="0D7A6574"/>
    <w:rsid w:val="447D7542"/>
    <w:rsid w:val="6D924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396</Words>
  <Characters>2259</Characters>
  <Lines>18</Lines>
  <Paragraphs>5</Paragraphs>
  <TotalTime>52</TotalTime>
  <ScaleCrop>false</ScaleCrop>
  <LinksUpToDate>false</LinksUpToDate>
  <CharactersWithSpaces>2650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2019-12-18T03:53:00Z</dcterms:created>
  <dc:creator>燕</dc:creator>
  <cp:lastModifiedBy>张玉鹏</cp:lastModifiedBy>
  <cp:lastPrinted>2019-12-18T04:08:00Z</cp:lastPrinted>
  <dcterms:modified xsi:type="dcterms:W3CDTF">2021-01-05T01:06:38Z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