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沂源县退役军人事务局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2022年度政府信息公开工作年度报告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default" w:ascii="Times New Roman" w:hAnsi="Times New Roman" w:eastAsia="仿宋_GB2312" w:cs="Times New Roman"/>
          <w:i w:val="0"/>
          <w:iCs w:val="0"/>
          <w:caps w:val="0"/>
          <w:color w:val="000000"/>
          <w:spacing w:val="0"/>
          <w:sz w:val="32"/>
          <w:szCs w:val="32"/>
          <w:shd w:val="clear" w:fill="FFFFFF"/>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根据《中华人民共和国政府信息公开工作年度报告格式》和县政府办公室《关于做好2021年政府信息公开工作年度报告编制和发布工作的通知》等文件要求，现结合我单位工作实际，编制2022年度政府信息公开年度报告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报告全文由总体情况、主动公开信息情况、依申请公开信息情况、因政务公开被申请行政复议提起行政诉讼情况、存在的主要问题及改进情况、其他需要报告的事项六个部分组成。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报告中所列数据的统计时间段为2022 年1月1日至2022年12月31日。本报告全文在沂源县人民政府门户网站（http://www.yiyuan.gov.cn/)“政府信息公开年度报告”专栏及“沂源县退役军人事务局”网</w:t>
      </w:r>
      <w:r>
        <w:rPr>
          <w:rFonts w:hint="eastAsia" w:ascii="Times New Roman" w:hAnsi="Times New Roman" w:eastAsia="仿宋_GB2312" w:cs="Times New Roman"/>
          <w:i w:val="0"/>
          <w:iCs w:val="0"/>
          <w:caps w:val="0"/>
          <w:color w:val="000000"/>
          <w:spacing w:val="0"/>
          <w:sz w:val="32"/>
          <w:szCs w:val="32"/>
          <w:shd w:val="clear" w:fill="FFFFFF"/>
          <w:lang w:eastAsia="zh-CN"/>
        </w:rPr>
        <w:t>站</w:t>
      </w:r>
      <w:r>
        <w:rPr>
          <w:rFonts w:hint="default" w:ascii="Times New Roman" w:hAnsi="Times New Roman" w:eastAsia="仿宋_GB2312" w:cs="Times New Roman"/>
          <w:i w:val="0"/>
          <w:iCs w:val="0"/>
          <w:caps w:val="0"/>
          <w:color w:val="000000"/>
          <w:spacing w:val="0"/>
          <w:sz w:val="32"/>
          <w:szCs w:val="32"/>
          <w:shd w:val="clear" w:fill="FFFFFF"/>
        </w:rPr>
        <w:t>公布。如对本报告有任何疑问，请与沂源县退役军人事务局办公室联系(地址: 沂源县螳螂河东路72号;邮政编码:256100: 电话: 0533-3228101: 传真:0533-3228103: 电子邮箱:yyxtyjrswj@zb.shandong.cn)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 xml:space="preserve">一、总体情况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沂源县退役军人事务局严格按照县委、县政府对于政务公开工作的部署要求</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结合退役军人工作实际，认真学习、贯彻落实国家、省、市、县各级政务公开工作领域的制度文件、会议精神等</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坚持“以公开为常态、不公开为例外”,围绕“主动公开提质效、依申请公开促规范、</w:t>
      </w:r>
      <w:r>
        <w:rPr>
          <w:rFonts w:hint="default" w:ascii="Times New Roman" w:hAnsi="Times New Roman" w:eastAsia="仿宋_GB2312" w:cs="Times New Roman"/>
          <w:i w:val="0"/>
          <w:iCs w:val="0"/>
          <w:caps w:val="0"/>
          <w:color w:val="000000"/>
          <w:spacing w:val="0"/>
          <w:sz w:val="32"/>
          <w:szCs w:val="32"/>
          <w:shd w:val="clear" w:fill="FFFFFF"/>
          <w:lang w:eastAsia="zh-CN"/>
        </w:rPr>
        <w:t>平台建设</w:t>
      </w:r>
      <w:r>
        <w:rPr>
          <w:rFonts w:hint="default" w:ascii="Times New Roman" w:hAnsi="Times New Roman" w:eastAsia="仿宋_GB2312" w:cs="Times New Roman"/>
          <w:i w:val="0"/>
          <w:iCs w:val="0"/>
          <w:caps w:val="0"/>
          <w:color w:val="000000"/>
          <w:spacing w:val="0"/>
          <w:sz w:val="32"/>
          <w:szCs w:val="32"/>
          <w:shd w:val="clear" w:fill="FFFFFF"/>
        </w:rPr>
        <w:t>强支撑、制度创新出经验”</w:t>
      </w:r>
      <w:r>
        <w:rPr>
          <w:rFonts w:hint="default" w:ascii="Times New Roman" w:hAnsi="Times New Roman" w:eastAsia="仿宋_GB2312" w:cs="Times New Roman"/>
          <w:i w:val="0"/>
          <w:iCs w:val="0"/>
          <w:caps w:val="0"/>
          <w:color w:val="000000"/>
          <w:spacing w:val="0"/>
          <w:sz w:val="32"/>
          <w:szCs w:val="32"/>
          <w:shd w:val="clear" w:fill="FFFFFF"/>
          <w:lang w:eastAsia="zh-CN"/>
        </w:rPr>
        <w:t>的</w:t>
      </w:r>
      <w:r>
        <w:rPr>
          <w:rFonts w:hint="default" w:ascii="Times New Roman" w:hAnsi="Times New Roman" w:eastAsia="仿宋_GB2312" w:cs="Times New Roman"/>
          <w:i w:val="0"/>
          <w:iCs w:val="0"/>
          <w:caps w:val="0"/>
          <w:color w:val="000000"/>
          <w:spacing w:val="0"/>
          <w:sz w:val="32"/>
          <w:szCs w:val="32"/>
          <w:shd w:val="clear" w:fill="FFFFFF"/>
        </w:rPr>
        <w:t>工作思路</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eastAsia="zh-CN"/>
        </w:rPr>
        <w:t>丰富公开形式</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强化业务培训</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eastAsia="zh-CN"/>
        </w:rPr>
        <w:t>推动</w:t>
      </w:r>
      <w:r>
        <w:rPr>
          <w:rFonts w:hint="default" w:ascii="Times New Roman" w:hAnsi="Times New Roman" w:eastAsia="仿宋_GB2312" w:cs="Times New Roman"/>
          <w:i w:val="0"/>
          <w:iCs w:val="0"/>
          <w:caps w:val="0"/>
          <w:color w:val="000000"/>
          <w:spacing w:val="0"/>
          <w:sz w:val="32"/>
          <w:szCs w:val="32"/>
          <w:shd w:val="clear" w:fill="FFFFFF"/>
        </w:rPr>
        <w:t>政务公开工作的质量和效果全面提升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r>
        <w:rPr>
          <w:rFonts w:hint="eastAsia" w:ascii="Times New Roman" w:hAnsi="Times New Roman" w:eastAsia="楷体_GB2312" w:cs="Times New Roman"/>
          <w:i w:val="0"/>
          <w:iCs w:val="0"/>
          <w:caps w:val="0"/>
          <w:color w:val="000000"/>
          <w:spacing w:val="0"/>
          <w:sz w:val="32"/>
          <w:szCs w:val="32"/>
          <w:shd w:val="clear" w:fill="FFFFFF"/>
          <w:lang w:eastAsia="zh-CN"/>
        </w:rPr>
        <w:t>（一）</w:t>
      </w:r>
      <w:r>
        <w:rPr>
          <w:rFonts w:hint="default" w:ascii="Times New Roman" w:hAnsi="Times New Roman" w:eastAsia="楷体_GB2312" w:cs="Times New Roman"/>
          <w:i w:val="0"/>
          <w:iCs w:val="0"/>
          <w:caps w:val="0"/>
          <w:color w:val="000000"/>
          <w:spacing w:val="0"/>
          <w:sz w:val="32"/>
          <w:szCs w:val="32"/>
          <w:shd w:val="clear" w:fill="FFFFFF"/>
        </w:rPr>
        <w:t>主动公开情况。</w:t>
      </w:r>
      <w:r>
        <w:rPr>
          <w:rFonts w:hint="default" w:ascii="Times New Roman" w:hAnsi="Times New Roman" w:eastAsia="微软雅黑" w:cs="Times New Roman"/>
          <w:i w:val="0"/>
          <w:iCs w:val="0"/>
          <w:caps w:val="0"/>
          <w:color w:val="000000"/>
          <w:spacing w:val="0"/>
          <w:sz w:val="32"/>
          <w:szCs w:val="32"/>
          <w:shd w:val="clear" w:fill="FFFFFF"/>
        </w:rPr>
        <w:t>202</w:t>
      </w:r>
      <w:r>
        <w:rPr>
          <w:rFonts w:hint="default" w:ascii="Times New Roman" w:hAnsi="Times New Roman" w:eastAsia="微软雅黑"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年，我局不断完善健全政务公开制度建设，共在县政府政务公开官网主动公开</w:t>
      </w:r>
      <w:r>
        <w:rPr>
          <w:rFonts w:hint="eastAsia" w:ascii="Times New Roman" w:hAnsi="Times New Roman" w:eastAsia="仿宋_GB2312" w:cs="Times New Roman"/>
          <w:i w:val="0"/>
          <w:iCs w:val="0"/>
          <w:caps w:val="0"/>
          <w:color w:val="000000"/>
          <w:spacing w:val="0"/>
          <w:sz w:val="32"/>
          <w:szCs w:val="32"/>
          <w:shd w:val="clear" w:fill="FFFFFF"/>
          <w:lang w:val="en-US" w:eastAsia="zh-CN"/>
        </w:rPr>
        <w:t>54</w:t>
      </w:r>
      <w:r>
        <w:rPr>
          <w:rFonts w:hint="default" w:ascii="Times New Roman" w:hAnsi="Times New Roman" w:eastAsia="仿宋_GB2312" w:cs="Times New Roman"/>
          <w:i w:val="0"/>
          <w:iCs w:val="0"/>
          <w:caps w:val="0"/>
          <w:color w:val="000000"/>
          <w:spacing w:val="0"/>
          <w:sz w:val="32"/>
          <w:szCs w:val="32"/>
          <w:shd w:val="clear" w:fill="FFFFFF"/>
        </w:rPr>
        <w:t>条信息</w:t>
      </w:r>
      <w:r>
        <w:rPr>
          <w:rFonts w:hint="eastAsia" w:ascii="Times New Roman" w:hAnsi="Times New Roman" w:eastAsia="仿宋_GB2312" w:cs="Times New Roman"/>
          <w:i w:val="0"/>
          <w:iCs w:val="0"/>
          <w:caps w:val="0"/>
          <w:color w:val="000000"/>
          <w:spacing w:val="0"/>
          <w:sz w:val="32"/>
          <w:szCs w:val="32"/>
          <w:shd w:val="clear" w:fill="FFFFFF"/>
          <w:lang w:eastAsia="zh-CN"/>
        </w:rPr>
        <w:t>，其中，</w:t>
      </w:r>
      <w:r>
        <w:rPr>
          <w:rFonts w:hint="default" w:ascii="Times New Roman" w:hAnsi="Times New Roman" w:eastAsia="仿宋_GB2312" w:cs="Times New Roman"/>
          <w:i w:val="0"/>
          <w:iCs w:val="0"/>
          <w:caps w:val="0"/>
          <w:color w:val="000000"/>
          <w:spacing w:val="0"/>
          <w:sz w:val="32"/>
          <w:szCs w:val="32"/>
          <w:shd w:val="clear" w:fill="FFFFFF"/>
        </w:rPr>
        <w:t>发布</w:t>
      </w:r>
      <w:r>
        <w:rPr>
          <w:rFonts w:hint="default" w:ascii="Times New Roman" w:hAnsi="Times New Roman" w:eastAsia="仿宋_GB2312" w:cs="Times New Roman"/>
          <w:sz w:val="32"/>
          <w:szCs w:val="32"/>
          <w:lang w:val="en-US" w:eastAsia="zh-CN"/>
        </w:rPr>
        <w:t>政策法规及相关解读信息1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办公会议及相关解读信息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9</w:t>
      </w:r>
      <w:r>
        <w:rPr>
          <w:rFonts w:hint="default" w:ascii="Times New Roman" w:hAnsi="Times New Roman" w:eastAsia="仿宋_GB2312" w:cs="Times New Roman"/>
          <w:i w:val="0"/>
          <w:iCs w:val="0"/>
          <w:caps w:val="0"/>
          <w:color w:val="000000"/>
          <w:spacing w:val="0"/>
          <w:sz w:val="32"/>
          <w:szCs w:val="32"/>
          <w:shd w:val="clear" w:fill="FFFFFF"/>
          <w:lang w:val="en-US" w:eastAsia="zh-CN"/>
        </w:rPr>
        <w:t>条，</w:t>
      </w:r>
      <w:r>
        <w:rPr>
          <w:rFonts w:hint="default" w:ascii="Times New Roman" w:hAnsi="Times New Roman" w:eastAsia="仿宋_GB2312" w:cs="Times New Roman"/>
          <w:i w:val="0"/>
          <w:iCs w:val="0"/>
          <w:caps w:val="0"/>
          <w:color w:val="000000"/>
          <w:spacing w:val="0"/>
          <w:sz w:val="32"/>
          <w:szCs w:val="32"/>
          <w:shd w:val="clear" w:fill="FFFFFF"/>
          <w:lang w:eastAsia="zh-CN"/>
        </w:rPr>
        <w:t>行政执法</w:t>
      </w:r>
      <w:r>
        <w:rPr>
          <w:rFonts w:hint="eastAsia" w:ascii="Times New Roman" w:hAnsi="Times New Roman" w:eastAsia="仿宋_GB2312" w:cs="Times New Roman"/>
          <w:i w:val="0"/>
          <w:iCs w:val="0"/>
          <w:caps w:val="0"/>
          <w:color w:val="000000"/>
          <w:spacing w:val="0"/>
          <w:sz w:val="32"/>
          <w:szCs w:val="32"/>
          <w:shd w:val="clear" w:fill="FFFFFF"/>
          <w:lang w:eastAsia="zh-CN"/>
        </w:rPr>
        <w:t>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9条，</w:t>
      </w:r>
      <w:r>
        <w:rPr>
          <w:rFonts w:hint="default" w:ascii="Times New Roman" w:hAnsi="Times New Roman" w:eastAsia="仿宋_GB2312" w:cs="Times New Roman"/>
          <w:i w:val="0"/>
          <w:iCs w:val="0"/>
          <w:caps w:val="0"/>
          <w:color w:val="000000"/>
          <w:spacing w:val="0"/>
          <w:sz w:val="32"/>
          <w:szCs w:val="32"/>
          <w:shd w:val="clear" w:fill="FFFFFF"/>
          <w:lang w:val="en-US" w:eastAsia="zh-CN"/>
        </w:rPr>
        <w:t>财政信息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val="en-US" w:eastAsia="zh-CN"/>
        </w:rPr>
        <w:t>条，</w:t>
      </w:r>
      <w:r>
        <w:rPr>
          <w:rFonts w:hint="default" w:ascii="Times New Roman" w:hAnsi="Times New Roman" w:eastAsia="仿宋_GB2312" w:cs="Times New Roman"/>
          <w:i w:val="0"/>
          <w:iCs w:val="0"/>
          <w:caps w:val="0"/>
          <w:color w:val="000000"/>
          <w:spacing w:val="0"/>
          <w:sz w:val="32"/>
          <w:szCs w:val="32"/>
          <w:shd w:val="clear" w:fill="FFFFFF"/>
        </w:rPr>
        <w:t>政务公开培训</w:t>
      </w:r>
      <w:r>
        <w:rPr>
          <w:rFonts w:hint="default" w:ascii="Times New Roman" w:hAnsi="Times New Roman" w:eastAsia="仿宋_GB2312" w:cs="Times New Roman"/>
          <w:i w:val="0"/>
          <w:iCs w:val="0"/>
          <w:caps w:val="0"/>
          <w:color w:val="000000"/>
          <w:spacing w:val="0"/>
          <w:sz w:val="32"/>
          <w:szCs w:val="32"/>
          <w:shd w:val="clear" w:fill="FFFFFF"/>
          <w:lang w:eastAsia="zh-CN"/>
        </w:rPr>
        <w:t>和工作推进</w:t>
      </w:r>
      <w:r>
        <w:rPr>
          <w:rFonts w:hint="default" w:ascii="Times New Roman" w:hAnsi="Times New Roman" w:eastAsia="仿宋_GB2312" w:cs="Times New Roman"/>
          <w:i w:val="0"/>
          <w:iCs w:val="0"/>
          <w:caps w:val="0"/>
          <w:color w:val="000000"/>
          <w:spacing w:val="0"/>
          <w:sz w:val="32"/>
          <w:szCs w:val="32"/>
          <w:shd w:val="clear" w:fill="FFFFFF"/>
        </w:rPr>
        <w:t>情况</w:t>
      </w:r>
      <w:r>
        <w:rPr>
          <w:rFonts w:hint="default"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rPr>
        <w:t>条，同时根据实际情况，动态更新</w:t>
      </w:r>
      <w:r>
        <w:rPr>
          <w:rFonts w:hint="default" w:ascii="Times New Roman" w:hAnsi="Times New Roman" w:eastAsia="仿宋_GB2312" w:cs="Times New Roman"/>
          <w:i w:val="0"/>
          <w:iCs w:val="0"/>
          <w:caps w:val="0"/>
          <w:color w:val="000000"/>
          <w:spacing w:val="0"/>
          <w:sz w:val="32"/>
          <w:szCs w:val="32"/>
          <w:shd w:val="clear" w:fill="FFFFFF"/>
          <w:lang w:eastAsia="zh-CN"/>
        </w:rPr>
        <w:t>了</w:t>
      </w:r>
      <w:r>
        <w:rPr>
          <w:rFonts w:hint="eastAsia" w:ascii="Times New Roman" w:hAnsi="Times New Roman" w:eastAsia="仿宋_GB2312" w:cs="Times New Roman"/>
          <w:i w:val="0"/>
          <w:iCs w:val="0"/>
          <w:caps w:val="0"/>
          <w:color w:val="000000"/>
          <w:spacing w:val="0"/>
          <w:sz w:val="32"/>
          <w:szCs w:val="32"/>
          <w:shd w:val="clear" w:fill="FFFFFF"/>
          <w:lang w:eastAsia="zh-CN"/>
        </w:rPr>
        <w:t>法治建设、</w:t>
      </w:r>
      <w:r>
        <w:rPr>
          <w:rFonts w:hint="default" w:ascii="Times New Roman" w:hAnsi="Times New Roman" w:eastAsia="仿宋_GB2312" w:cs="Times New Roman"/>
          <w:i w:val="0"/>
          <w:iCs w:val="0"/>
          <w:caps w:val="0"/>
          <w:color w:val="000000"/>
          <w:spacing w:val="0"/>
          <w:sz w:val="32"/>
          <w:szCs w:val="32"/>
          <w:shd w:val="clear" w:fill="FFFFFF"/>
        </w:rPr>
        <w:t>人事调动等信息</w:t>
      </w:r>
      <w:r>
        <w:rPr>
          <w:rFonts w:hint="eastAsia" w:ascii="Times New Roman" w:hAnsi="Times New Roman" w:eastAsia="仿宋_GB2312" w:cs="Times New Roman"/>
          <w:i w:val="0"/>
          <w:iCs w:val="0"/>
          <w:caps w:val="0"/>
          <w:color w:val="000000"/>
          <w:spacing w:val="0"/>
          <w:sz w:val="32"/>
          <w:szCs w:val="32"/>
          <w:shd w:val="clear" w:fill="FFFFFF"/>
          <w:lang w:eastAsia="zh-CN"/>
        </w:rPr>
        <w:t>。在“沂源退役军人之家”微信公众号发文</w:t>
      </w:r>
      <w:r>
        <w:rPr>
          <w:rFonts w:hint="eastAsia" w:ascii="Times New Roman" w:hAnsi="Times New Roman" w:eastAsia="仿宋_GB2312" w:cs="Times New Roman"/>
          <w:i w:val="0"/>
          <w:iCs w:val="0"/>
          <w:caps w:val="0"/>
          <w:color w:val="000000"/>
          <w:spacing w:val="0"/>
          <w:sz w:val="32"/>
          <w:szCs w:val="32"/>
          <w:shd w:val="clear" w:fill="FFFFFF"/>
          <w:lang w:val="en-US" w:eastAsia="zh-CN"/>
        </w:rPr>
        <w:t>47条。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r>
        <w:rPr>
          <w:rFonts w:hint="default" w:ascii="Times New Roman" w:hAnsi="Times New Roman" w:eastAsia="仿宋_GB2312" w:cs="Times New Roman"/>
          <w:b/>
          <w:bCs/>
          <w:i w:val="0"/>
          <w:iCs w:val="0"/>
          <w:caps w:val="0"/>
          <w:color w:val="000000"/>
          <w:spacing w:val="0"/>
          <w:sz w:val="32"/>
          <w:szCs w:val="32"/>
          <w:shd w:val="clear" w:fill="FFFFFF"/>
          <w:lang w:eastAsia="zh-CN"/>
        </w:rPr>
        <w:drawing>
          <wp:anchor distT="0" distB="0" distL="114300" distR="114300" simplePos="0" relativeHeight="251661312" behindDoc="0" locked="0" layoutInCell="1" allowOverlap="1">
            <wp:simplePos x="0" y="0"/>
            <wp:positionH relativeFrom="column">
              <wp:posOffset>99695</wp:posOffset>
            </wp:positionH>
            <wp:positionV relativeFrom="paragraph">
              <wp:posOffset>367665</wp:posOffset>
            </wp:positionV>
            <wp:extent cx="5013960" cy="3696335"/>
            <wp:effectExtent l="5080" t="4445" r="10160" b="1397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r>
        <w:rPr>
          <w:rFonts w:hint="default" w:ascii="Times New Roman" w:hAnsi="Times New Roman" w:eastAsia="仿宋_GB2312" w:cs="Times New Roman"/>
          <w:b/>
          <w:bCs/>
          <w:i w:val="0"/>
          <w:iCs w:val="0"/>
          <w:caps w:val="0"/>
          <w:color w:val="000000"/>
          <w:spacing w:val="0"/>
          <w:sz w:val="32"/>
          <w:szCs w:val="32"/>
          <w:shd w:val="clear" w:fill="FFFFFF"/>
          <w:lang w:eastAsia="zh-CN"/>
        </w:rPr>
        <w:drawing>
          <wp:anchor distT="0" distB="0" distL="114300" distR="114300" simplePos="0" relativeHeight="251662336" behindDoc="0" locked="0" layoutInCell="1" allowOverlap="1">
            <wp:simplePos x="0" y="0"/>
            <wp:positionH relativeFrom="column">
              <wp:posOffset>213995</wp:posOffset>
            </wp:positionH>
            <wp:positionV relativeFrom="paragraph">
              <wp:posOffset>33020</wp:posOffset>
            </wp:positionV>
            <wp:extent cx="5080000" cy="3810000"/>
            <wp:effectExtent l="4445" t="4445" r="20955" b="1460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198755</wp:posOffset>
            </wp:positionV>
            <wp:extent cx="5271135" cy="2014855"/>
            <wp:effectExtent l="0" t="0" r="571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2014855"/>
                    </a:xfrm>
                    <a:prstGeom prst="rect">
                      <a:avLst/>
                    </a:prstGeom>
                    <a:noFill/>
                    <a:ln>
                      <a:noFill/>
                    </a:ln>
                  </pic:spPr>
                </pic:pic>
              </a:graphicData>
            </a:graphic>
          </wp:anchor>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_GB2312" w:cs="Times New Roman"/>
          <w:i w:val="0"/>
          <w:iCs w:val="0"/>
          <w:caps w:val="0"/>
          <w:color w:val="000000"/>
          <w:spacing w:val="0"/>
          <w:sz w:val="32"/>
          <w:szCs w:val="32"/>
          <w:shd w:val="clear" w:fill="FFFFFF"/>
          <w:lang w:eastAsia="zh-CN"/>
        </w:rPr>
        <w:t>（二）</w:t>
      </w:r>
      <w:r>
        <w:rPr>
          <w:rFonts w:hint="default" w:ascii="Times New Roman" w:hAnsi="Times New Roman" w:eastAsia="楷体_GB2312" w:cs="Times New Roman"/>
          <w:i w:val="0"/>
          <w:iCs w:val="0"/>
          <w:caps w:val="0"/>
          <w:color w:val="000000"/>
          <w:spacing w:val="0"/>
          <w:sz w:val="32"/>
          <w:szCs w:val="32"/>
          <w:shd w:val="clear" w:fill="FFFFFF"/>
        </w:rPr>
        <w:t>依申请公开情况。</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年，我局共收到1件依申请公开信息，</w:t>
      </w:r>
      <w:r>
        <w:rPr>
          <w:rFonts w:hint="default" w:ascii="Times New Roman" w:hAnsi="Times New Roman" w:eastAsia="仿宋_GB2312" w:cs="Times New Roman"/>
          <w:i w:val="0"/>
          <w:iCs w:val="0"/>
          <w:caps w:val="0"/>
          <w:color w:val="000000"/>
          <w:spacing w:val="0"/>
          <w:sz w:val="32"/>
          <w:szCs w:val="32"/>
          <w:shd w:val="clear" w:fill="FFFFFF"/>
          <w:lang w:eastAsia="zh-CN"/>
        </w:rPr>
        <w:t>询问</w:t>
      </w:r>
      <w:r>
        <w:rPr>
          <w:rFonts w:hint="default" w:ascii="Times New Roman" w:hAnsi="Times New Roman" w:eastAsia="仿宋_GB2312"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lang w:val="en-US" w:eastAsia="zh-CN"/>
        </w:rPr>
        <w:t>22年沂源县</w:t>
      </w:r>
      <w:r>
        <w:rPr>
          <w:rFonts w:hint="default" w:ascii="Times New Roman" w:hAnsi="Times New Roman" w:eastAsia="仿宋_GB2312" w:cs="Times New Roman"/>
          <w:i w:val="0"/>
          <w:iCs w:val="0"/>
          <w:caps w:val="0"/>
          <w:color w:val="000000"/>
          <w:spacing w:val="0"/>
          <w:sz w:val="32"/>
          <w:szCs w:val="32"/>
          <w:shd w:val="clear" w:fill="FFFFFF"/>
        </w:rPr>
        <w:t>退役士兵</w:t>
      </w:r>
      <w:r>
        <w:rPr>
          <w:rFonts w:hint="default" w:ascii="Times New Roman" w:hAnsi="Times New Roman" w:eastAsia="仿宋_GB2312" w:cs="Times New Roman"/>
          <w:i w:val="0"/>
          <w:iCs w:val="0"/>
          <w:caps w:val="0"/>
          <w:color w:val="000000"/>
          <w:spacing w:val="0"/>
          <w:sz w:val="32"/>
          <w:szCs w:val="32"/>
          <w:shd w:val="clear" w:fill="FFFFFF"/>
          <w:lang w:eastAsia="zh-CN"/>
        </w:rPr>
        <w:t>生活补贴事宜，</w:t>
      </w:r>
      <w:r>
        <w:rPr>
          <w:rFonts w:hint="default" w:ascii="Times New Roman" w:hAnsi="Times New Roman" w:eastAsia="仿宋_GB2312" w:cs="Times New Roman"/>
          <w:i w:val="0"/>
          <w:iCs w:val="0"/>
          <w:caps w:val="0"/>
          <w:color w:val="000000"/>
          <w:spacing w:val="0"/>
          <w:sz w:val="32"/>
          <w:szCs w:val="32"/>
          <w:shd w:val="clear" w:fill="FFFFFF"/>
        </w:rPr>
        <w:t>已通过邮件进行回复，办理完成。没有上年结转的政府信息公开申请。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drawing>
          <wp:anchor distT="0" distB="0" distL="114300" distR="114300" simplePos="0" relativeHeight="251660288" behindDoc="0" locked="0" layoutInCell="1" allowOverlap="1">
            <wp:simplePos x="0" y="0"/>
            <wp:positionH relativeFrom="column">
              <wp:posOffset>99695</wp:posOffset>
            </wp:positionH>
            <wp:positionV relativeFrom="paragraph">
              <wp:posOffset>261620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i w:val="0"/>
          <w:iCs w:val="0"/>
          <w:caps w:val="0"/>
          <w:color w:val="000000"/>
          <w:spacing w:val="0"/>
          <w:sz w:val="32"/>
          <w:szCs w:val="32"/>
          <w:shd w:val="clear" w:fill="FFFFFF"/>
          <w:lang w:eastAsia="zh-CN"/>
        </w:rPr>
        <w:t>（三）</w:t>
      </w:r>
      <w:r>
        <w:rPr>
          <w:rFonts w:hint="default" w:ascii="Times New Roman" w:hAnsi="Times New Roman" w:eastAsia="楷体_GB2312" w:cs="Times New Roman"/>
          <w:i w:val="0"/>
          <w:iCs w:val="0"/>
          <w:caps w:val="0"/>
          <w:color w:val="000000"/>
          <w:spacing w:val="0"/>
          <w:sz w:val="32"/>
          <w:szCs w:val="32"/>
          <w:shd w:val="clear" w:fill="FFFFFF"/>
        </w:rPr>
        <w:t>政府信息管理情况。</w:t>
      </w:r>
      <w:r>
        <w:rPr>
          <w:rFonts w:hint="default" w:ascii="Times New Roman" w:hAnsi="Times New Roman" w:eastAsia="仿宋_GB2312" w:cs="Times New Roman"/>
          <w:kern w:val="0"/>
          <w:sz w:val="32"/>
          <w:szCs w:val="32"/>
          <w:lang w:val="en-US" w:eastAsia="zh-CN" w:bidi="ar"/>
        </w:rPr>
        <w:t>始终把做好政务公开工作列入局重要工作议程，结合人员调整，动态更新了局政务信息公开工作领导小组成员，并从办公室、宣传办选配专职人员2名，做好政府网站和微信公众号的建设、管理、统筹协调工作，确保各栏目内容及时更新，确保集成发布、精准推送，推动政务公开工作有序开展。2022年，我局未发布规范性文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楷体_GB2312" w:cs="Times New Roman"/>
          <w:i w:val="0"/>
          <w:iCs w:val="0"/>
          <w:caps w:val="0"/>
          <w:color w:val="000000"/>
          <w:spacing w:val="0"/>
          <w:sz w:val="32"/>
          <w:szCs w:val="32"/>
          <w:shd w:val="clear" w:fill="FFFFFF"/>
        </w:rPr>
        <w:t>（四）政府信息公开平台建设情况。一是</w:t>
      </w:r>
      <w:r>
        <w:rPr>
          <w:rFonts w:hint="default" w:ascii="Times New Roman" w:hAnsi="Times New Roman" w:eastAsia="仿宋_GB2312" w:cs="Times New Roman"/>
          <w:i w:val="0"/>
          <w:iCs w:val="0"/>
          <w:caps w:val="0"/>
          <w:color w:val="000000"/>
          <w:spacing w:val="0"/>
          <w:sz w:val="32"/>
          <w:szCs w:val="32"/>
          <w:shd w:val="clear" w:fill="FFFFFF"/>
        </w:rPr>
        <w:t>依托沂源县人民政府门户网站，</w:t>
      </w:r>
      <w:r>
        <w:rPr>
          <w:rFonts w:hint="default" w:ascii="Times New Roman" w:hAnsi="Times New Roman" w:eastAsia="仿宋_GB2312" w:cs="Times New Roman"/>
          <w:i w:val="0"/>
          <w:iCs w:val="0"/>
          <w:caps w:val="0"/>
          <w:color w:val="000000"/>
          <w:spacing w:val="0"/>
          <w:sz w:val="32"/>
          <w:szCs w:val="32"/>
          <w:shd w:val="clear" w:fill="FFFFFF"/>
          <w:lang w:eastAsia="zh-CN"/>
        </w:rPr>
        <w:t>按照业务科室报送——办公室完善修改——一般信息呈报分管领导审阅，重要信息呈报主要领导审阅——政务公开专职人员上传更新的公开工作流程，</w:t>
      </w:r>
      <w:r>
        <w:rPr>
          <w:rFonts w:hint="default" w:ascii="Times New Roman" w:hAnsi="Times New Roman" w:eastAsia="仿宋_GB2312" w:cs="Times New Roman"/>
          <w:i w:val="0"/>
          <w:iCs w:val="0"/>
          <w:caps w:val="0"/>
          <w:color w:val="000000"/>
          <w:spacing w:val="0"/>
          <w:sz w:val="32"/>
          <w:szCs w:val="32"/>
          <w:shd w:val="clear" w:fill="FFFFFF"/>
        </w:rPr>
        <w:t>不断完善政务公开信息</w:t>
      </w:r>
      <w:r>
        <w:rPr>
          <w:rFonts w:hint="default" w:ascii="Times New Roman" w:hAnsi="Times New Roman" w:eastAsia="仿宋_GB2312" w:cs="Times New Roman"/>
          <w:i w:val="0"/>
          <w:iCs w:val="0"/>
          <w:caps w:val="0"/>
          <w:color w:val="000000"/>
          <w:spacing w:val="0"/>
          <w:sz w:val="32"/>
          <w:szCs w:val="32"/>
          <w:shd w:val="clear" w:fill="FFFFFF"/>
          <w:lang w:eastAsia="zh-CN"/>
        </w:rPr>
        <w:t>审核和</w:t>
      </w:r>
      <w:r>
        <w:rPr>
          <w:rFonts w:hint="default" w:ascii="Times New Roman" w:hAnsi="Times New Roman" w:eastAsia="仿宋_GB2312" w:cs="Times New Roman"/>
          <w:i w:val="0"/>
          <w:iCs w:val="0"/>
          <w:caps w:val="0"/>
          <w:color w:val="000000"/>
          <w:spacing w:val="0"/>
          <w:sz w:val="32"/>
          <w:szCs w:val="32"/>
          <w:shd w:val="clear" w:fill="FFFFFF"/>
        </w:rPr>
        <w:t>发布机制。</w:t>
      </w:r>
      <w:r>
        <w:rPr>
          <w:rFonts w:hint="default" w:ascii="Times New Roman" w:hAnsi="Times New Roman" w:eastAsia="楷体_GB2312" w:cs="Times New Roman"/>
          <w:i w:val="0"/>
          <w:iCs w:val="0"/>
          <w:caps w:val="0"/>
          <w:color w:val="000000"/>
          <w:spacing w:val="0"/>
          <w:sz w:val="32"/>
          <w:szCs w:val="32"/>
          <w:shd w:val="clear" w:fill="FFFFFF"/>
        </w:rPr>
        <w:t>二是</w:t>
      </w:r>
      <w:r>
        <w:rPr>
          <w:rFonts w:hint="default" w:ascii="Times New Roman" w:hAnsi="Times New Roman" w:eastAsia="仿宋_GB2312" w:cs="Times New Roman"/>
          <w:i w:val="0"/>
          <w:iCs w:val="0"/>
          <w:caps w:val="0"/>
          <w:color w:val="000000"/>
          <w:spacing w:val="0"/>
          <w:sz w:val="32"/>
          <w:szCs w:val="32"/>
          <w:shd w:val="clear" w:fill="FFFFFF"/>
        </w:rPr>
        <w:t>依托政务新媒体“沂源退役军人之家”微信公众号，及时转载</w:t>
      </w:r>
      <w:r>
        <w:rPr>
          <w:rFonts w:hint="default" w:ascii="Times New Roman" w:hAnsi="Times New Roman" w:eastAsia="仿宋_GB2312" w:cs="Times New Roman"/>
          <w:i w:val="0"/>
          <w:iCs w:val="0"/>
          <w:caps w:val="0"/>
          <w:color w:val="000000"/>
          <w:spacing w:val="0"/>
          <w:sz w:val="32"/>
          <w:szCs w:val="32"/>
          <w:shd w:val="clear" w:fill="FFFFFF"/>
          <w:lang w:eastAsia="zh-CN"/>
        </w:rPr>
        <w:t>中央省市工作动态，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发布退役军人</w:t>
      </w:r>
      <w:r>
        <w:rPr>
          <w:rFonts w:hint="default" w:ascii="Times New Roman" w:hAnsi="Times New Roman" w:eastAsia="仿宋_GB2312" w:cs="Times New Roman"/>
          <w:i w:val="0"/>
          <w:iCs w:val="0"/>
          <w:caps w:val="0"/>
          <w:color w:val="000000"/>
          <w:spacing w:val="0"/>
          <w:sz w:val="32"/>
          <w:szCs w:val="32"/>
          <w:shd w:val="clear" w:fill="FFFFFF"/>
          <w:lang w:eastAsia="zh-CN"/>
        </w:rPr>
        <w:t>最新政策文件和军地共建等活动信息。</w:t>
      </w:r>
      <w:r>
        <w:rPr>
          <w:rFonts w:hint="default" w:ascii="Times New Roman" w:hAnsi="Times New Roman" w:eastAsia="楷体_GB2312" w:cs="Times New Roman"/>
          <w:i w:val="0"/>
          <w:iCs w:val="0"/>
          <w:caps w:val="0"/>
          <w:color w:val="000000"/>
          <w:spacing w:val="0"/>
          <w:sz w:val="32"/>
          <w:szCs w:val="32"/>
          <w:shd w:val="clear" w:fill="FFFFFF"/>
        </w:rPr>
        <w:t>三是</w:t>
      </w:r>
      <w:r>
        <w:rPr>
          <w:rFonts w:hint="default" w:ascii="Times New Roman" w:hAnsi="Times New Roman" w:eastAsia="仿宋_GB2312" w:cs="Times New Roman"/>
          <w:i w:val="0"/>
          <w:iCs w:val="0"/>
          <w:caps w:val="0"/>
          <w:color w:val="000000"/>
          <w:spacing w:val="0"/>
          <w:sz w:val="32"/>
          <w:szCs w:val="32"/>
          <w:shd w:val="clear" w:fill="FFFFFF"/>
        </w:rPr>
        <w:t>依托县政务服务大厅设立的政务公开体验区，通过网络与实体两种渠道为群众提供各项</w:t>
      </w:r>
      <w:r>
        <w:rPr>
          <w:rFonts w:hint="default" w:ascii="Times New Roman" w:hAnsi="Times New Roman" w:eastAsia="仿宋_GB2312" w:cs="Times New Roman"/>
          <w:i w:val="0"/>
          <w:iCs w:val="0"/>
          <w:caps w:val="0"/>
          <w:color w:val="000000"/>
          <w:spacing w:val="0"/>
          <w:sz w:val="32"/>
          <w:szCs w:val="32"/>
          <w:shd w:val="clear" w:fill="FFFFFF"/>
          <w:lang w:eastAsia="zh-CN"/>
        </w:rPr>
        <w:t>查询</w:t>
      </w:r>
      <w:r>
        <w:rPr>
          <w:rFonts w:hint="default" w:ascii="Times New Roman" w:hAnsi="Times New Roman" w:eastAsia="仿宋_GB2312" w:cs="Times New Roman"/>
          <w:i w:val="0"/>
          <w:iCs w:val="0"/>
          <w:caps w:val="0"/>
          <w:color w:val="000000"/>
          <w:spacing w:val="0"/>
          <w:sz w:val="32"/>
          <w:szCs w:val="32"/>
          <w:shd w:val="clear" w:fill="FFFFFF"/>
        </w:rPr>
        <w:t>服务。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楷体_GB2312" w:cs="Times New Roman"/>
          <w:b w:val="0"/>
          <w:bCs w:val="0"/>
          <w:i w:val="0"/>
          <w:iCs w:val="0"/>
          <w:caps w:val="0"/>
          <w:color w:val="000000"/>
          <w:spacing w:val="0"/>
          <w:sz w:val="32"/>
          <w:szCs w:val="32"/>
          <w:shd w:val="clear" w:fill="FFFFFF"/>
          <w:lang w:eastAsia="zh-CN"/>
        </w:rPr>
        <w:t>（五）</w:t>
      </w:r>
      <w:r>
        <w:rPr>
          <w:rFonts w:hint="default" w:ascii="Times New Roman" w:hAnsi="Times New Roman" w:eastAsia="楷体_GB2312" w:cs="Times New Roman"/>
          <w:b w:val="0"/>
          <w:bCs w:val="0"/>
          <w:i w:val="0"/>
          <w:iCs w:val="0"/>
          <w:caps w:val="0"/>
          <w:color w:val="000000"/>
          <w:spacing w:val="0"/>
          <w:sz w:val="32"/>
          <w:szCs w:val="32"/>
          <w:shd w:val="clear" w:fill="FFFFFF"/>
        </w:rPr>
        <w:t>监督保障情况。</w:t>
      </w:r>
      <w:r>
        <w:rPr>
          <w:rFonts w:hint="default" w:ascii="Times New Roman" w:hAnsi="Times New Roman" w:eastAsia="仿宋_GB2312" w:cs="Times New Roman"/>
          <w:kern w:val="0"/>
          <w:sz w:val="32"/>
          <w:szCs w:val="32"/>
          <w:lang w:val="en-US" w:eastAsia="zh-CN" w:bidi="ar"/>
        </w:rPr>
        <w:t>根据《中华人民共和国政府信息公开条例》，结合我局实际，制定了信息公开相关制度。一是有序运转。由局办公室牵头负责，各科室协同配合，按照制度要求，认真做好审核、发布、保障、监督等工作，不断提升政务公开规范性、严谨性、科学性。二是集中培训。制定年度培训计划，于上半年、下半年分别举办1次政务公开专题培训，集体学习中央省市政策文件和《2022年沂源县政务公开工作方案》等内容，引导全体人员树立“管业务就要管公开”的理念，努力打造具有退役军人特色的政务公开品牌。三是完善考核，结合积分督查制，将各科室报送信息的数量、质量、及时率等纳入年度考核指标，同时，落实好责任追究，对在信息公开工作中有违纪违法或失职渎职行为的，依法追究其责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Times New Roman" w:hAnsi="Times New Roman" w:eastAsia="仿宋_GB2312" w:cs="Times New Roman"/>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eastAsia" w:ascii="Times New Roman" w:hAnsi="Times New Roman" w:eastAsia="黑体" w:cs="Times New Roman"/>
          <w:b w:val="0"/>
          <w:bCs w:val="0"/>
          <w:color w:val="000000"/>
          <w:kern w:val="0"/>
          <w:sz w:val="32"/>
          <w:szCs w:val="32"/>
          <w:lang w:val="en-US" w:eastAsia="zh-CN" w:bidi="ar"/>
        </w:rPr>
        <w:t>二、</w:t>
      </w:r>
      <w:r>
        <w:rPr>
          <w:rFonts w:hint="default" w:ascii="Times New Roman" w:hAnsi="Times New Roman" w:eastAsia="黑体" w:cs="Times New Roman"/>
          <w:b w:val="0"/>
          <w:bCs w:val="0"/>
          <w:color w:val="000000"/>
          <w:kern w:val="0"/>
          <w:sz w:val="32"/>
          <w:szCs w:val="32"/>
          <w:lang w:val="en-US" w:eastAsia="zh-CN" w:bidi="ar"/>
        </w:rPr>
        <w:t>主动公开政府信息情况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黑体" w:cs="Times New Roman"/>
          <w:b w:val="0"/>
          <w:bCs w:val="0"/>
          <w:color w:val="000000"/>
          <w:kern w:val="0"/>
          <w:sz w:val="32"/>
          <w:szCs w:val="32"/>
          <w:lang w:val="en-US" w:eastAsia="zh-CN" w:bidi="ar"/>
        </w:rPr>
      </w:pPr>
    </w:p>
    <w:tbl>
      <w:tblPr>
        <w:tblStyle w:val="4"/>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73"/>
        <w:gridCol w:w="1971"/>
        <w:gridCol w:w="1815"/>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19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本年制发件数</w:t>
            </w:r>
          </w:p>
        </w:tc>
        <w:tc>
          <w:tcPr>
            <w:tcW w:w="18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本年废止件数</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规章</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行政规范性文件</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行政许可</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行政处罚</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行政强制</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行政事业性收费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黑体" w:cs="Times New Roman"/>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2"/>
          <w:szCs w:val="32"/>
          <w:shd w:val="clear" w:fill="FFFFFF"/>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leftChars="0" w:right="0" w:firstLine="0"/>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1"/>
          <w:szCs w:val="21"/>
          <w:shd w:val="clear" w:fill="FFFFFF"/>
        </w:rPr>
        <w:t> </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6"/>
        <w:gridCol w:w="788"/>
        <w:gridCol w:w="2820"/>
        <w:gridCol w:w="1375"/>
        <w:gridCol w:w="558"/>
        <w:gridCol w:w="558"/>
        <w:gridCol w:w="558"/>
        <w:gridCol w:w="558"/>
        <w:gridCol w:w="532"/>
        <w:gridCol w:w="6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3" w:hRule="atLeast"/>
          <w:jc w:val="center"/>
        </w:trPr>
        <w:tc>
          <w:tcPr>
            <w:tcW w:w="4304"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（本列数据的勾稽关系为：第一项加第二项之和，等于第三项加第四项之和）</w:t>
            </w:r>
          </w:p>
        </w:tc>
        <w:tc>
          <w:tcPr>
            <w:tcW w:w="4767"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jc w:val="center"/>
        </w:trPr>
        <w:tc>
          <w:tcPr>
            <w:tcW w:w="430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13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自然人</w:t>
            </w:r>
          </w:p>
        </w:tc>
        <w:tc>
          <w:tcPr>
            <w:tcW w:w="276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法人或其他组织</w:t>
            </w:r>
          </w:p>
        </w:tc>
        <w:tc>
          <w:tcPr>
            <w:tcW w:w="62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7" w:hRule="atLeast"/>
          <w:jc w:val="center"/>
        </w:trPr>
        <w:tc>
          <w:tcPr>
            <w:tcW w:w="430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13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sz w:val="24"/>
                <w:szCs w:val="24"/>
              </w:rPr>
              <w:t>商业企业</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科研机构</w:t>
            </w:r>
          </w:p>
        </w:tc>
        <w:tc>
          <w:tcPr>
            <w:tcW w:w="5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社会公益组织</w:t>
            </w:r>
          </w:p>
        </w:tc>
        <w:tc>
          <w:tcPr>
            <w:tcW w:w="5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sz w:val="24"/>
                <w:szCs w:val="24"/>
              </w:rPr>
              <w:t>法律服务机构</w:t>
            </w:r>
          </w:p>
        </w:tc>
        <w:tc>
          <w:tcPr>
            <w:tcW w:w="5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其他</w:t>
            </w:r>
          </w:p>
        </w:tc>
        <w:tc>
          <w:tcPr>
            <w:tcW w:w="62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一、本年新收政府信息公开申请数量</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二、上年结转政府信息公开申请数量</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7" w:hRule="atLeast"/>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三、本年度办理结果</w:t>
            </w:r>
          </w:p>
        </w:tc>
        <w:tc>
          <w:tcPr>
            <w:tcW w:w="360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（一）予以公开</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360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（二）部分公开（区分处理的，只计这一情形，不计其他情形）</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（三）不予公开</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1.属于国家秘密</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2.其他法律行政法规禁止公开</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3.危及“三安全一稳定”</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4.保护第三方合法权益</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5.属于三类内部事务信息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6.属于四类过程性信息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7.属于行政执法案卷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8.属于行政查询事项</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（四）无法提供</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1.本机关不掌握相关政府信息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2.没有现成信息需要另行制作</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3.补正后申请内容仍不明确</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（五）不予处理</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1.信访举报投诉类申请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2.重复申请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3.要求提供公开出版物</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4.无正当理由大量反复申请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5.要求行政机关确认或重新出具已获取信息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outset"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（六）其他处理</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1.申请人无正当理由逾期不补正、行政机关不再处理其政府信息公开申请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6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2.申请人逾期未按收费通知要求缴纳费用、行政机关不再处理其政府信息公开申请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3.其他</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360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（七）总计</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四、结转下年度继续办理</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bl>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left"/>
        <w:textAlignment w:val="auto"/>
        <w:rPr>
          <w:rFonts w:hint="default" w:ascii="Times New Roman" w:hAnsi="Times New Roman" w:eastAsia="黑体" w:cs="Times New Roman"/>
          <w:sz w:val="32"/>
          <w:szCs w:val="32"/>
        </w:rPr>
      </w:pP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0" w:afterAutospacing="0" w:line="560" w:lineRule="exact"/>
        <w:ind w:leftChars="0" w:right="0" w:righ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0" w:afterAutospacing="0" w:line="560" w:lineRule="exact"/>
        <w:ind w:leftChars="0" w:right="0" w:rightChars="0"/>
        <w:jc w:val="left"/>
        <w:textAlignment w:val="auto"/>
        <w:rPr>
          <w:rFonts w:hint="default" w:ascii="Times New Roman" w:hAnsi="Times New Roman" w:cs="Times New Roman"/>
        </w:rPr>
      </w:pPr>
      <w:r>
        <w:rPr>
          <w:rStyle w:val="6"/>
          <w:rFonts w:hint="default" w:ascii="Times New Roman" w:hAnsi="Times New Roman" w:eastAsia="宋体" w:cs="Times New Roman"/>
          <w:sz w:val="32"/>
          <w:szCs w:val="32"/>
        </w:rPr>
        <w:t> </w:t>
      </w:r>
    </w:p>
    <w:tbl>
      <w:tblPr>
        <w:tblStyle w:val="4"/>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行政复议</w:t>
            </w:r>
          </w:p>
        </w:tc>
        <w:tc>
          <w:tcPr>
            <w:tcW w:w="614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维持</w:t>
            </w:r>
          </w:p>
        </w:tc>
        <w:tc>
          <w:tcPr>
            <w:tcW w:w="6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结果纠正</w:t>
            </w:r>
          </w:p>
        </w:tc>
        <w:tc>
          <w:tcPr>
            <w:tcW w:w="61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其他结果</w:t>
            </w:r>
          </w:p>
        </w:tc>
        <w:tc>
          <w:tcPr>
            <w:tcW w:w="61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尚未</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审结</w:t>
            </w:r>
          </w:p>
        </w:tc>
        <w:tc>
          <w:tcPr>
            <w:tcW w:w="67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总</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计</w:t>
            </w:r>
          </w:p>
        </w:tc>
        <w:tc>
          <w:tcPr>
            <w:tcW w:w="304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未经复议直接起诉</w:t>
            </w:r>
          </w:p>
        </w:tc>
        <w:tc>
          <w:tcPr>
            <w:tcW w:w="310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7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5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结果维持</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结果纠正</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其他</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尚未</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审结</w:t>
            </w:r>
          </w:p>
        </w:tc>
        <w:tc>
          <w:tcPr>
            <w:tcW w:w="6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总计</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结果维持</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纠正</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其他</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结果</w:t>
            </w:r>
          </w:p>
        </w:tc>
        <w:tc>
          <w:tcPr>
            <w:tcW w:w="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2"/>
              <w:jc w:val="center"/>
              <w:textAlignment w:val="auto"/>
              <w:rPr>
                <w:rFonts w:hint="default" w:ascii="Times New Roman" w:hAnsi="Times New Roman" w:cs="Times New Roman"/>
              </w:rPr>
            </w:pPr>
            <w:r>
              <w:rPr>
                <w:rFonts w:hint="default" w:ascii="Times New Roman" w:hAnsi="Times New Roman" w:eastAsia="宋体" w:cs="Times New Roman"/>
                <w:sz w:val="24"/>
                <w:szCs w:val="24"/>
              </w:rPr>
              <w:t>尚未审结</w:t>
            </w:r>
          </w:p>
        </w:tc>
        <w:tc>
          <w:tcPr>
            <w:tcW w:w="6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sz w:val="32"/>
          <w:szCs w:val="32"/>
        </w:rPr>
      </w:pPr>
    </w:p>
    <w:p>
      <w:pPr>
        <w:pStyle w:val="2"/>
        <w:keepNext/>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五、存在的主要问题及改进情况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（一）存在问题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shd w:val="clear" w:fill="FFFFFF"/>
        </w:rPr>
        <w:t>1.</w:t>
      </w:r>
      <w:r>
        <w:rPr>
          <w:rFonts w:hint="default" w:ascii="Times New Roman" w:hAnsi="Times New Roman" w:eastAsia="仿宋_GB2312" w:cs="Times New Roman"/>
          <w:sz w:val="32"/>
          <w:szCs w:val="32"/>
          <w:shd w:val="clear" w:fill="FFFFFF"/>
          <w:lang w:eastAsia="zh-CN"/>
        </w:rPr>
        <w:t>“政务公开在行动”投稿质量不高，报送稿件多为业务性工作，与政务公开结合不紧密。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shd w:val="clear" w:fill="FFFFFF"/>
        </w:rPr>
        <w:t>2.</w:t>
      </w:r>
      <w:r>
        <w:rPr>
          <w:rFonts w:hint="default" w:ascii="Times New Roman" w:hAnsi="Times New Roman" w:eastAsia="仿宋_GB2312" w:cs="Times New Roman"/>
          <w:sz w:val="32"/>
          <w:szCs w:val="32"/>
          <w:shd w:val="clear" w:fill="FFFFFF"/>
          <w:lang w:eastAsia="zh-CN"/>
        </w:rPr>
        <w:t>政策会议信息多在</w:t>
      </w:r>
      <w:r>
        <w:rPr>
          <w:rFonts w:hint="default" w:ascii="Times New Roman" w:hAnsi="Times New Roman" w:eastAsia="仿宋_GB2312" w:cs="Times New Roman"/>
          <w:sz w:val="32"/>
          <w:szCs w:val="32"/>
          <w:shd w:val="clear" w:fill="FFFFFF"/>
        </w:rPr>
        <w:t>政务</w:t>
      </w:r>
      <w:r>
        <w:rPr>
          <w:rFonts w:hint="default" w:ascii="Times New Roman" w:hAnsi="Times New Roman" w:eastAsia="仿宋_GB2312" w:cs="Times New Roman"/>
          <w:sz w:val="32"/>
          <w:szCs w:val="32"/>
          <w:shd w:val="clear" w:fill="FFFFFF"/>
          <w:lang w:eastAsia="zh-CN"/>
        </w:rPr>
        <w:t>公开官网公开，开展活动内容多在微信公众号中</w:t>
      </w:r>
      <w:r>
        <w:rPr>
          <w:rFonts w:hint="default" w:ascii="Times New Roman" w:hAnsi="Times New Roman" w:eastAsia="仿宋_GB2312" w:cs="Times New Roman"/>
          <w:sz w:val="32"/>
          <w:szCs w:val="32"/>
          <w:shd w:val="clear" w:fill="FFFFFF"/>
        </w:rPr>
        <w:t>发布，</w:t>
      </w:r>
      <w:r>
        <w:rPr>
          <w:rFonts w:hint="default" w:ascii="Times New Roman" w:hAnsi="Times New Roman" w:eastAsia="仿宋_GB2312" w:cs="Times New Roman"/>
          <w:sz w:val="32"/>
          <w:szCs w:val="32"/>
          <w:shd w:val="clear" w:fill="FFFFFF"/>
          <w:lang w:eastAsia="zh-CN"/>
        </w:rPr>
        <w:t>同步更新还需进一步加强。</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（二）改进措施</w:t>
      </w:r>
    </w:p>
    <w:p>
      <w:pPr>
        <w:pStyle w:val="2"/>
        <w:keepNext/>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b w:val="0"/>
          <w:bCs w:val="0"/>
          <w:kern w:val="0"/>
          <w:sz w:val="32"/>
          <w:szCs w:val="32"/>
          <w:shd w:val="clear" w:fill="FFFFFF"/>
          <w:lang w:val="en-US" w:eastAsia="zh-CN" w:bidi="ar"/>
        </w:rPr>
      </w:pPr>
      <w:r>
        <w:rPr>
          <w:rFonts w:hint="default" w:ascii="Times New Roman" w:hAnsi="Times New Roman" w:eastAsia="仿宋_GB2312" w:cs="Times New Roman"/>
          <w:b w:val="0"/>
          <w:bCs w:val="0"/>
          <w:kern w:val="0"/>
          <w:sz w:val="32"/>
          <w:szCs w:val="32"/>
          <w:shd w:val="clear" w:fill="FFFFFF"/>
          <w:lang w:val="en-US" w:eastAsia="zh-CN" w:bidi="ar"/>
        </w:rPr>
        <w:t>1.探索挖掘退役军人事务工作中关于政务公开的创新做法，并及时总结提炼，努力提高投稿质量。</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right="0" w:firstLine="640" w:firstLineChars="200"/>
        <w:textAlignment w:val="auto"/>
        <w:rPr>
          <w:rFonts w:hint="default" w:ascii="Times New Roman" w:hAnsi="Times New Roman" w:eastAsia="仿宋_GB2312" w:cs="Times New Roman"/>
          <w:b w:val="0"/>
          <w:bCs w:val="0"/>
          <w:kern w:val="0"/>
          <w:sz w:val="32"/>
          <w:szCs w:val="32"/>
          <w:shd w:val="clear" w:fill="FFFFFF"/>
          <w:lang w:val="en-US" w:eastAsia="zh-CN" w:bidi="ar"/>
        </w:rPr>
      </w:pPr>
      <w:r>
        <w:rPr>
          <w:rFonts w:hint="default" w:ascii="Times New Roman" w:hAnsi="Times New Roman" w:eastAsia="仿宋_GB2312" w:cs="Times New Roman"/>
          <w:b w:val="0"/>
          <w:bCs w:val="0"/>
          <w:kern w:val="0"/>
          <w:sz w:val="32"/>
          <w:szCs w:val="32"/>
          <w:shd w:val="clear" w:fill="FFFFFF"/>
          <w:lang w:val="en-US" w:eastAsia="zh-CN" w:bidi="ar"/>
        </w:rPr>
        <w:t>2.加强与宣传科联系对接，同步更新好政府网站和政务新媒体发布内容，扩大公开覆盖面。</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right="0" w:firstLine="640" w:firstLineChars="200"/>
        <w:textAlignment w:val="auto"/>
        <w:rPr>
          <w:rFonts w:hint="default" w:ascii="Times New Roman" w:hAnsi="Times New Roman" w:cs="Times New Roman"/>
          <w:b w:val="0"/>
          <w:bCs w:val="0"/>
        </w:rPr>
      </w:pPr>
      <w:r>
        <w:rPr>
          <w:rFonts w:hint="default" w:ascii="Times New Roman" w:hAnsi="Times New Roman" w:eastAsia="黑体" w:cs="Times New Roman"/>
          <w:b w:val="0"/>
          <w:bCs w:val="0"/>
          <w:sz w:val="32"/>
          <w:szCs w:val="32"/>
        </w:rPr>
        <w:t>六、其他需要报告的事项</w:t>
      </w:r>
    </w:p>
    <w:p>
      <w:pPr>
        <w:pStyle w:val="2"/>
        <w:keepNext/>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sz w:val="32"/>
          <w:szCs w:val="32"/>
        </w:rPr>
        <w:t>（一）收取信息处理费情况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仿宋_GB2312" w:cs="Times New Roman"/>
          <w:sz w:val="32"/>
          <w:szCs w:val="32"/>
        </w:rPr>
        <w:t>    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（二）落实上年度政务公开工作要点情况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严格按照《2022年度沂源县政务公开工作要点》要求，及时更新政策、会议、行政执法、退役军人就业招聘等信息</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积极投稿“政务公开在行动”平台，按时编制完成主动公开基本目录、政务公开年报，确保政务公开工作稳步推进。</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人大、</w:t>
      </w:r>
      <w:r>
        <w:rPr>
          <w:rFonts w:hint="default" w:ascii="Times New Roman" w:hAnsi="Times New Roman" w:eastAsia="楷体_GB2312" w:cs="Times New Roman"/>
          <w:sz w:val="32"/>
          <w:szCs w:val="32"/>
        </w:rPr>
        <w:t>政协建议提案办理结果公开情况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sz w:val="32"/>
          <w:szCs w:val="32"/>
        </w:rPr>
        <w:t>年，我局未收到</w:t>
      </w:r>
      <w:r>
        <w:rPr>
          <w:rFonts w:hint="default" w:ascii="Times New Roman" w:hAnsi="Times New Roman" w:eastAsia="仿宋_GB2312" w:cs="Times New Roman"/>
          <w:sz w:val="32"/>
          <w:szCs w:val="32"/>
          <w:lang w:eastAsia="zh-CN"/>
        </w:rPr>
        <w:t>人大和</w:t>
      </w:r>
      <w:r>
        <w:rPr>
          <w:rFonts w:hint="default" w:ascii="Times New Roman" w:hAnsi="Times New Roman" w:eastAsia="仿宋_GB2312" w:cs="Times New Roman"/>
          <w:sz w:val="32"/>
          <w:szCs w:val="32"/>
        </w:rPr>
        <w:t>政协</w:t>
      </w: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sz w:val="32"/>
          <w:szCs w:val="32"/>
        </w:rPr>
        <w:t>提案办理。</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（四）创新举措及相关情况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丰富“政府开放日”活动内容。将退役军人适应性培训、转业士官培训与政府开放日活动相结合，不同于往年仅仅参观工作场所，既邀请他们参观退役军人服务中心和烈士陵园，了解退役军人工作具体内容，又依托淄博市退役军人乡村振兴（沂源）培训基地，开展了理论培训和现场观摩，举办专项招聘会，让广大退役军人看到政策落实、学到知识技能、找到心仪岗位，更能突出“政府开放日”活动向群众公开共享工作成效、为群众办实事好事的初衷。</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丰富政策解读形式。在文稿解读的基础上，加入了“一图看懂”“音频解读”等形式，上传《退役军人保障法》宣传片、优待证办理常见问题等解读内容，让政策法规更加清晰明了、生动形象，便于服务对象理解原文、享受优待。</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（五）其他事项及相关情况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无</w:t>
      </w:r>
    </w:p>
    <w:p>
      <w:pPr>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b w:val="0"/>
          <w:bCs w:val="0"/>
          <w:kern w:val="0"/>
          <w:sz w:val="32"/>
          <w:szCs w:val="32"/>
          <w:lang w:val="en-US" w:eastAsia="zh-CN" w:bidi="ar"/>
        </w:rPr>
      </w:pPr>
    </w:p>
    <w:p>
      <w:pPr>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b w:val="0"/>
          <w:bCs w:val="0"/>
          <w:kern w:val="0"/>
          <w:sz w:val="32"/>
          <w:szCs w:val="32"/>
          <w:lang w:val="en-US" w:eastAsia="zh-CN" w:bidi="ar"/>
        </w:rPr>
      </w:pPr>
    </w:p>
    <w:p>
      <w:pPr>
        <w:keepLines w:val="0"/>
        <w:pageBreakBefore w:val="0"/>
        <w:kinsoku/>
        <w:wordWrap/>
        <w:overflowPunct/>
        <w:topLinePunct w:val="0"/>
        <w:autoSpaceDN/>
        <w:bidi w:val="0"/>
        <w:adjustRightInd/>
        <w:snapToGrid/>
        <w:spacing w:line="560" w:lineRule="exact"/>
        <w:ind w:firstLine="4800" w:firstLineChars="1500"/>
        <w:textAlignment w:val="auto"/>
        <w:rPr>
          <w:rFonts w:hint="eastAsia"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沂源县退役军人事务局</w:t>
      </w:r>
    </w:p>
    <w:p>
      <w:pPr>
        <w:keepLines w:val="0"/>
        <w:pageBreakBefore w:val="0"/>
        <w:kinsoku/>
        <w:wordWrap/>
        <w:overflowPunct/>
        <w:topLinePunct w:val="0"/>
        <w:autoSpaceDN/>
        <w:bidi w:val="0"/>
        <w:adjustRightInd/>
        <w:snapToGrid/>
        <w:spacing w:line="560" w:lineRule="exact"/>
        <w:ind w:firstLine="5440" w:firstLineChars="1700"/>
        <w:textAlignment w:val="auto"/>
        <w:rPr>
          <w:rFonts w:hint="default"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2023年1月17</w:t>
      </w:r>
      <w:bookmarkStart w:id="0" w:name="_GoBack"/>
      <w:bookmarkEnd w:id="0"/>
      <w:r>
        <w:rPr>
          <w:rFonts w:hint="eastAsia" w:ascii="Times New Roman" w:hAnsi="Times New Roman" w:eastAsia="仿宋_GB2312" w:cs="Times New Roman"/>
          <w:b w:val="0"/>
          <w:bCs w:val="0"/>
          <w:kern w:val="0"/>
          <w:sz w:val="32"/>
          <w:szCs w:val="32"/>
          <w:lang w:val="en-US" w:eastAsia="zh-CN" w:bidi="ar"/>
        </w:rPr>
        <w:t>日</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4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Yjg1YTc1ZTA2YzY4MDJiM2I2N2MyY2RhZTgzYjAifQ=="/>
  </w:docVars>
  <w:rsids>
    <w:rsidRoot w:val="00000000"/>
    <w:rsid w:val="0092295F"/>
    <w:rsid w:val="0BA77FB4"/>
    <w:rsid w:val="10010AB4"/>
    <w:rsid w:val="119A6215"/>
    <w:rsid w:val="12AD6F2B"/>
    <w:rsid w:val="1B28498F"/>
    <w:rsid w:val="1C3C1B9A"/>
    <w:rsid w:val="1DD85F79"/>
    <w:rsid w:val="1DFA754D"/>
    <w:rsid w:val="1F0B12E6"/>
    <w:rsid w:val="1FC72770"/>
    <w:rsid w:val="21C21D29"/>
    <w:rsid w:val="21C36564"/>
    <w:rsid w:val="23FA4168"/>
    <w:rsid w:val="24D6035C"/>
    <w:rsid w:val="27C23C9C"/>
    <w:rsid w:val="2D4D3E6F"/>
    <w:rsid w:val="320801F4"/>
    <w:rsid w:val="32A4229E"/>
    <w:rsid w:val="35E161F4"/>
    <w:rsid w:val="3F105341"/>
    <w:rsid w:val="42B549E2"/>
    <w:rsid w:val="44E80FE1"/>
    <w:rsid w:val="4DF739FA"/>
    <w:rsid w:val="506D39BB"/>
    <w:rsid w:val="51566BAA"/>
    <w:rsid w:val="52687854"/>
    <w:rsid w:val="53BD6A07"/>
    <w:rsid w:val="55F66200"/>
    <w:rsid w:val="58FF709C"/>
    <w:rsid w:val="59F6057D"/>
    <w:rsid w:val="5C2471B7"/>
    <w:rsid w:val="5ED20467"/>
    <w:rsid w:val="601B4AB2"/>
    <w:rsid w:val="6054477F"/>
    <w:rsid w:val="611B4A42"/>
    <w:rsid w:val="61BD284F"/>
    <w:rsid w:val="61F850AA"/>
    <w:rsid w:val="64032214"/>
    <w:rsid w:val="65F04260"/>
    <w:rsid w:val="689B55E2"/>
    <w:rsid w:val="68CB1734"/>
    <w:rsid w:val="69E63018"/>
    <w:rsid w:val="6C727F37"/>
    <w:rsid w:val="6D013776"/>
    <w:rsid w:val="7639203F"/>
    <w:rsid w:val="7C5C716A"/>
    <w:rsid w:val="7E6C042C"/>
    <w:rsid w:val="7F8E4CEF"/>
    <w:rsid w:val="7FBC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3.xml"/><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主动公开信息数量</a:t>
            </a:r>
          </a:p>
        </c:rich>
      </c:tx>
      <c:layout>
        <c:manualLayout>
          <c:xMode val="edge"/>
          <c:yMode val="edge"/>
          <c:x val="0.367375"/>
          <c:y val="0.0425"/>
        </c:manualLayout>
      </c:layout>
      <c:overlay val="0"/>
      <c:spPr>
        <a:noFill/>
        <a:ln>
          <a:noFill/>
        </a:ln>
        <a:effectLst/>
      </c:spPr>
    </c:title>
    <c:autoTitleDeleted val="0"/>
    <c:plotArea>
      <c:layout>
        <c:manualLayout>
          <c:layoutTarget val="inner"/>
          <c:xMode val="edge"/>
          <c:yMode val="edge"/>
          <c:x val="0.2165625"/>
          <c:y val="0.234166666666667"/>
          <c:w val="0.570625"/>
          <c:h val="0.760833333333333"/>
        </c:manualLayout>
      </c:layout>
      <c:pieChart>
        <c:varyColors val="1"/>
        <c:ser>
          <c:idx val="0"/>
          <c:order val="0"/>
          <c:tx>
            <c:strRef>
              <c:f>Sheet1!$B$1</c:f>
              <c:strCache>
                <c:ptCount val="1"/>
                <c:pt idx="0">
                  <c:v>发文数量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政务公开官网</c:v>
                </c:pt>
                <c:pt idx="1">
                  <c:v>微信公众号</c:v>
                </c:pt>
              </c:strCache>
            </c:strRef>
          </c:cat>
          <c:val>
            <c:numRef>
              <c:f>Sheet1!$B$2:$B$3</c:f>
              <c:numCache>
                <c:formatCode>General</c:formatCode>
                <c:ptCount val="2"/>
                <c:pt idx="0">
                  <c:v>54</c:v>
                </c:pt>
                <c:pt idx="1">
                  <c:v>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主动公开信息数量年度对比</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政务公开官网</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2021年度</c:v>
                </c:pt>
                <c:pt idx="1">
                  <c:v>2022年度</c:v>
                </c:pt>
              </c:strCache>
            </c:strRef>
          </c:cat>
          <c:val>
            <c:numRef>
              <c:f>Sheet1!$B$2:$C$2</c:f>
              <c:numCache>
                <c:formatCode>General</c:formatCode>
                <c:ptCount val="2"/>
                <c:pt idx="0">
                  <c:v>92</c:v>
                </c:pt>
                <c:pt idx="1">
                  <c:v>54</c:v>
                </c:pt>
              </c:numCache>
            </c:numRef>
          </c:val>
        </c:ser>
        <c:ser>
          <c:idx val="1"/>
          <c:order val="1"/>
          <c:tx>
            <c:strRef>
              <c:f>Sheet1!$A$3</c:f>
              <c:strCache>
                <c:ptCount val="1"/>
                <c:pt idx="0">
                  <c:v>微信公众号</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2021年度</c:v>
                </c:pt>
                <c:pt idx="1">
                  <c:v>2022年度</c:v>
                </c:pt>
              </c:strCache>
            </c:strRef>
          </c:cat>
          <c:val>
            <c:numRef>
              <c:f>Sheet1!$B$3:$C$3</c:f>
              <c:numCache>
                <c:formatCode>General</c:formatCode>
                <c:ptCount val="2"/>
                <c:pt idx="0">
                  <c:v>7</c:v>
                </c:pt>
                <c:pt idx="1">
                  <c:v>47</c:v>
                </c:pt>
              </c:numCache>
            </c:numRef>
          </c:val>
        </c:ser>
        <c:dLbls>
          <c:showLegendKey val="0"/>
          <c:showVal val="1"/>
          <c:showCatName val="0"/>
          <c:showSerName val="0"/>
          <c:showPercent val="0"/>
          <c:showBubbleSize val="0"/>
        </c:dLbls>
        <c:gapWidth val="219"/>
        <c:overlap val="-27"/>
        <c:axId val="881600339"/>
        <c:axId val="624367797"/>
      </c:barChart>
      <c:catAx>
        <c:axId val="8816003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4367797"/>
        <c:crosses val="autoZero"/>
        <c:auto val="1"/>
        <c:lblAlgn val="ctr"/>
        <c:lblOffset val="100"/>
        <c:noMultiLvlLbl val="0"/>
      </c:catAx>
      <c:valAx>
        <c:axId val="6243677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6003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收到依申请公开数量</a:t>
            </a:r>
          </a:p>
        </c:rich>
      </c:tx>
      <c:layout/>
      <c:overlay val="0"/>
      <c:spPr>
        <a:noFill/>
        <a:ln>
          <a:noFill/>
        </a:ln>
        <a:effectLst/>
      </c:spPr>
    </c:title>
    <c:autoTitleDeleted val="0"/>
    <c:plotArea>
      <c:layout>
        <c:manualLayout>
          <c:layoutTarget val="inner"/>
          <c:xMode val="edge"/>
          <c:yMode val="edge"/>
          <c:x val="0.08595"/>
          <c:y val="0.138666666666667"/>
          <c:w val="0.754175"/>
          <c:h val="0.7924"/>
        </c:manualLayout>
      </c:layout>
      <c:barChart>
        <c:barDir val="col"/>
        <c:grouping val="clustered"/>
        <c:varyColors val="0"/>
        <c:ser>
          <c:idx val="0"/>
          <c:order val="0"/>
          <c:tx>
            <c:strRef>
              <c:f>Sheet1!$B$1</c:f>
              <c:strCache>
                <c:ptCount val="1"/>
                <c:pt idx="0">
                  <c:v>办件数量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2020年</c:v>
                </c:pt>
                <c:pt idx="1">
                  <c:v>2021年</c:v>
                </c:pt>
                <c:pt idx="2">
                  <c:v>2022年</c:v>
                </c:pt>
              </c:strCache>
            </c:strRef>
          </c:cat>
          <c:val>
            <c:numRef>
              <c:f>Sheet1!$B$2:$B$4</c:f>
              <c:numCache>
                <c:formatCode>General</c:formatCode>
                <c:ptCount val="3"/>
                <c:pt idx="0">
                  <c:v>0</c:v>
                </c:pt>
                <c:pt idx="1">
                  <c:v>1</c:v>
                </c:pt>
                <c:pt idx="2">
                  <c:v>1</c:v>
                </c:pt>
              </c:numCache>
            </c:numRef>
          </c:val>
        </c:ser>
        <c:dLbls>
          <c:showLegendKey val="0"/>
          <c:showVal val="1"/>
          <c:showCatName val="0"/>
          <c:showSerName val="0"/>
          <c:showPercent val="0"/>
          <c:showBubbleSize val="0"/>
        </c:dLbls>
        <c:gapWidth val="219"/>
        <c:overlap val="-27"/>
        <c:axId val="669391472"/>
        <c:axId val="807401020"/>
      </c:barChart>
      <c:catAx>
        <c:axId val="66939147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401020"/>
        <c:crosses val="autoZero"/>
        <c:auto val="1"/>
        <c:lblAlgn val="ctr"/>
        <c:lblOffset val="100"/>
        <c:noMultiLvlLbl val="0"/>
      </c:catAx>
      <c:valAx>
        <c:axId val="80740102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
            <c:rich>
              <a:bodyPr/>
              <a:lstStyle/>
              <a:p>
                <a:pPr>
                  <a:defRPr/>
                </a:pPr>
              </a:p>
            </c:rich>
          </c:tx>
        </c:title>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39147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3187</Words>
  <Characters>3359</Characters>
  <Lines>0</Lines>
  <Paragraphs>0</Paragraphs>
  <TotalTime>43</TotalTime>
  <ScaleCrop>false</ScaleCrop>
  <LinksUpToDate>false</LinksUpToDate>
  <CharactersWithSpaces>3377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2023-01-11T01:21:00Z</dcterms:created>
  <dc:creator>Administrator</dc:creator>
  <cp:lastModifiedBy>Administrator</cp:lastModifiedBy>
  <dcterms:modified xsi:type="dcterms:W3CDTF">2023-01-28T07:17:43Z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49E0A17F101D466EA3BE96015433ACF3</vt:lpwstr>
  </property>
</Properties>
</file>