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lang w:val="en-US" w:eastAsia="zh-CN"/>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源政</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FF0000"/>
          <w:spacing w:val="24"/>
          <w:sz w:val="56"/>
          <w:szCs w:val="56"/>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沂源县人民政府</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关于全面实行行政许可事项清单管理的通知</w:t>
      </w:r>
    </w:p>
    <w:p>
      <w:pPr>
        <w:spacing w:line="5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各镇人民政府，各街道办事处，经济开发区管委会，县</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为深入学习贯彻习近平新时代中国特色社会主义思想，全面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贯彻党的十九大和十九届历次全会精神，认真落实党中央、国务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院关于深化“放管服”改革优化营商环境的决策部署及省委、省政府和市委、市政府关于全面实行行政许可事项清单管理的具体要求，正确处理政府和市场、政府和社会的关系，锚定“走在前、开新局”，持续深入优化营商环境和推进政府职能转变，根据《</w:t>
      </w:r>
      <w:r>
        <w:rPr>
          <w:rFonts w:hint="default" w:ascii="Times New Roman" w:hAnsi="Times New Roman" w:eastAsia="仿宋_GB2312" w:cs="Times New Roman"/>
          <w:sz w:val="32"/>
          <w:szCs w:val="32"/>
          <w:lang w:eastAsia="zh-CN"/>
        </w:rPr>
        <w:t>淄博市人民</w:t>
      </w:r>
      <w:r>
        <w:rPr>
          <w:rFonts w:hint="default" w:ascii="Times New Roman" w:hAnsi="Times New Roman" w:eastAsia="仿宋_GB2312" w:cs="Times New Roman"/>
          <w:sz w:val="32"/>
          <w:szCs w:val="32"/>
        </w:rPr>
        <w:t>政府关于全面实行行政许可事项清单管理的通知》（淄政发〔2022〕5号）要求，现公布《沂源县行政许可事项清单（2022</w:t>
      </w:r>
      <w:r>
        <w:rPr>
          <w:rFonts w:hint="default" w:ascii="Times New Roman" w:hAnsi="Times New Roman" w:eastAsia="仿宋_GB2312" w:cs="Times New Roman"/>
          <w:spacing w:val="-6"/>
          <w:sz w:val="32"/>
          <w:szCs w:val="32"/>
        </w:rPr>
        <w:t>年版）》，并就全面实行行政许可事项清单管理有关事项通知如</w:t>
      </w:r>
      <w:r>
        <w:rPr>
          <w:rFonts w:hint="default" w:ascii="Times New Roman" w:hAnsi="Times New Roman" w:eastAsia="仿宋_GB2312" w:cs="Times New Roman"/>
          <w:sz w:val="32"/>
          <w:szCs w:val="32"/>
        </w:rPr>
        <w:t>下。</w:t>
      </w:r>
    </w:p>
    <w:p>
      <w:pPr>
        <w:keepNext w:val="0"/>
        <w:keepLines w:val="0"/>
        <w:pageBreakBefore w:val="0"/>
        <w:widowControl w:val="0"/>
        <w:kinsoku/>
        <w:overflowPunct/>
        <w:topLinePunct w:val="0"/>
        <w:autoSpaceDE/>
        <w:autoSpaceDN/>
        <w:bidi w:val="0"/>
        <w:adjustRightInd/>
        <w:snapToGrid/>
        <w:spacing w:line="560" w:lineRule="exact"/>
        <w:ind w:firstLine="800" w:firstLineChars="25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一、构建行政许可事项清单体系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（一）全面准确依法编制行政许可事项清单。</w:t>
      </w:r>
      <w:r>
        <w:rPr>
          <w:rFonts w:hint="default" w:ascii="Times New Roman" w:hAnsi="Times New Roman" w:eastAsia="仿宋_GB2312" w:cs="Times New Roman"/>
          <w:sz w:val="32"/>
          <w:szCs w:val="32"/>
        </w:rPr>
        <w:t>将依法设定的</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行政许可事项全部纳入清单管理，清单之外一律不得违法实施行</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政许可。县政府办公室作为全县推进行政审批制度改革工作的牵</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头机构，负责督促指导本地区行政许可事项清单编制公布工作，报县政府审定后向社会公布，并抄送市政府办公室。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（二）细化统一行政许可实施规范。</w:t>
      </w:r>
      <w:r>
        <w:rPr>
          <w:rFonts w:hint="default" w:ascii="Times New Roman" w:hAnsi="Times New Roman" w:eastAsia="仿宋_GB2312" w:cs="Times New Roman"/>
          <w:sz w:val="32"/>
          <w:szCs w:val="32"/>
        </w:rPr>
        <w:t>2022年10月底前，</w:t>
      </w:r>
      <w:r>
        <w:rPr>
          <w:rFonts w:hint="eastAsia" w:ascii="Times New Roman" w:hAnsi="Times New Roman" w:eastAsia="仿宋_GB2312" w:cs="Times New Roman"/>
          <w:sz w:val="32"/>
          <w:szCs w:val="32"/>
          <w:lang w:eastAsia="zh-CN"/>
        </w:rPr>
        <w:t>县政府办公室</w:t>
      </w:r>
      <w:r>
        <w:rPr>
          <w:rFonts w:hint="default" w:ascii="Times New Roman" w:hAnsi="Times New Roman" w:eastAsia="仿宋_GB2312" w:cs="Times New Roman"/>
          <w:sz w:val="32"/>
          <w:szCs w:val="32"/>
        </w:rPr>
        <w:t xml:space="preserve">负责组织县级主管部门编制县级行政许可实施规范并向社会公布。市级以上主管部门已经明确的实施要素，县级主管部门要严格保持一致，或者作出有利于行政相对人的优化调整。对实行相对集中行政许可权改革的事项，要按照改革方案明确实施机关、监管主体等实施要素，并保持市域范围内相对统一。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（三）更新优化行政许可办事指南。</w:t>
      </w:r>
      <w:r>
        <w:rPr>
          <w:rFonts w:hint="default" w:ascii="Times New Roman" w:hAnsi="Times New Roman" w:eastAsia="仿宋_GB2312" w:cs="Times New Roman"/>
          <w:sz w:val="32"/>
          <w:szCs w:val="32"/>
        </w:rPr>
        <w:t>2022年11月底前，县级行政许可实施机关负责会同主管部门依照行政许可事项清单和实施规范更新调整办事指南，同步在相关业务办理系统、政务服务大厅等平台和场所进行更新，并汇集至全国行政许可管理系统，做到线上线下同源发布、同步更新、内容一致。办事指南一经公布，必须严格遵照执行，不得随意增加许可条件、申请材料、中介服务、审批环节、收费、数量限制等，不得超时限办理行政许可，但可以作出有利于行政相对人的合理优化调整。</w:t>
      </w:r>
    </w:p>
    <w:p>
      <w:pPr>
        <w:keepNext w:val="0"/>
        <w:keepLines w:val="0"/>
        <w:pageBreakBefore w:val="0"/>
        <w:widowControl w:val="0"/>
        <w:kinsoku/>
        <w:overflowPunct/>
        <w:topLinePunct w:val="0"/>
        <w:autoSpaceDE/>
        <w:autoSpaceDN/>
        <w:bidi w:val="0"/>
        <w:adjustRightInd/>
        <w:snapToGrid/>
        <w:spacing w:line="560" w:lineRule="exact"/>
        <w:ind w:firstLine="800" w:firstLineChars="25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二、加强行政许可事项清单管理运用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（一）建立健全动态管理机制。</w:t>
      </w:r>
      <w:r>
        <w:rPr>
          <w:rFonts w:hint="default" w:ascii="Times New Roman" w:hAnsi="Times New Roman" w:eastAsia="仿宋_GB2312" w:cs="Times New Roman"/>
          <w:sz w:val="32"/>
          <w:szCs w:val="32"/>
        </w:rPr>
        <w:t>县政府办公室负责根据《淄博市行政许可事项清单动态管理办法》建立我县行政许可事项清单动态管理机制，及时更新行政许可事项清单、实施规范和办事指南，确保清单与法律法规规章的“立改废”及时有效衔接，与行政审批制度改革决策协调联动。政务服务事项基本目录、“互联网+监管”事项清单、投资项目审批事项清单、工程建设项目审批事项清单等涉及的行政许可事项，要与行政许可事项清单保持一致，确保行政许可事项清单权威准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（二）严肃清查整治变相许可。</w:t>
      </w:r>
      <w:r>
        <w:rPr>
          <w:rFonts w:hint="default" w:ascii="Times New Roman" w:hAnsi="Times New Roman" w:eastAsia="仿宋_GB2312" w:cs="Times New Roman"/>
          <w:sz w:val="32"/>
          <w:szCs w:val="32"/>
        </w:rPr>
        <w:t>严格落实清单之外一律不得违法实施行政许可的要求。在行政许可事项清单之外，行政机关和其他具有管理公共事务职能的组织不得以备案、证明、目录、计划、规划、指定、认证、年检等名义，要求行政相对人经申请获批后方可从事特定活动。</w:t>
      </w:r>
      <w:r>
        <w:rPr>
          <w:rFonts w:hint="default" w:ascii="Times New Roman" w:hAnsi="Times New Roman" w:eastAsia="仿宋_GB2312" w:cs="Times New Roman"/>
          <w:sz w:val="32"/>
          <w:szCs w:val="32"/>
          <w:lang w:eastAsia="zh-CN"/>
        </w:rPr>
        <w:t>县政府办公室</w:t>
      </w:r>
      <w:r>
        <w:rPr>
          <w:rFonts w:hint="default" w:ascii="Times New Roman" w:hAnsi="Times New Roman" w:eastAsia="仿宋_GB2312" w:cs="Times New Roman"/>
          <w:sz w:val="32"/>
          <w:szCs w:val="32"/>
        </w:rPr>
        <w:t>会同司法行政等部门，加大清理整治工作力度，防止扩大审批范围、实施变相行政许可等行为。对实施变相行政许可的，要通过停止实施、调整实施方式、完善设定依据等予以纠正。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（三）依法依规守牢监管底线。</w:t>
      </w:r>
      <w:r>
        <w:rPr>
          <w:rFonts w:hint="default" w:ascii="Times New Roman" w:hAnsi="Times New Roman" w:eastAsia="仿宋_GB2312" w:cs="Times New Roman"/>
          <w:sz w:val="32"/>
          <w:szCs w:val="32"/>
        </w:rPr>
        <w:t>严格依照法律法规、“三定”规定和相对集中行政许可权改革方案，确定行政许可事项的监管主体和监管职责。对多部门共同承担监管职责的事项，主管部门应当会同相关部门实施综合监管。有关部门之间就监管主体存在争议的，报县政府决定。对清单内的许可事项，主管部门要会同监管主体科学划分风险等级，明确监管重点，实施有针对性、差异化的监管政策。对国务院、省政府</w:t>
      </w:r>
      <w:r>
        <w:rPr>
          <w:rFonts w:hint="default" w:ascii="Times New Roman" w:hAnsi="Times New Roman" w:eastAsia="仿宋_GB2312" w:cs="Times New Roman"/>
          <w:sz w:val="32"/>
          <w:szCs w:val="32"/>
          <w:lang w:eastAsia="zh-CN"/>
        </w:rPr>
        <w:t>、市政府</w:t>
      </w:r>
      <w:r>
        <w:rPr>
          <w:rFonts w:hint="default" w:ascii="Times New Roman" w:hAnsi="Times New Roman" w:eastAsia="仿宋_GB2312" w:cs="Times New Roman"/>
          <w:sz w:val="32"/>
          <w:szCs w:val="32"/>
        </w:rPr>
        <w:t>部门制定的监管规则和标准，各监管主体要严格执行。对划转至县行政审批服务局实施的行政许可事项，县政府及时组织修订审管衔接备忘录，依法界定相关部门及综合执法机构之间的职责关系，逐项理顺职责分工，明确职责边界，确保审批监管工作有效衔接。对调整实施层级的行政许可事项，主管部门要会同实施机关，明确监管主体、监管职责，逐项制定监管规则和标准，加强指导培训和监督检查，防止一放了之。对取消或许可改为备案的事项，主管部门要逐项制定加强事中事后监管的措施，防止监管缺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（四）优化线上线下审批服务。</w:t>
      </w:r>
      <w:r>
        <w:rPr>
          <w:rFonts w:hint="default" w:ascii="Times New Roman" w:hAnsi="Times New Roman" w:eastAsia="仿宋_GB2312" w:cs="Times New Roman"/>
          <w:sz w:val="32"/>
          <w:szCs w:val="32"/>
        </w:rPr>
        <w:t>县主管部门和实施机关要依托全国行政许可管理系统和“爱山东”政务服务平台事项管理系统，推动同一事项在不同地区、层级和业务系统同要素管理、同标准办理。按照“网上办理优先、线上线下并行”要求，规范线上办事服务，统一网上办事入口，优化网上办事指引，提升网上办理深度；优化线下服务功能，规范政务服务场所设置，建立健全帮办代办服务体系，持续做好无障碍设施建设；强化线上线下审批服务深度融合，推动审批服务业务全流程模块化改造，切实提升企业和群众获得感、满意度。</w:t>
      </w:r>
    </w:p>
    <w:p>
      <w:pPr>
        <w:keepNext w:val="0"/>
        <w:keepLines w:val="0"/>
        <w:pageBreakBefore w:val="0"/>
        <w:widowControl w:val="0"/>
        <w:kinsoku/>
        <w:overflowPunct/>
        <w:topLinePunct w:val="0"/>
        <w:autoSpaceDE/>
        <w:autoSpaceDN/>
        <w:bidi w:val="0"/>
        <w:adjustRightInd/>
        <w:snapToGrid/>
        <w:spacing w:line="560" w:lineRule="exact"/>
        <w:ind w:firstLine="800" w:firstLineChars="25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三、保障行政许可事项清单落实</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要高度重视全面实行行政许可事项清单管理工作，健全推进机制，优化工作力量，加强统筹协调，坚持定期调度，及时研究解决清单管理中的问题，推进行政许可事项等政务服务事项标准化、规范化、便利化，确保行政许可事项清单落实落地、发挥实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（二）做好衔接协调。</w:t>
      </w:r>
      <w:r>
        <w:rPr>
          <w:rFonts w:hint="default" w:ascii="Times New Roman" w:hAnsi="Times New Roman" w:eastAsia="仿宋_GB2312" w:cs="Times New Roman"/>
          <w:sz w:val="32"/>
          <w:szCs w:val="32"/>
        </w:rPr>
        <w:t>各主管部门要切实做好本系统行政许可事项清单管理工作，积极对接上级部门，科学制定实施规范，加强督促指导，合力构建分级负责、事项统一、权责清晰的行政许可事项清单体系。各主管部门要在市级主管部门的指导下，结合行政审批制度改革实际，明确细化相关要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（三）强化监督问效。</w:t>
      </w:r>
      <w:r>
        <w:rPr>
          <w:rFonts w:hint="default" w:ascii="Times New Roman" w:hAnsi="Times New Roman" w:eastAsia="仿宋_GB2312" w:cs="Times New Roman"/>
          <w:sz w:val="32"/>
          <w:szCs w:val="32"/>
          <w:lang w:eastAsia="zh-CN"/>
        </w:rPr>
        <w:t>县政府办公室</w:t>
      </w:r>
      <w:r>
        <w:rPr>
          <w:rFonts w:hint="default" w:ascii="Times New Roman" w:hAnsi="Times New Roman" w:eastAsia="仿宋_GB2312" w:cs="Times New Roman"/>
          <w:sz w:val="32"/>
          <w:szCs w:val="32"/>
        </w:rPr>
        <w:t>全面加强对行政许可事项清单管理工作的监督，并根据实施情况进行动态评估。畅通投诉举报渠道，依托“12345政务服务便民热线”、政务服务“好差评”系统、政府门户网站等接受社会监督。会同司法行政部门对违法违规实施行政许可或者实施变相许可等问题，及时督办整改，情节严重的，依法依规问责处理。</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附件：沂源县行政许可事项清单（2022年版）</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right="863" w:rightChars="411"/>
        <w:jc w:val="distribute"/>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沂源县人民政府</w:t>
      </w:r>
    </w:p>
    <w:p>
      <w:pPr>
        <w:keepNext w:val="0"/>
        <w:keepLines w:val="0"/>
        <w:pageBreakBefore w:val="0"/>
        <w:widowControl w:val="0"/>
        <w:kinsoku/>
        <w:wordWrap w:val="0"/>
        <w:overflowPunct/>
        <w:topLinePunct w:val="0"/>
        <w:autoSpaceDE/>
        <w:autoSpaceDN/>
        <w:bidi w:val="0"/>
        <w:adjustRightInd/>
        <w:snapToGrid/>
        <w:spacing w:line="560" w:lineRule="exact"/>
        <w:ind w:right="643" w:rightChars="306"/>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2022年8月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 xml:space="preserve">日  </w:t>
      </w:r>
    </w:p>
    <w:p>
      <w:pPr>
        <w:keepNext w:val="0"/>
        <w:keepLines w:val="0"/>
        <w:pageBreakBefore w:val="0"/>
        <w:widowControl w:val="0"/>
        <w:kinsoku/>
        <w:overflowPunct/>
        <w:topLinePunct w:val="0"/>
        <w:autoSpaceDE/>
        <w:autoSpaceDN/>
        <w:bidi w:val="0"/>
        <w:adjustRightInd/>
        <w:snapToGrid/>
        <w:spacing w:line="560" w:lineRule="exact"/>
        <w:ind w:right="643" w:rightChars="306"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val="0"/>
        <w:overflowPunct/>
        <w:topLinePunct w:val="0"/>
        <w:autoSpaceDE/>
        <w:autoSpaceDN/>
        <w:bidi w:val="0"/>
        <w:adjustRightInd/>
        <w:snapToGrid/>
        <w:spacing w:line="560" w:lineRule="exact"/>
        <w:ind w:right="643" w:rightChars="306"/>
        <w:jc w:val="right"/>
        <w:textAlignment w:val="auto"/>
        <w:outlineLvl w:val="9"/>
        <w:rPr>
          <w:rFonts w:hint="default" w:ascii="Times New Roman" w:hAnsi="Times New Roman" w:eastAsia="仿宋_GB2312" w:cs="Times New Roman"/>
          <w:sz w:val="32"/>
          <w:szCs w:val="32"/>
        </w:rPr>
        <w:sectPr>
          <w:footerReference r:id="rId3" w:type="default"/>
          <w:pgSz w:w="11906" w:h="16838"/>
          <w:pgMar w:top="1984" w:right="1531" w:bottom="1701" w:left="1531" w:header="851" w:footer="1389" w:gutter="0"/>
          <w:cols w:space="0" w:num="1"/>
          <w:docGrid w:type="lines" w:linePitch="312" w:charSpace="0"/>
        </w:sectPr>
      </w:pPr>
    </w:p>
    <w:p>
      <w:pPr>
        <w:spacing w:line="560" w:lineRule="exac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附件</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黑体" w:cs="Times New Roman"/>
          <w:color w:val="000000"/>
          <w:kern w:val="0"/>
          <w:sz w:val="44"/>
          <w:szCs w:val="44"/>
          <w:lang w:bidi="ar"/>
        </w:rPr>
      </w:pPr>
      <w:r>
        <w:rPr>
          <w:rFonts w:hint="default" w:ascii="Times New Roman" w:hAnsi="Times New Roman" w:eastAsia="方正小标宋简体" w:cs="Times New Roman"/>
          <w:i w:val="0"/>
          <w:color w:val="000000"/>
          <w:kern w:val="0"/>
          <w:sz w:val="44"/>
          <w:szCs w:val="44"/>
          <w:u w:val="none"/>
          <w:lang w:val="en-US" w:eastAsia="zh-CN" w:bidi="ar"/>
        </w:rPr>
        <w:t>沂源县行政许可事项清单（2022年版）</w:t>
      </w:r>
    </w:p>
    <w:tbl>
      <w:tblPr>
        <w:tblStyle w:val="5"/>
        <w:tblW w:w="14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9"/>
        <w:gridCol w:w="1815"/>
        <w:gridCol w:w="2737"/>
        <w:gridCol w:w="2626"/>
        <w:gridCol w:w="6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县级主管部门</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实施机关</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宗教活动场所筹备设立审批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县民族宗教局（初审省民族宗教委、市民族宗教局事权事项）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宗教活动场所设立、变更、注销登记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宗教活动场所内改建或者新建建筑物许可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县民族宗教局（初审省民族宗教委、市民族宗教局事权事项），县民族宗教局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宗教临时活动地点审批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宗教团体、宗教院校、宗教活动场所接受境外捐赠审批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县侨办</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华侨回国定居审批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县行政审批服务局（初审市行政审批服务局事权事项）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《华侨回国定居办理工作规定》（国侨发〔2013〕18号）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highlight w:val="none"/>
                <w:u w:val="none"/>
                <w:lang w:val="en-US" w:eastAsia="zh-CN" w:bidi="ar"/>
              </w:rPr>
              <w:t>县委编办</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事业单位登记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县事业单位监督管理局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《事业单位登记管理暂行条例》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7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固定资产投资项目核准（含国发〔2016〕72号文件规定的外商投资项目）</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《企业投资项目核准和备案管理条例》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《国务院关于发布政府核准的投资项目目录（2016年本）的通知》（国发〔2016〕72号）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《山东省人民政府关于发布政府核准的投资项目目录（山东省2017年本）的通知》（鲁政发〔2017〕31号）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3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固定资产投资项目节能审查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《中华人民共和国节约能源法》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《固定资产投资项目节能审查办法》（国家发展改革委令2016年第44号）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在电力设施周围或者电力设施保护区内进行可能危及电力设施安全作业审批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《中华人民共和国电力法》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新建不能满足管道保护要求的石油天然气管道防护方案审批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可能影响石油天然气管道保护的施工作业审批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民办、中外合作开办中等及以下学校和其他教育机构筹设审批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11"/>
                <w:kern w:val="0"/>
                <w:sz w:val="24"/>
                <w:szCs w:val="24"/>
                <w:u w:val="none"/>
                <w:lang w:val="en-US" w:eastAsia="zh-CN" w:bidi="ar"/>
              </w:rPr>
              <w:t>《国务院关于当前发展学前教育的若干意见》（国发〔2010〕41号）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中等及以下学校和其他教育机构设置审批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《中华人民共和国教育法》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《中华人民共和国民办教育促进法实施条例》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w:t>
            </w:r>
            <w:r>
              <w:rPr>
                <w:rFonts w:hint="default" w:ascii="Times New Roman" w:hAnsi="Times New Roman" w:eastAsia="仿宋_GB2312" w:cs="Times New Roman"/>
                <w:i w:val="0"/>
                <w:color w:val="000000"/>
                <w:spacing w:val="-11"/>
                <w:kern w:val="0"/>
                <w:sz w:val="24"/>
                <w:szCs w:val="24"/>
                <w:u w:val="none"/>
                <w:lang w:val="en-US" w:eastAsia="zh-CN" w:bidi="ar"/>
              </w:rPr>
              <w:t>务院关于当前发展学前教育的若干意见》（国发〔2010〕41号）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《国务院办公厅关于规范校外培训机构发展的意见》（国办发〔2018〕80号）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从事文艺、体育等专业训练的社会组织自行实施义务教育审批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校车使用许可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县政府（由县行政审批服务局会同市公安局交警支队沂源大队、县交通运输局承办）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教师资格认定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《中华人民共和国教师法》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《教师资格条例》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适龄</w:t>
            </w:r>
            <w:r>
              <w:rPr>
                <w:rFonts w:hint="default" w:ascii="Times New Roman" w:hAnsi="Times New Roman" w:eastAsia="仿宋_GB2312" w:cs="Times New Roman"/>
                <w:i w:val="0"/>
                <w:color w:val="000000"/>
                <w:spacing w:val="-11"/>
                <w:kern w:val="0"/>
                <w:sz w:val="24"/>
                <w:szCs w:val="24"/>
                <w:u w:val="none"/>
                <w:lang w:val="en-US" w:eastAsia="zh-CN" w:bidi="ar"/>
              </w:rPr>
              <w:t>儿童、少年因身体状况需要延缓入学或者休学审批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县教育和体育局，乡镇政府</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民用枪支及枪支主要零部件、弹药配置许可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举行集会游行示威许可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大型群众性活动安全许可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公章刻制业特种行业许可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《印铸刻字业暂行管理规则》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旅馆业特种行业许可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《旅馆业治安管理办法》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互联网上网服务营业场所信息网络安全审核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举办焰火晚会及其他大型焰火燃放活动许可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烟花爆竹道路运输许可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县公安局（运达地或者启运地）</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民用爆炸物品购买许可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县公安局（运达地）</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剧毒化学品购买许可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剧毒化学品道路运输通行许可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放射性物品道路运输许可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《中华人民共和国核安全法》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运输危险化学品的车辆进入危险化学品运输车辆限制通行区域审批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易制毒化学品购买许可（除第一类中的药品类易制毒化学品外）</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《中华人民共和国禁毒法》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易制毒化学品运输许可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《中华人民共和国禁毒法》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金融机构营业场所和金库安全防范设施建设工程验收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机动车临时通行牌证核发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机动车检验合格标志核发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机动车驾驶证核发、审验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校车驾驶资格许可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非机动车登记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《山东省电动自行车管理办法》（省政府令第348号）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涉路施工交通安全审查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户口迁移审批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犬类准养证核发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普通护照签发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县公安局（受理市公安局出入境管理分局受国家移民局委托实施的事权事项）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出入境通行证签发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县公安局（受理市公安局出入境管理分局受国家移民局委托实施的事权事项）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《中华人民共和国护照法》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边境管理区通行证核发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县公安局（含指定的派出所）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内地居民前往港澳通行证、往来港澳通行证及签注签发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《中国公民因私事往来香港地区或者澳门地区的暂行管理办</w:t>
            </w:r>
            <w:r>
              <w:rPr>
                <w:rFonts w:hint="default" w:ascii="Times New Roman" w:hAnsi="Times New Roman" w:eastAsia="仿宋_GB2312" w:cs="Times New Roman"/>
                <w:i w:val="0"/>
                <w:color w:val="000000"/>
                <w:kern w:val="0"/>
                <w:sz w:val="24"/>
                <w:szCs w:val="24"/>
                <w:u w:val="none"/>
                <w:lang w:val="en-US" w:eastAsia="zh-CN" w:bidi="ar"/>
              </w:rPr>
              <w:t>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港澳居民来往内地通行证签发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港澳居民定居证明签发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县公安局（受理省公安厅出入境管理局受中华人民共和国出入境管理局委托实施的事权事项）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大陆居民往来台湾通行证及签注签发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台湾居民来往大陆通行证签发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台湾居民定居证明签发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县公安局（受理省公安厅出入境管理局受中华人民共和国出入境管理局委托实施的事权事项）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临时占用道路从事大型活动的许可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在限制、禁止的区域或者路段通行、停靠机动车的许可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社会团体成立、变更、注销登记及修改章程核准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县行政审批服务局（实行登记管理机关和业务主管单位双重负责管理体制的，由有关业务主管单位实施前置审查）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《社会团体登记管理条例》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民办非企业单位成立、变更、注销登记及修改章程核准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县行政审批服务局（实行登记管理机关和业务主管单位双重负责管理体制的，由有关业务主管单位实施前置审查）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《民办非企业单位登记管理暂行条例》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宗教活动场所法人成立、变更、注销登记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县行政审批服务局（由县民族宗教局实施前置审查）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慈善组织公开募捐资格审批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《中华人民共和国慈善法》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殡葬设施建设审批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《殡葬管理条例》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《国务院关于深化“证照分离”改革进一步激发市场主体发展活力的通知》（国发〔2021〕7号）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地名命名、更名审批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县有关部门</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县财政局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中介机构从事代理记账业务审批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《中华人民共和国会计法》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《代理记账管理办法》（财政部令第80号，2019年3月财政部令第98号修正）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职业培训学校筹设审批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职业培训学校办学许可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5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人力资源服务许可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《中华人民共和国就业促进法》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《人力资源市场暂行条例》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劳务派遣经营许可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《中华人民共和国劳动合同法》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《劳</w:t>
            </w:r>
            <w:r>
              <w:rPr>
                <w:rFonts w:hint="default" w:ascii="Times New Roman" w:hAnsi="Times New Roman" w:eastAsia="仿宋_GB2312" w:cs="Times New Roman"/>
                <w:i w:val="0"/>
                <w:color w:val="000000"/>
                <w:spacing w:val="-6"/>
                <w:kern w:val="0"/>
                <w:sz w:val="24"/>
                <w:szCs w:val="24"/>
                <w:u w:val="none"/>
                <w:lang w:val="en-US" w:eastAsia="zh-CN" w:bidi="ar"/>
              </w:rPr>
              <w:t>务派遣行政许可实施办法》（人力资源社会保障部令第19号）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企业实行不定时工作制和综合计算工时工作制审批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《中华人民共和国劳动法》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《关于企业实行不定时工作制和综合计算工时工作制的审批办法》（劳部发〔1994〕503号）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开采矿产资源审批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《中华人民共和国矿产资源法》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《中华人民共和国矿产资源法实施细则》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法人或者其他组织需要利用属于国家秘密的基础测绘成果审批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《中华人民共和国测绘成果管理条例》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spacing w:val="-11"/>
                <w:kern w:val="0"/>
                <w:sz w:val="24"/>
                <w:szCs w:val="24"/>
                <w:u w:val="none"/>
                <w:lang w:val="en-US" w:eastAsia="zh-CN" w:bidi="ar"/>
              </w:rPr>
              <w:t>基础测绘成果提供使用管理暂行办法》（国测法字〔2006〕13号</w:t>
            </w:r>
            <w:r>
              <w:rPr>
                <w:rFonts w:hint="default" w:ascii="Times New Roman" w:hAnsi="Times New Roman" w:eastAsia="仿宋_GB2312"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建设项目用地预审与选址意见书核发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《中华人民共和国土地管理法》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《中华人民共和国土地管理法实施条例》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国有建设用地使用权出让后</w:t>
            </w:r>
            <w:r>
              <w:rPr>
                <w:rFonts w:hint="default" w:ascii="Times New Roman" w:hAnsi="Times New Roman" w:eastAsia="仿宋_GB2312" w:cs="Times New Roman"/>
                <w:i w:val="0"/>
                <w:color w:val="000000"/>
                <w:spacing w:val="-11"/>
                <w:kern w:val="0"/>
                <w:sz w:val="24"/>
                <w:szCs w:val="24"/>
                <w:u w:val="none"/>
                <w:lang w:val="en-US" w:eastAsia="zh-CN" w:bidi="ar"/>
              </w:rPr>
              <w:t>土地使用权分割转让批准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乡（镇）村企业使用集体建设用地审批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乡（镇）村公共设施、公益事业使用集体建设用地审批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临时用地审批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建设用地、临时建设用地规划许可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w:t>
            </w:r>
            <w:r>
              <w:rPr>
                <w:rFonts w:hint="default" w:ascii="Times New Roman" w:hAnsi="Times New Roman" w:eastAsia="仿宋_GB2312" w:cs="Times New Roman"/>
                <w:i w:val="0"/>
                <w:color w:val="000000"/>
                <w:spacing w:val="-17"/>
                <w:kern w:val="0"/>
                <w:sz w:val="24"/>
                <w:szCs w:val="24"/>
                <w:u w:val="none"/>
                <w:lang w:val="en-US" w:eastAsia="zh-CN" w:bidi="ar"/>
              </w:rPr>
              <w:t>发未确定使用权的国有荒山、荒地、荒滩从事生产审查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林草种子生产经营许可证核发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《山东省种子条例》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《淄博市人民政府关于公布保留和调整的市级行政许可和非行政许可审批项目的决定》（市政府令第90号）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林草植物检疫证书核发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建设项目使用林地及在森林和野生动物类型国家级自然保护区建设审批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《中华人民共和国森林法》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《中华人民共和国森林法实施条例》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建设项目使用草原审批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《中华人民共和国草原法》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w:t>
            </w:r>
            <w:r>
              <w:rPr>
                <w:rFonts w:hint="default" w:ascii="Times New Roman" w:hAnsi="Times New Roman" w:eastAsia="仿宋_GB2312" w:cs="Times New Roman"/>
                <w:i w:val="0"/>
                <w:color w:val="000000"/>
                <w:spacing w:val="-11"/>
                <w:kern w:val="0"/>
                <w:sz w:val="24"/>
                <w:szCs w:val="24"/>
                <w:u w:val="none"/>
                <w:lang w:val="en-US" w:eastAsia="zh-CN" w:bidi="ar"/>
              </w:rPr>
              <w:t>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林木采伐许可证核发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《中华人民共和国森林法》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从事营利性治沙活动许可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在风景名胜区内从事建设、设置广告、举办大型游乐活动以及其他影响生态和景观活动许可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风景名胜区管理机构</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进入自然保护区从事有关活动审批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自然保护区管理机构</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《中华人民共和国自然保护区条例》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猎捕陆生野生动物审批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《中华人民共和国野生动物保护法》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《中华人民共和国陆生野生动物保护实施条例》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森林草原防火期内在森林草原防火区野外用火审批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《草原防火条例》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《山东省实施〈森林防火条例〉办法》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森林草原防火期内在森林草原防火区爆破、勘察和施工等活动审批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进入森林高火险区、草原防火管制区审批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县政府（由县自然资源局、县行政审批服务局承办），县自然资源局、县行政审批服务局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《草原防火条例》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工商企业等社会资本通过流转取得林地经营权审批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建设工程、临时建设工程规划许可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乡村建设规划许可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人工繁育省重点保护陆生野生动物许可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w:t>
            </w:r>
            <w:r>
              <w:rPr>
                <w:rFonts w:hint="default" w:ascii="Times New Roman" w:hAnsi="Times New Roman" w:eastAsia="仿宋_GB2312" w:cs="Times New Roman"/>
                <w:i w:val="0"/>
                <w:color w:val="000000"/>
                <w:spacing w:val="-11"/>
                <w:kern w:val="0"/>
                <w:sz w:val="24"/>
                <w:szCs w:val="24"/>
                <w:u w:val="none"/>
                <w:lang w:val="en-US" w:eastAsia="zh-CN" w:bidi="ar"/>
              </w:rPr>
              <w:t>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出售、购买、利用省重点保护陆生野生动物及其制品审批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w:t>
            </w:r>
            <w:r>
              <w:rPr>
                <w:rFonts w:hint="default" w:ascii="Times New Roman" w:hAnsi="Times New Roman" w:eastAsia="仿宋_GB2312" w:cs="Times New Roman"/>
                <w:i w:val="0"/>
                <w:color w:val="000000"/>
                <w:spacing w:val="-11"/>
                <w:kern w:val="0"/>
                <w:sz w:val="24"/>
                <w:szCs w:val="24"/>
                <w:u w:val="none"/>
                <w:lang w:val="en-US" w:eastAsia="zh-CN" w:bidi="ar"/>
              </w:rPr>
              <w:t>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外国人对省重点保护陆生野</w:t>
            </w:r>
            <w:r>
              <w:rPr>
                <w:rFonts w:hint="default" w:ascii="Times New Roman" w:hAnsi="Times New Roman" w:eastAsia="仿宋_GB2312" w:cs="Times New Roman"/>
                <w:i w:val="0"/>
                <w:color w:val="000000"/>
                <w:spacing w:val="-11"/>
                <w:kern w:val="0"/>
                <w:sz w:val="24"/>
                <w:szCs w:val="24"/>
                <w:u w:val="none"/>
                <w:lang w:val="en-US" w:eastAsia="zh-CN" w:bidi="ar"/>
              </w:rPr>
              <w:t>生动物进行野外考察或者在野外拍摄电影、录像审批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历史建筑实施原址保护审批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县自然资源局会同县文化和旅游局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历史文化街区、名镇、名村核心保护范围内拆除历史建筑以外的建筑物、构筑物或者其他设施审批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县自然资源局会同县文化和旅游局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历史建筑外部修缮装饰、</w:t>
            </w:r>
            <w:r>
              <w:rPr>
                <w:rFonts w:hint="default" w:ascii="Times New Roman" w:hAnsi="Times New Roman" w:eastAsia="仿宋_GB2312" w:cs="Times New Roman"/>
                <w:i w:val="0"/>
                <w:color w:val="000000"/>
                <w:spacing w:val="-11"/>
                <w:kern w:val="0"/>
                <w:sz w:val="24"/>
                <w:szCs w:val="24"/>
                <w:u w:val="none"/>
                <w:lang w:val="en-US" w:eastAsia="zh-CN" w:bidi="ar"/>
              </w:rPr>
              <w:t>添加设施以及改变历史建筑的结构或者使用性质审批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县自然资源局会同县文化和旅游局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一般建设项目环境影响评价审批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《中华人民共和国环境保护法》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《中华人民共和国环境影响评价法》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《中华人民共和国水污染防治法》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《中华人民共和国大气污染防治法》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《中华人民共和国土壤污染防治法》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《中华人民共和国固体废物污染环境防治法》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《中华人民共和国噪声污染防治法》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核与辐射类建设项目环境影响评价审批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《中华人民共和国环境保护法》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《中华人民共和国环境影响评价法》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《中华人民共和国放射性污染防治法》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江河、湖泊新建、改建或者扩大排污口审批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《中华人民共和国水污染防治法》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《中央编办关于生态环境部流域生态环境监管机构设置有关事项的通知》（中编办发〔2019〕26号）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防治污染设施拆除或闲置审批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危险废物经营许可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《中华人民共和国固体废物污染环境防治法》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放射性核素排放许可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建筑工程施工许可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《中华人民共和国建筑法》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《建筑工程施工许可管理办法》（住房城乡建设部令第18号公布，住房城乡建设部令第52号修正）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商品房预售许可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《中华人民共和国城市房地产管理法》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《山东省商品房销售条例》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《城镇燃气管理条例》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燃气经营者改动市政燃气设施审批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《城镇燃气管理条例》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《国务院关于第六批取消和调整行政审批项目的决定》（国发〔2012〕52号）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建设工程消防设计审查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《建设工程消防设计审查验收管理暂行规定》（住房城乡建设部令第51号）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建设工程消防验收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县住房城乡建设局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在村庄、集镇规划区内公共场所修建临时建筑等设施审批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乡级政府</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建筑起重机械使用登记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县住房城乡建设局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《中华人民共和国特种设备安全法》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供热经营许可证核发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《山东省供热条例》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《山东省供热经营许可管理办法》（鲁建燃热字〔2016〕14号）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供热企业停业许可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《山东省供热条例》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《山东省城市建设管理条例》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3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公路建设项目设计文件审批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《建设工程质量管理条例》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《建设工程勘察设计管理条例》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《农村公路建设管理办法》（交通运输部令2018年第4号）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公路建设项目施工许可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《公路建设市场管理办法》（交通部令2004年第14号公布，交通运输部令2015年第11号修正）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《收费公路管理条例》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《公路工程竣（交）工验收办法》（交通部令2004年第3号）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《农村公路建设管理办法》（交通运输部令2018年第4号）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公路超限运输许可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《公路安全保护条例》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涉路施工许可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《公路安全保护条例》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《路政管理规定》（交通部令2003年第2号公布，交通运输部令2016年第81号修正）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更新采伐护路林审批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《公路安全保护条例》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《路政管理规定》（交通部令2003年第2号公布，交通运输部令2016年第81号修正）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道路旅客运输经营许可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道路旅客运输站经营许可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8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道路货物运输经营许可（除使用4500千克及以下普通货运车辆从事普通货运经营外）</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《道路货物运输及站场管理规定》（交通部令2005年第6号公布，交通运输部令2019年第17号修正）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出租汽车经营许可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《巡游出租汽车经营服务管理规定》（交通运输部令2014年第16号公布，交通运输部令2021年第16号修正）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《网络</w:t>
            </w:r>
            <w:r>
              <w:rPr>
                <w:rFonts w:hint="default" w:ascii="Times New Roman" w:hAnsi="Times New Roman" w:eastAsia="仿宋_GB2312" w:cs="Times New Roman"/>
                <w:i w:val="0"/>
                <w:color w:val="000000"/>
                <w:spacing w:val="-11"/>
                <w:kern w:val="0"/>
                <w:sz w:val="24"/>
                <w:szCs w:val="24"/>
                <w:u w:val="none"/>
                <w:lang w:val="en-US" w:eastAsia="zh-CN" w:bidi="ar"/>
              </w:rPr>
              <w:t>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出租汽车车辆运营证核发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《巡游出租汽车经营服务管理规定》（交通运输部令2014年第16号公布，交通运输部令2021年第16号修正）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《网络预约出租汽车经营服务管理暂行办法》（交通运输部、工业</w:t>
            </w:r>
            <w:r>
              <w:rPr>
                <w:rFonts w:hint="default" w:ascii="Times New Roman" w:hAnsi="Times New Roman" w:eastAsia="仿宋_GB2312" w:cs="Times New Roman"/>
                <w:i w:val="0"/>
                <w:color w:val="000000"/>
                <w:spacing w:val="-11"/>
                <w:kern w:val="0"/>
                <w:sz w:val="24"/>
                <w:szCs w:val="24"/>
                <w:u w:val="none"/>
                <w:lang w:val="en-US" w:eastAsia="zh-CN" w:bidi="ar"/>
              </w:rPr>
              <w:t>和信息化部、公安部、商务部、工商总局、质检总局、国家网信办令2016年第60号公布，交通运输部、工业和信息化部、公安部、商务部、市场监管总局、国家网信办令2019年第46号修正</w:t>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spacing w:val="-6"/>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水运建设项目设计文件审批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《建设工程质量管理条例》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《建设工程勘察设计管理条例》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通航建筑物运行方案审批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《中华人民共和国航道法》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《通航建筑物运行管理办法》（交通运输部令2019年第6号）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水运工程建设项目竣工验收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《港口工程建设管理规定》（交通运输部令2018年第2号公布，交通运输部令2019年第32号修正）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《航道工程建设管理规定》（交通运输部令2019年第44号）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危险货物港口建设项目安全条件审查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《危险化学品安全管理条例》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《港口危险货物安全管理规定》（交通运输部令2017年第2号公布，交通运输部令2019年第34号修正）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危险货物港口建设项目安全设施设计审查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《港口危险货物安全管理规定》（交通运输部令2017年第2号公布，交通运输部令2019年第34号修正）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港口采掘、爆破施工作业许可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港口内进行危险货物的装卸、过驳作业许可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《港口危险货物安全管理规定》（交通运输部令2017年第2号公布，交通运输部令2019年第34号修正）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《山东省港口条例》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内</w:t>
            </w:r>
            <w:r>
              <w:rPr>
                <w:rFonts w:hint="default" w:ascii="Times New Roman" w:hAnsi="Times New Roman" w:eastAsia="仿宋_GB2312" w:cs="Times New Roman"/>
                <w:i w:val="0"/>
                <w:color w:val="000000"/>
                <w:spacing w:val="-6"/>
                <w:kern w:val="0"/>
                <w:sz w:val="24"/>
                <w:szCs w:val="24"/>
                <w:u w:val="none"/>
                <w:lang w:val="en-US" w:eastAsia="zh-CN" w:bidi="ar"/>
              </w:rPr>
              <w:t>河专用航标设置、撤除、位置移动和其他状况改变审批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《中华人民共和国航标条例》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w:t>
            </w:r>
            <w:r>
              <w:rPr>
                <w:rFonts w:hint="default" w:ascii="Times New Roman" w:hAnsi="Times New Roman" w:eastAsia="仿宋_GB2312" w:cs="Times New Roman"/>
                <w:i w:val="0"/>
                <w:color w:val="000000"/>
                <w:spacing w:val="-6"/>
                <w:kern w:val="0"/>
                <w:sz w:val="24"/>
                <w:szCs w:val="24"/>
                <w:u w:val="none"/>
                <w:lang w:val="en-US" w:eastAsia="zh-CN" w:bidi="ar"/>
              </w:rPr>
              <w:t>置或者撤销内河渡口审批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县政府（由县交通运输局承办）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占用国防交通控制范围土地审批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《中华人民共和国国防交通法》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城市公共汽（电）车客运经营（含线路经营）许可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使用浮桥或载客十二人以下船舶从事水路运输经营许可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《山东省水路交通条例》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《山东省渡运管理办法》（省政府令第203号）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在内河通航水域载运、拖带超重、超长、超高、超宽、半潜物体或者拖放竹、木等物体许可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船舶进行散装液体污染危害性货物或者危险货物过驳作业许可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船舶载运污染危害性货物或</w:t>
            </w:r>
            <w:r>
              <w:rPr>
                <w:rFonts w:hint="default" w:ascii="Times New Roman" w:hAnsi="Times New Roman" w:eastAsia="仿宋_GB2312" w:cs="Times New Roman"/>
                <w:i w:val="0"/>
                <w:color w:val="000000"/>
                <w:spacing w:val="-11"/>
                <w:kern w:val="0"/>
                <w:sz w:val="24"/>
                <w:szCs w:val="24"/>
                <w:u w:val="none"/>
                <w:lang w:val="en-US" w:eastAsia="zh-CN" w:bidi="ar"/>
              </w:rPr>
              <w:t>者危险货物进出港口许可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海域或者内河通航水域、岸线施工作业许可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拆除、改动、迁移城市公共供水设施审核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《城市供水条例》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由于工程施工、设备维修等原因确需停止供水的审批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《城市供水条例》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供水企业停业歇业许可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《山东省城市建设管理条例》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水利基建项目初步设计文件审批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取水许可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《取水许可和水资源费征收管理条例》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河道管理范围内特定活动审批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《山东省实施〈中华人民共和国河道管理条例〉办法》（省政府令第19号）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河道采砂许可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《山东省实施〈中华人民共和国河道管理条例〉办法》（省政府令第19号）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《中华人民共和国水土保持法》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农村集体经济组织修建水库审批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城市建设填堵水域、废除围堤审批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《中华人民共和国防洪法》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占用农业灌溉水源、灌排工程设施审批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坝顶兼做公路审批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《水库大坝安全管理条例》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《山东省人民政府关于取消和下放行政审批事项的决定》（省政府令第264号）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大坝管理和保护范围内修建码头、渔塘许可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《水库大坝安全管理条例》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5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利用堤顶、戗台兼做公路审批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《山东省黄河河道管理条例》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《山东省实施&lt;中华人民共和国河道管理条例&gt;办法》（省政府令第19号）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农药经营许可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5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食用菌菌种生产经营许可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《食用菌菌种管理办法》（农业部令2006年第62号公布，农业部令2015年第1号修正）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使</w:t>
            </w:r>
            <w:r>
              <w:rPr>
                <w:rFonts w:hint="default" w:ascii="Times New Roman" w:hAnsi="Times New Roman" w:eastAsia="仿宋_GB2312" w:cs="Times New Roman"/>
                <w:i w:val="0"/>
                <w:color w:val="000000"/>
                <w:spacing w:val="-11"/>
                <w:kern w:val="0"/>
                <w:sz w:val="24"/>
                <w:szCs w:val="24"/>
                <w:u w:val="none"/>
                <w:lang w:val="en-US" w:eastAsia="zh-CN" w:bidi="ar"/>
              </w:rPr>
              <w:t>用低于国家或地方规定的种用标准的农作物种子审批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县政府（由县农业农村局承办）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蚕种生产经营许可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县行政审批服务局（受理省农业农村厅事权事项）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《中华人民共和国畜牧法》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《蚕种管理办法》（农业部令2006年第68号）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农业植物检疫证书核发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农业植物产地检疫合格证签发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农业野生植物采集、出售、收购、野外考察审批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县行政审批服务局（受理采集国家二级保护野生植物的事权事项）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《中华人民共和国野生植物保护条例》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拖拉机和联合收割机驾驶证核发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拖拉机和联合收割机登记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工商企业等社会资本通过流转取得土地经营权审批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县政府（由县农业农村局承办），乡镇政府（由农业农村部门或者农村经营管理部门承办）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《中华人民共和国农村土地承包法》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《农村土地经营权流转管理办法》（农业农村部令2021年第1号）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农村村民宅基地审批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乡镇政府（街道办事处）</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渔业船舶船员证书核发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《中华人民共和国渔港水域交通安全管理条例》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《中华人民共和国渔业船员管理办法》（农业部令2014年第4号公布，农业部令2017年第8号修正）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水产苗种生产经营审批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《水产苗种管理办法》（农业部令2005年第46号）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《农业转基因生物安全管理条例》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《淄博市人民政府关于公布保留和调整的市级行政许可和非行政许可审批项目的决定》（市政府令第90号）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水域滩涂养殖证核发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渔业船网工具指标审批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渔业捕捞许可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《中华人民共和国渔业法实施细则》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专用航标的设置、撤除、位置移动和其他状况改变审批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《中华人民共和国航标条例》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《渔业航标管理办法》（农业部令2008年第13号）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渔业船舶国籍登记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《中华人民共和国船舶登记条例》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《中华人民共和国渔港水域交通安全管理条例》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《中华人民共和国渔业船舶登记办法》（农业部令2012年第8号公布，农业部令2013年第5号修正）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猎捕省重点保护水生野生动物审批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出售、购买、利用省重点保护水生野生动物及其制品审批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人工繁育省重点保护水生野生动物审批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外国人在我省对省重点保护水生野生动物进行野外考察或者在野外拍摄电影、录像等活动审批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《农业转基因生物安全管理条例》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《转基因棉花种子生产经营许可规定》（农业部公告第2436号公布，农业农村部令2019年第2号修正）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动物及动物产品检疫合格证核发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《淄博市人民政府关于公布保留和调整的市级行政许可和非行政许可审批项目的决定》（市政府令第90号）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种畜禽生产经营许可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《中华人民共和国畜牧法》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《农业转基因生物安全管理条例》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《养蜂管理办法（试行）》（农业部公告第1692号）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动物防疫条件合格证核发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向无规定动物疫病区输入易感动物、动物产品的检疫审批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县农业农村局（受省畜牧局委托实施）</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《动物检疫管理办法》（农业部令2010年第6号公布，农业农村部令2019年第2号修正）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《山东省无规定动物疫病区管理办法》（省政府令第157号发布，省政府令第228号修正）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动物诊疗许可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《动物诊疗机构管理办法》（农业部令2008年第19号公布，农业部令2017年第8号修正）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生鲜乳收购站许可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《乳品质量安全监督管理条例》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生鲜乳准运证明核发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《乳品质量安全监督管理条例》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文艺表演团体设立审批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《营业性演出管理条例实施细则》（文化部令第47号公布，文化部令第57号修正）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娱乐场所经营活动审批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《娱乐场所管理条例》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互联网上网服务营业场所筹建审批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互联网上网服务经营活动审批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建设工程文物保护许可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县政府（由县文化和旅游局承办，征得市文化和旅游局同意），县行政审批服务局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《山东省文物保护条例》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文物保护单位原址保护措施审批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核定为文物保护单位的属于国家所有的纪念建筑物或者古建筑改变用途审批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县政府（由县文化和旅游局承办，征得市文化和旅游局同意）</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不可移动文物修缮审批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非国有文物收藏单位和其他单位借用国有馆藏文物审批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博物馆处理不够入藏标准、无保存价值的文物或标本审批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对尚未被认定为文物的监管物品审核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广播电视专用频段频率使用许可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县文化和旅游局（受理广电总局事权事项并逐级上报）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广播电台、电视台设立、终止审批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w:t>
            </w:r>
            <w:r>
              <w:rPr>
                <w:rFonts w:hint="default" w:ascii="Times New Roman" w:hAnsi="Times New Roman" w:eastAsia="仿宋_GB2312" w:cs="Times New Roman"/>
                <w:i w:val="0"/>
                <w:color w:val="000000"/>
                <w:spacing w:val="-11"/>
                <w:kern w:val="0"/>
                <w:sz w:val="24"/>
                <w:szCs w:val="24"/>
                <w:u w:val="none"/>
                <w:lang w:val="en-US" w:eastAsia="zh-CN" w:bidi="ar"/>
              </w:rPr>
              <w:t>文化和旅游局（受理广电总局事权事项并逐级上报）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广播电台、电视台变更台名、台标、节目设置范围或节目套数审批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县文化和旅游局（受理广电总局事权事项并逐级上报）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乡镇设立广播电视站和机关、部队、团体、企业事业单位设立有线广播电视站审批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县文化和旅游局（初审省广电局事权事项）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《广播电视站审批管理暂行规定》（广播电影电视总局令第32号）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卫星电视广播地面接收设施安装服务许可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县文化和旅游局（初审省广电局事权事项）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《卫星电视广播地面接收设施管理规定》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《卫星电视广播地面接收设施安装服务暂行办法》（广播电影电视总局令第60号公布，广播电视总局令第10号修正）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设置卫星电视广播地面接收设施审批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县文化和旅游局（初审省广电局事权事项）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出版物零售业务经营许可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电影放映单位设立审批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县行政审批服务局（受省电影局委托实施），县行政审批服务局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《中华人民共和国电影产业促进法》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《电影管理条例》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《外商投资电影院暂行规定》（广播电影电视总局、商务部、文化部令第21号公布，广播电影电视总局令第51号修正）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《山东省人民政府关于取消和下放行政审批事项的决定》（省政府令第264号）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饮用水供水单位卫生许可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《中华人民共和国传染病防治法》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公共场所卫生许可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《中华人民共和国传染病防治法》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医疗机构建设项目放射性职业病危害预评价报告审核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《中华人民共和国职业病防治法》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《放射诊疗管理规定》（卫生部令第46号公布，国家卫生计生委令第8号修正）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医疗机构建设项目放射性职业病防护设施竣工验收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《中华人民共和国职业病防治法》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《放射诊疗管理规定》（卫生部令第46号公布，国家卫生计生委令第8号修正）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医疗机构执业登记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7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母婴保健技术服务机构执业许可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《中华人民共和国母婴保健法》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《中华人民共和国母婴保健法实施办法》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《母婴保健专项技术服务许可及人员资格管理办法》（卫妇发〔1995〕7号公布，国家卫生健康委令第7号修正）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2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放射源诊疗技术和医用辐射机构许可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《放射性同位素与射线装置安全和防护条例》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《放射诊疗管理规定》（卫生部令第46号公布，国家卫生计生委令第8号修正）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单采血浆站设置审批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县行政审批服务局〔初审省卫生健康委（省中医药局）事权事项〕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《血液制品管理条例》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医师执业注册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《中华人民共和国医师法》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《医师执业注册管理办法》（国家卫生计生委令第13号）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乡村医生执业注册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《乡村医生从业管理条例》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母婴保健服务人员资格认定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《中华人民共和国母婴保健法》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《中华人民共和国母婴保健法实施办法》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《母婴保健专项技术服务许可及人员资格管理办法》（卫妇发〔1995〕7号公布，国家卫生健康委令第7号修正）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护士执业注册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《护士条例》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确有专长的中医医师资格认定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县卫生健康局〔受理省卫生健康委（省中医药局）事权事项并逐级上报〕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确有专长的中医医师执业注册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《中医医术确有专长人员医师资格考核注册管理暂行办法》（国家卫生计生委令第15号）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中医医疗机构设置审批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中医医疗机构执业登记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石油天然气建设项目安全设施设计审查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金属冶炼建设项目安全设施设计审查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《冶金企业和有色金属企业安全生产规定》（安全监管总局令第91号）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《危险化学品经营许可证管理办法》（安全监管总局令第55号公布，安全监管总局令第79号修正）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生产、储存烟花爆竹建设项目安全设施设计审查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《烟花爆竹经营许可实施办法》（安全监管总局令第65号）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矿山建设项目安全设施设计审查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《煤矿安全监察条例》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《煤矿建设项目安全设施监察规定》（安全监管总局令第6号公布，安全监管总局令第81号修正）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w:t>
            </w:r>
            <w:r>
              <w:rPr>
                <w:rFonts w:hint="default" w:ascii="Times New Roman" w:hAnsi="Times New Roman" w:eastAsia="仿宋_GB2312" w:cs="Times New Roman"/>
                <w:i w:val="0"/>
                <w:color w:val="000000"/>
                <w:spacing w:val="-11"/>
                <w:kern w:val="0"/>
                <w:sz w:val="24"/>
                <w:szCs w:val="24"/>
                <w:u w:val="none"/>
                <w:lang w:val="en-US" w:eastAsia="zh-CN" w:bidi="ar"/>
              </w:rPr>
              <w:t>家安全监管总局办公厅关于切实做好国家取消和下放投资审批有关建设项目安全监管工作的通知》（安监总厅政法〔2013〕120号）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《国家安全监管总局办公厅关于明确非煤矿山建设项目安全监管职责等事项的通知》（安监总厅管一〔2013〕143号）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一般工程抗震设防要求审定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《山东省防震减灾条例》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《山东省建设工程抗震设防条例》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地震观测环境保护范围内建设工程项目审批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《山东省地震监测设施与地震观测环境保护条例》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食品生产许可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《中华人民共和国食品安全法》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《食品生产许可管理办法》（市场监管总局令第24号）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食品添加剂生产许可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《中华人民共和国食品安全法》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《食品生产许可管理办法》（市场监管总局令第24号）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《中华人民共和国食品安全法》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特种设备使用登记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县市场监管局（受市市场监管局委托实施）</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《中华人民共和国特种设备安全法》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《特种设备安全监察条例》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《山东省特种设备安全条例》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特种设备安全管理和作业人员资格认定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《中华人民共和国特种设备安全法》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《特种设备安全监察条例》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《特种设备作业人员监督管理办法》（质检总局令第70号公布，质检总局令第140号修正）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计量标准器具核准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《中华人民共和国计量法》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承担国家法定计量检定机构任务授权</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《中华人民共和国计量法》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企业登记注册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《中华人民共和国公司法》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《中华人民共和国合伙企业法》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《中华人民共和国个人独资企业法》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《中华人民共和国外商投资法》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《中华人民共和国外商投资法实施条例》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《中华人民共和国市场主体登记管理条例》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个体工商户登记注册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《个体工商户条例》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9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农民专业合作社登记注册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《中华人民共和国农民专业合作社法》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《中华人民共和国市场主体登记管理条例》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食品小作坊、小餐饮登记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《山东省食品小作坊小餐饮和食品摊点管理条例》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举办健身气功活动及设立站点审批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《健身气功管理办法》（体育总局令2006年第9号）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《山东省人民政府关于公布省级保留的行政许可事项、非行政许可审批事项和取消、下放的行政审批事项的决定》（省政府令第230号）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高危险性体育项目经营许可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《全民健身条例》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临时占用公共体育设施审批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应建防空地下室的民用建筑项目报建审批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《中共中央、国务院、中央军委关于加强人民防空工作的决定》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拆除人民防空工程审批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《中华人民共和国人民防空法》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县地方金融监管局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农民专业合作社开展信用互助业务审批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县地方金融监管局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《山东省地方金融条例》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7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关闭、闲置、拆除城市环境卫生设施许可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县行政审批服务局会同市生态环境局沂源分局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《中华人民共和国固体废物污染环境防治法》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拆除环境卫生设施许可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《城市市容和环境卫生管理条例》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从事城市生活垃圾经营性清扫、收集、运输、处理服务审批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城市建筑垃圾处置核准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城镇污水排入排水管网许可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《城镇排水与污水处理条例》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拆除、改动城镇排水与污水处理设施审核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《城镇排水与污水处理条例》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市政设施建设类审批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《城市道路管理条例》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特殊车辆在城市道路上行驶审批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《城市道路管理条例》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改变绿化规划、绿化用地的使用性质审批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工程建设涉及城市绿地、树木审批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《城市绿化条例》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设置大型户外广告及在城市建筑物、设施上悬挂、张贴宣传品审批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《城市市容和环境卫生管理条例》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临时性建筑物搭建、堆放物料、占道施工审批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《城市市容和环境卫生管理条例》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县档案局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延期移交档案审批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县档案局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县税务局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增值税防伪税控系统最高开票限额审批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县税务局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雷电防护装置设计审核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雷电防护装置竣工验收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升放无人驾驶自由气球或者系留气球活动审批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县气象局会同有关部门</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《通用航空飞行管制条例》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《国务院关于第六批取消和调整行政审批项目的决定》（国发〔2012〕52号）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《山东省人民政府关于公布省级保留的行政许可事项、非行政许可审批事项和取消、下放的行政审批事项的决定》（省政府令第230号）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洪水影响评价类审批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《中华人民共和国防洪法》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《中华人民共和国水文条例》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沂源县支行</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银行账户开户许可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人民银行沂源县支行</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沂源县支行</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国库集中收付代理银行资格认定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人民银行沂源县支行</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经常项目收支企业核准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经常项目特定收支业务核准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经常项目外汇存放境外核准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境外直接投资项下外汇登记核准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境内直接投资项下外汇登记核准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外币现钞提取、出境携带、跨境调运核准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跨境证券、衍生产品外汇业务核准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境内机构外债、跨境担保核准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境内机构（不含银行业金融机构）对外债权核准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资本项目外汇资金结汇核准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资本项目外汇资金购付汇核准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经营或者终止结售汇业务审批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bookmarkStart w:id="0" w:name="_GoBack"/>
            <w:bookmarkEnd w:id="0"/>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非银行金融机构经营、终止结售汇业务以外的外汇业务审批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县烟草专卖局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烟草专卖零售许可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县烟草专卖局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《中华人民共和国烟草专卖法》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县消防救援大队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公众聚集场所投入使用、营业前消防安全检查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县消防救援大队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p>
        </w:tc>
      </w:tr>
    </w:tbl>
    <w:p>
      <w:pPr>
        <w:spacing w:line="560" w:lineRule="exact"/>
        <w:rPr>
          <w:rFonts w:hint="default" w:ascii="Times New Roman" w:hAnsi="Times New Roman" w:eastAsia="仿宋_GB2312" w:cs="Times New Roman"/>
          <w:sz w:val="32"/>
          <w:szCs w:val="32"/>
        </w:rPr>
        <w:sectPr>
          <w:pgSz w:w="16838" w:h="11906" w:orient="landscape"/>
          <w:pgMar w:top="1531" w:right="1474" w:bottom="1531" w:left="1474" w:header="851" w:footer="992" w:gutter="0"/>
          <w:cols w:space="425" w:num="1"/>
          <w:docGrid w:type="lines" w:linePitch="312" w:charSpace="0"/>
        </w:sect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pStyle w:val="10"/>
        <w:adjustRightInd w:val="0"/>
        <w:snapToGrid w:val="0"/>
        <w:spacing w:beforeLines="100" w:line="560" w:lineRule="exact"/>
        <w:ind w:left="0" w:firstLine="640" w:firstLineChars="200"/>
        <w:rPr>
          <w:rFonts w:eastAsia="仿宋_GB2312"/>
          <w:bCs/>
          <w:sz w:val="32"/>
          <w:szCs w:val="32"/>
        </w:rPr>
      </w:pPr>
    </w:p>
    <w:p>
      <w:pPr>
        <w:tabs>
          <w:tab w:val="left" w:pos="7332"/>
        </w:tabs>
        <w:spacing w:line="480" w:lineRule="exact"/>
        <w:ind w:left="937" w:leftChars="146" w:hanging="630" w:hangingChars="300"/>
        <w:rPr>
          <w:rFonts w:ascii="Times New Roman" w:hAnsi="Times New Roman" w:eastAsia="仿宋_GB2312" w:cs="Times New Roman"/>
          <w:sz w:val="28"/>
          <w:szCs w:val="28"/>
        </w:rPr>
      </w:pPr>
      <w:r>
        <w:rPr>
          <w:rFonts w:ascii="Times New Roman" w:hAnsi="Times New Roman" w:eastAsia="仿宋_GB2312" w:cs="Times New Roman"/>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5613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pt;height:0.05pt;width:442pt;z-index:251660288;mso-width-relative:page;mso-height-relative:page;" filled="f" stroked="t" coordsize="21600,21600" o:gfxdata="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PynSTUAAAABAEAAA8AAAAAAAAAAQAgAAAAIgAAAGRycy9kb3ducmV2LnhtbFBLAQIU&#10;ABQAAAAIAIdO4kCtnkhs9wEAAOcDAAAOAAAAAAAAAAEAIAAAACMBAABkcnMvZTJvRG9jLnhtbFBL&#10;BQYAAAAABgAGAFkBAACMBQ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县法院，县检察院。</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县工商联。</w:t>
      </w:r>
    </w:p>
    <w:p>
      <w:pPr>
        <w:tabs>
          <w:tab w:val="left" w:pos="7332"/>
          <w:tab w:val="left" w:pos="8640"/>
        </w:tabs>
        <w:spacing w:line="480" w:lineRule="exact"/>
        <w:ind w:firstLine="280" w:firstLineChars="100"/>
        <w:rPr>
          <w:rFonts w:hint="default" w:ascii="Times New Roman" w:hAnsi="Times New Roman" w:eastAsia="仿宋_GB2312" w:cs="Times New Roman"/>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05pt;width:442pt;z-index:251661312;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gC7NYAAAAGAQAADwAAAAAAAAABACAAAAAiAAAAZHJzL2Rvd25yZXYueG1sUEsB&#10;AhQAFAAAAAgAh07iQHxQdef3AQAA5wMAAA4AAAAAAAAAAQAgAAAAJQ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42pt;z-index:251662336;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40HUAAAABAEAAA8AAAAAAAAAAQAgAAAAIgAAAGRycy9kb3ducmV2LnhtbFBLAQIU&#10;ABQAAAAIAIdO4kAVnN689wEAAOcDAAAOAAAAAAAAAAEAIAAAACMBAABkcnMvZTJvRG9jLnhtbFBL&#10;BQYAAAAABgAGAFkBAACMBQAAAAA=&#10;">
                <v:fill on="f" focussize="0,0"/>
                <v:stroke weight="1pt" color="#000000" joinstyle="round"/>
                <v:imagedata o:title=""/>
                <o:lock v:ext="edit" aspectratio="f"/>
              </v:line>
            </w:pict>
          </mc:Fallback>
        </mc:AlternateContent>
      </w:r>
      <w:r>
        <w:rPr>
          <w:rFonts w:ascii="Times New Roman" w:hAnsi="Times New Roman" w:eastAsia="仿宋_GB2312" w:cs="Times New Roman"/>
          <w:sz w:val="28"/>
          <w:szCs w:val="28"/>
        </w:rPr>
        <w:t>沂源县人民政府办公室                    202</w:t>
      </w:r>
      <w:r>
        <w:rPr>
          <w:rFonts w:hint="eastAsia" w:ascii="Times New Roman" w:hAnsi="Times New Roman" w:eastAsia="仿宋_GB2312" w:cs="Times New Roman"/>
          <w:sz w:val="28"/>
          <w:szCs w:val="28"/>
          <w:lang w:val="en-US" w:eastAsia="zh-CN"/>
        </w:rPr>
        <w:t>2</w:t>
      </w:r>
      <w:r>
        <w:rPr>
          <w:rFonts w:ascii="Times New Roman" w:hAnsi="仿宋_GB2312"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仿宋_GB2312"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ascii="Times New Roman" w:hAnsi="仿宋_GB2312" w:eastAsia="仿宋_GB2312" w:cs="Times New Roman"/>
          <w:sz w:val="28"/>
          <w:szCs w:val="28"/>
        </w:rPr>
        <w:t>日印发</w:t>
      </w:r>
    </w:p>
    <w:sectPr>
      <w:pgSz w:w="11906" w:h="16838"/>
      <w:pgMar w:top="1474" w:right="1531" w:bottom="1474" w:left="1531" w:header="851" w:footer="138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ZjMxNDRiMGJlYmZmOWU2NWIwZmQ4YTUyZjdlZjIifQ=="/>
  </w:docVars>
  <w:rsids>
    <w:rsidRoot w:val="00431174"/>
    <w:rsid w:val="00021198"/>
    <w:rsid w:val="000966E9"/>
    <w:rsid w:val="000D0757"/>
    <w:rsid w:val="001100F4"/>
    <w:rsid w:val="0015417C"/>
    <w:rsid w:val="00164118"/>
    <w:rsid w:val="001A7AC6"/>
    <w:rsid w:val="001C108A"/>
    <w:rsid w:val="00207285"/>
    <w:rsid w:val="0025024E"/>
    <w:rsid w:val="00267321"/>
    <w:rsid w:val="0028000A"/>
    <w:rsid w:val="00280B23"/>
    <w:rsid w:val="00296063"/>
    <w:rsid w:val="002A0B0C"/>
    <w:rsid w:val="002C34FF"/>
    <w:rsid w:val="002D3768"/>
    <w:rsid w:val="003024C7"/>
    <w:rsid w:val="00312ECA"/>
    <w:rsid w:val="00331176"/>
    <w:rsid w:val="0034245A"/>
    <w:rsid w:val="0038478B"/>
    <w:rsid w:val="00396BDA"/>
    <w:rsid w:val="00397E34"/>
    <w:rsid w:val="003B4119"/>
    <w:rsid w:val="004010F6"/>
    <w:rsid w:val="0041090D"/>
    <w:rsid w:val="00422B9A"/>
    <w:rsid w:val="00426381"/>
    <w:rsid w:val="00431174"/>
    <w:rsid w:val="00436090"/>
    <w:rsid w:val="00442EC1"/>
    <w:rsid w:val="00460F2E"/>
    <w:rsid w:val="00481344"/>
    <w:rsid w:val="004B2274"/>
    <w:rsid w:val="004E2687"/>
    <w:rsid w:val="004F745E"/>
    <w:rsid w:val="0052103D"/>
    <w:rsid w:val="00534C1A"/>
    <w:rsid w:val="005634ED"/>
    <w:rsid w:val="00565FD6"/>
    <w:rsid w:val="005D093A"/>
    <w:rsid w:val="00606C65"/>
    <w:rsid w:val="006215F0"/>
    <w:rsid w:val="00695393"/>
    <w:rsid w:val="006D7889"/>
    <w:rsid w:val="006F1787"/>
    <w:rsid w:val="006F28CA"/>
    <w:rsid w:val="00730C56"/>
    <w:rsid w:val="00733E31"/>
    <w:rsid w:val="00752A73"/>
    <w:rsid w:val="007556B7"/>
    <w:rsid w:val="007E2883"/>
    <w:rsid w:val="007F7F17"/>
    <w:rsid w:val="00842002"/>
    <w:rsid w:val="00843CF2"/>
    <w:rsid w:val="00893529"/>
    <w:rsid w:val="008E4AD4"/>
    <w:rsid w:val="008F0580"/>
    <w:rsid w:val="009239D7"/>
    <w:rsid w:val="00932B4B"/>
    <w:rsid w:val="00955272"/>
    <w:rsid w:val="009863D4"/>
    <w:rsid w:val="00993001"/>
    <w:rsid w:val="009A6349"/>
    <w:rsid w:val="009D1E0D"/>
    <w:rsid w:val="00A25C0F"/>
    <w:rsid w:val="00A35CB1"/>
    <w:rsid w:val="00A530E4"/>
    <w:rsid w:val="00A70171"/>
    <w:rsid w:val="00A743F9"/>
    <w:rsid w:val="00A81860"/>
    <w:rsid w:val="00AA6D11"/>
    <w:rsid w:val="00AB0336"/>
    <w:rsid w:val="00AD1310"/>
    <w:rsid w:val="00AD3628"/>
    <w:rsid w:val="00B36C9E"/>
    <w:rsid w:val="00B44CC9"/>
    <w:rsid w:val="00B47A83"/>
    <w:rsid w:val="00B52755"/>
    <w:rsid w:val="00B85C9D"/>
    <w:rsid w:val="00BB35EB"/>
    <w:rsid w:val="00BC3AEE"/>
    <w:rsid w:val="00BE77BC"/>
    <w:rsid w:val="00BF7F13"/>
    <w:rsid w:val="00C123EE"/>
    <w:rsid w:val="00C17281"/>
    <w:rsid w:val="00C255F9"/>
    <w:rsid w:val="00C30DCF"/>
    <w:rsid w:val="00C50FFB"/>
    <w:rsid w:val="00C57DEF"/>
    <w:rsid w:val="00CA5907"/>
    <w:rsid w:val="00D26F87"/>
    <w:rsid w:val="00D304FD"/>
    <w:rsid w:val="00D43718"/>
    <w:rsid w:val="00D502D5"/>
    <w:rsid w:val="00DB6371"/>
    <w:rsid w:val="00E21FDD"/>
    <w:rsid w:val="00E237FA"/>
    <w:rsid w:val="00E6352A"/>
    <w:rsid w:val="00EA1539"/>
    <w:rsid w:val="00EC1D8A"/>
    <w:rsid w:val="00ED0881"/>
    <w:rsid w:val="00ED486C"/>
    <w:rsid w:val="00F27EA0"/>
    <w:rsid w:val="00F40A8C"/>
    <w:rsid w:val="00F70EA4"/>
    <w:rsid w:val="00FC488C"/>
    <w:rsid w:val="00FD3E4C"/>
    <w:rsid w:val="00FD4DF2"/>
    <w:rsid w:val="00FF0E23"/>
    <w:rsid w:val="00FF4579"/>
    <w:rsid w:val="01DC1AFA"/>
    <w:rsid w:val="03304250"/>
    <w:rsid w:val="03FD2384"/>
    <w:rsid w:val="04A37ACB"/>
    <w:rsid w:val="04DC643E"/>
    <w:rsid w:val="071F0864"/>
    <w:rsid w:val="0A3A420A"/>
    <w:rsid w:val="0D927FE1"/>
    <w:rsid w:val="0E122ED0"/>
    <w:rsid w:val="0E91721C"/>
    <w:rsid w:val="0EF879E3"/>
    <w:rsid w:val="10DD5A17"/>
    <w:rsid w:val="14C97586"/>
    <w:rsid w:val="170D7481"/>
    <w:rsid w:val="1C502276"/>
    <w:rsid w:val="1DD6204E"/>
    <w:rsid w:val="20EE1F28"/>
    <w:rsid w:val="228E365B"/>
    <w:rsid w:val="26E6195B"/>
    <w:rsid w:val="2C1A3224"/>
    <w:rsid w:val="2D095047"/>
    <w:rsid w:val="2F177EEF"/>
    <w:rsid w:val="30185F42"/>
    <w:rsid w:val="31B82C78"/>
    <w:rsid w:val="348E0C53"/>
    <w:rsid w:val="34D12B3F"/>
    <w:rsid w:val="36AA20FD"/>
    <w:rsid w:val="374049B2"/>
    <w:rsid w:val="3C707C16"/>
    <w:rsid w:val="3C974E76"/>
    <w:rsid w:val="3F2162DE"/>
    <w:rsid w:val="3FFC0E46"/>
    <w:rsid w:val="4517259F"/>
    <w:rsid w:val="451B5CE0"/>
    <w:rsid w:val="452934C8"/>
    <w:rsid w:val="45A858ED"/>
    <w:rsid w:val="4622025B"/>
    <w:rsid w:val="4AAA6A80"/>
    <w:rsid w:val="50D45FFB"/>
    <w:rsid w:val="538F03EE"/>
    <w:rsid w:val="551F7120"/>
    <w:rsid w:val="5B5F7A7D"/>
    <w:rsid w:val="5BF925A6"/>
    <w:rsid w:val="5D1A4582"/>
    <w:rsid w:val="5D50155D"/>
    <w:rsid w:val="5F322057"/>
    <w:rsid w:val="629E73A2"/>
    <w:rsid w:val="631515FF"/>
    <w:rsid w:val="6CF52916"/>
    <w:rsid w:val="71267542"/>
    <w:rsid w:val="715C7408"/>
    <w:rsid w:val="7198253C"/>
    <w:rsid w:val="72604CD6"/>
    <w:rsid w:val="726C50F6"/>
    <w:rsid w:val="74181770"/>
    <w:rsid w:val="74D6127F"/>
    <w:rsid w:val="76361484"/>
    <w:rsid w:val="767B0330"/>
    <w:rsid w:val="786924E2"/>
    <w:rsid w:val="791365FE"/>
    <w:rsid w:val="7AF842D7"/>
    <w:rsid w:val="7C1C1C6D"/>
    <w:rsid w:val="7D5D078F"/>
    <w:rsid w:val="7F27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 w:type="paragraph" w:customStyle="1" w:styleId="10">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4928</Words>
  <Characters>28092</Characters>
  <Lines>234</Lines>
  <Paragraphs>65</Paragraphs>
  <TotalTime>5</TotalTime>
  <ScaleCrop>false</ScaleCrop>
  <LinksUpToDate>false</LinksUpToDate>
  <CharactersWithSpaces>32955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2022-08-06T09:30:00Z</dcterms:created>
  <dc:creator>Administrator</dc:creator>
  <cp:lastModifiedBy>Administrator</cp:lastModifiedBy>
  <cp:lastPrinted>2022-08-19T07:24:00Z</cp:lastPrinted>
  <dcterms:modified xsi:type="dcterms:W3CDTF">2022-08-25T01:51:21Z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FB2EFE9B467D4F558787DBB779747E30</vt:lpwstr>
  </property>
</Properties>
</file>