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60" w:lineRule="exact"/>
        <w:jc w:val="center"/>
        <w:rPr>
          <w:rFonts w:ascii="仿宋_GB2312" w:hAnsi="仿宋_GB2312" w:eastAsia="仿宋_GB2312" w:cs="仿宋_GB2312"/>
          <w:b/>
          <w:sz w:val="32"/>
          <w:szCs w:val="32"/>
        </w:rPr>
      </w:pPr>
      <w:bookmarkStart w:id="0" w:name="_Hlk476726591"/>
      <w:bookmarkEnd w:id="0"/>
    </w:p>
    <w:p>
      <w:pPr>
        <w:spacing w:line="560" w:lineRule="exact"/>
        <w:jc w:val="center"/>
        <w:rPr>
          <w:rFonts w:ascii="方正小标宋简体" w:hAnsi="方正小标宋简体" w:eastAsia="方正小标宋简体" w:cs="方正小标宋简体"/>
          <w:b/>
          <w:sz w:val="44"/>
          <w:szCs w:val="44"/>
        </w:rPr>
      </w:pPr>
      <w:r>
        <w:rPr>
          <w:rFonts w:hint="eastAsia" w:ascii="方正小标宋简体" w:hAnsi="方正小标宋简体" w:eastAsia="方正小标宋简体" w:cs="方正小标宋简体"/>
          <w:b/>
          <w:sz w:val="44"/>
          <w:szCs w:val="44"/>
        </w:rPr>
        <w:t>沂源县2018年政府信息公开工作年度报告</w:t>
      </w:r>
    </w:p>
    <w:p>
      <w:pPr>
        <w:spacing w:line="560" w:lineRule="exact"/>
        <w:jc w:val="center"/>
        <w:rPr>
          <w:rFonts w:ascii="仿宋_GB2312" w:hAnsi="仿宋_GB2312" w:eastAsia="仿宋_GB2312" w:cs="仿宋_GB2312"/>
          <w:b/>
          <w:sz w:val="32"/>
          <w:szCs w:val="32"/>
        </w:rPr>
      </w:pPr>
      <w:r>
        <w:drawing>
          <wp:anchor distT="0" distB="0" distL="114300" distR="114300" simplePos="0" relativeHeight="251658240" behindDoc="1" locked="0" layoutInCell="1" allowOverlap="1">
            <wp:simplePos x="0" y="0"/>
            <wp:positionH relativeFrom="column">
              <wp:posOffset>286385</wp:posOffset>
            </wp:positionH>
            <wp:positionV relativeFrom="paragraph">
              <wp:posOffset>271780</wp:posOffset>
            </wp:positionV>
            <wp:extent cx="5219700" cy="4495800"/>
            <wp:effectExtent l="0" t="0" r="0" b="0"/>
            <wp:wrapTight wrapText="bothSides">
              <wp:wrapPolygon>
                <wp:start x="0" y="0"/>
                <wp:lineTo x="0" y="21508"/>
                <wp:lineTo x="21521" y="21508"/>
                <wp:lineTo x="21521" y="0"/>
                <wp:lineTo x="0" y="0"/>
              </wp:wrapPolygon>
            </wp:wrapTight>
            <wp:docPr id="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8"/>
                    <pic:cNvPicPr>
                      <a:picLocks noChangeAspect="1"/>
                    </pic:cNvPicPr>
                  </pic:nvPicPr>
                  <pic:blipFill>
                    <a:blip r:embed="rId8" cstate="print"/>
                    <a:stretch>
                      <a:fillRect/>
                    </a:stretch>
                  </pic:blipFill>
                  <pic:spPr>
                    <a:xfrm>
                      <a:off x="0" y="0"/>
                      <a:ext cx="5219700" cy="4495800"/>
                    </a:xfrm>
                    <a:prstGeom prst="rect">
                      <a:avLst/>
                    </a:prstGeom>
                    <a:noFill/>
                    <a:ln w="9525">
                      <a:noFill/>
                    </a:ln>
                  </pic:spPr>
                </pic:pic>
              </a:graphicData>
            </a:graphic>
          </wp:anchor>
        </w:drawing>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报告按照《中华人民共和国政府信息公开条例》（以下简称《条例》）和《山东省政府信息公开办法》（以下简称《办法》）规定，由沂源县人民政府办公室综合各镇人民政府、各街道办、经济开发区和县政府各部门、单位政府信息公开工作情况编制。</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报告全文由概述、主动公开政府信息情况、依申请公开政府信息情况、政府信息公开行政案件情况、政府信息公开的收费及减免情况、存在的不足及改进措施、需要说明的事项及附表七个部分组成。</w:t>
      </w:r>
    </w:p>
    <w:p>
      <w:pPr>
        <w:wordWrap w:val="0"/>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报告中所列数据统计期限自2018年1月1日始，至2018年12月31日止。报告电子版可从沂源县人民政府门户网站（www.yiyuan.gov.cn）下载。如对报告内容有疑问，请与沂源县人民政府信息中心联系（地址：沂源县振兴路61号；邮编：256100；电话：0533-3241369）。</w:t>
      </w:r>
    </w:p>
    <w:p>
      <w:pPr>
        <w:wordWrap w:val="0"/>
        <w:spacing w:line="560" w:lineRule="exact"/>
        <w:ind w:firstLine="643" w:firstLineChars="200"/>
        <w:jc w:val="left"/>
        <w:rPr>
          <w:rFonts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一、概述</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2018年，沂源县按照市委、市政府和县委、县政府决策部署，紧紧围绕县委、县政府中心工作和社会关切，深入贯彻落实《条例》、《办法》要求，持续加强组织推动，深化公开内容，拓展公开渠道，提升公开效果，切实保障公众的知情权、参与权、表达权和监督权，让人民群众有更好的获得感、幸福感、安全感。</w:t>
      </w:r>
    </w:p>
    <w:p>
      <w:pPr>
        <w:numPr>
          <w:ilvl w:val="0"/>
          <w:numId w:val="1"/>
        </w:numPr>
        <w:spacing w:line="560" w:lineRule="exact"/>
        <w:ind w:firstLine="643" w:firstLineChars="200"/>
        <w:rPr>
          <w:rFonts w:ascii="黑体" w:hAnsi="黑体" w:eastAsia="黑体" w:cs="黑体"/>
          <w:sz w:val="32"/>
          <w:szCs w:val="32"/>
        </w:rPr>
      </w:pPr>
      <w:r>
        <w:rPr>
          <w:rFonts w:hint="eastAsia" w:ascii="黑体" w:hAnsi="黑体" w:eastAsia="黑体" w:cs="黑体"/>
          <w:b/>
          <w:sz w:val="32"/>
          <w:szCs w:val="32"/>
        </w:rPr>
        <w:t>加大政府信息公开推力。</w:t>
      </w:r>
    </w:p>
    <w:p>
      <w:pPr>
        <w:spacing w:line="56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sz w:val="32"/>
          <w:szCs w:val="32"/>
        </w:rPr>
        <w:t>1、加强组织领导。</w:t>
      </w:r>
      <w:r>
        <w:rPr>
          <w:rFonts w:hint="eastAsia" w:ascii="仿宋_GB2312" w:eastAsia="仿宋_GB2312"/>
          <w:sz w:val="32"/>
          <w:szCs w:val="32"/>
        </w:rPr>
        <w:t>年内县政府领导成员调整时继续明确</w:t>
      </w:r>
      <w:r>
        <w:rPr>
          <w:rFonts w:hint="eastAsia" w:ascii="仿宋_GB2312" w:hAnsi="仿宋_GB2312" w:eastAsia="仿宋_GB2312" w:cs="仿宋_GB2312"/>
          <w:sz w:val="32"/>
          <w:szCs w:val="32"/>
        </w:rPr>
        <w:t>县政府副县长分管政务公开工作。全县政务公开工作主管部门（县政府办公室）将推进政务公开列入本部门年度重点工作予以重点推动落实。</w:t>
      </w:r>
    </w:p>
    <w:p>
      <w:pPr>
        <w:spacing w:line="560" w:lineRule="exact"/>
        <w:ind w:firstLine="643" w:firstLineChars="200"/>
        <w:jc w:val="left"/>
        <w:rPr>
          <w:rFonts w:ascii="仿宋_GB2312" w:hAnsi="仿宋_GB2312" w:eastAsia="仿宋_GB2312" w:cs="仿宋_GB2312"/>
          <w:sz w:val="32"/>
          <w:szCs w:val="32"/>
        </w:rPr>
      </w:pPr>
      <w:r>
        <w:rPr>
          <w:rFonts w:hint="eastAsia" w:ascii="仿宋_GB2312" w:hAnsi="仿宋_GB2312" w:eastAsia="仿宋_GB2312" w:cs="仿宋_GB2312"/>
          <w:b/>
          <w:sz w:val="32"/>
          <w:szCs w:val="32"/>
        </w:rPr>
        <w:t>2、制定政府信息公开工作要点。</w:t>
      </w:r>
      <w:r>
        <w:rPr>
          <w:rFonts w:hint="eastAsia" w:ascii="仿宋_GB2312" w:hAnsi="仿宋_GB2312" w:eastAsia="仿宋_GB2312" w:cs="仿宋_GB2312"/>
          <w:sz w:val="32"/>
          <w:szCs w:val="32"/>
        </w:rPr>
        <w:t>印发了《沂源县人民政府办公室关于印发沂源县当前政务公开工作主要任务分解表的通知》和《沂源县人民政府办公室关于印发沂源县推进重大建设项目批准和实施、公共资源配置、社会公益事业建设领域政府信息公开实施方案的通知》，围绕重大部署、法治政府建设、重点领域信息公开、解读回应及公众参与、办事公开提升服务实效、政务公开制度化规范化建设、政府信息公开平台建设、组织保障等方面对政务公开工作进行部署安排，推动引领政务公开工作向纵深开展。</w:t>
      </w:r>
    </w:p>
    <w:p>
      <w:pPr>
        <w:spacing w:line="560" w:lineRule="exact"/>
        <w:ind w:firstLine="420" w:firstLineChars="200"/>
        <w:jc w:val="left"/>
        <w:rPr>
          <w:rFonts w:ascii="仿宋_GB2312" w:hAnsi="仿宋_GB2312" w:eastAsia="仿宋_GB2312" w:cs="仿宋_GB2312"/>
          <w:sz w:val="32"/>
          <w:szCs w:val="32"/>
        </w:rPr>
      </w:pPr>
      <w:r>
        <w:drawing>
          <wp:anchor distT="0" distB="0" distL="114300" distR="114300" simplePos="0" relativeHeight="251666432" behindDoc="1" locked="0" layoutInCell="1" allowOverlap="1">
            <wp:simplePos x="0" y="0"/>
            <wp:positionH relativeFrom="column">
              <wp:posOffset>-208280</wp:posOffset>
            </wp:positionH>
            <wp:positionV relativeFrom="page">
              <wp:posOffset>2639060</wp:posOffset>
            </wp:positionV>
            <wp:extent cx="5883910" cy="4015105"/>
            <wp:effectExtent l="9525" t="9525" r="0" b="13970"/>
            <wp:wrapTight wrapText="bothSides">
              <wp:wrapPolygon>
                <wp:start x="-35" y="-51"/>
                <wp:lineTo x="-35" y="21573"/>
                <wp:lineTo x="21574" y="21573"/>
                <wp:lineTo x="21574" y="-51"/>
                <wp:lineTo x="-35" y="-51"/>
              </wp:wrapPolygon>
            </wp:wrapTight>
            <wp:docPr id="3" name="图片 3"/>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9" cstate="print"/>
                    <a:stretch>
                      <a:fillRect/>
                    </a:stretch>
                  </pic:blipFill>
                  <pic:spPr>
                    <a:xfrm>
                      <a:off x="0" y="0"/>
                      <a:ext cx="5883910" cy="4015105"/>
                    </a:xfrm>
                    <a:prstGeom prst="rect">
                      <a:avLst/>
                    </a:prstGeom>
                    <a:noFill/>
                    <a:ln w="9525">
                      <a:solidFill>
                        <a:schemeClr val="tx1"/>
                      </a:solidFill>
                    </a:ln>
                  </pic:spPr>
                </pic:pic>
              </a:graphicData>
            </a:graphic>
          </wp:anchor>
        </w:drawing>
      </w:r>
      <w:r>
        <w:drawing>
          <wp:anchor distT="0" distB="0" distL="114300" distR="114300" simplePos="0" relativeHeight="251661312" behindDoc="1" locked="0" layoutInCell="1" allowOverlap="1">
            <wp:simplePos x="0" y="0"/>
            <wp:positionH relativeFrom="column">
              <wp:posOffset>-204470</wp:posOffset>
            </wp:positionH>
            <wp:positionV relativeFrom="page">
              <wp:posOffset>6715760</wp:posOffset>
            </wp:positionV>
            <wp:extent cx="5881370" cy="2891155"/>
            <wp:effectExtent l="9525" t="9525" r="0" b="13970"/>
            <wp:wrapTight wrapText="bothSides">
              <wp:wrapPolygon>
                <wp:start x="-35" y="-71"/>
                <wp:lineTo x="-35" y="21562"/>
                <wp:lineTo x="21584" y="21562"/>
                <wp:lineTo x="21584" y="-71"/>
                <wp:lineTo x="-35" y="-71"/>
              </wp:wrapPolygon>
            </wp:wrapTight>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 cstate="print"/>
                    <a:stretch>
                      <a:fillRect/>
                    </a:stretch>
                  </pic:blipFill>
                  <pic:spPr>
                    <a:xfrm>
                      <a:off x="0" y="0"/>
                      <a:ext cx="5881370" cy="2891155"/>
                    </a:xfrm>
                    <a:prstGeom prst="rect">
                      <a:avLst/>
                    </a:prstGeom>
                    <a:noFill/>
                    <a:ln w="9525">
                      <a:solidFill>
                        <a:schemeClr val="tx1"/>
                      </a:solidFill>
                    </a:ln>
                  </pic:spPr>
                </pic:pic>
              </a:graphicData>
            </a:graphic>
          </wp:anchor>
        </w:drawing>
      </w:r>
    </w:p>
    <w:p>
      <w:pPr>
        <w:numPr>
          <w:ilvl w:val="0"/>
          <w:numId w:val="2"/>
        </w:num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667456" behindDoc="1" locked="0" layoutInCell="1" allowOverlap="1">
            <wp:simplePos x="0" y="0"/>
            <wp:positionH relativeFrom="column">
              <wp:posOffset>47625</wp:posOffset>
            </wp:positionH>
            <wp:positionV relativeFrom="page">
              <wp:posOffset>2647950</wp:posOffset>
            </wp:positionV>
            <wp:extent cx="5536565" cy="2753995"/>
            <wp:effectExtent l="9525" t="9525" r="16510" b="17780"/>
            <wp:wrapTight wrapText="bothSides">
              <wp:wrapPolygon>
                <wp:start x="-37" y="-75"/>
                <wp:lineTo x="-37" y="21590"/>
                <wp:lineTo x="21590" y="21590"/>
                <wp:lineTo x="21590" y="-75"/>
                <wp:lineTo x="-37" y="-75"/>
              </wp:wrapPolygon>
            </wp:wrapTight>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1" cstate="print"/>
                    <a:stretch>
                      <a:fillRect/>
                    </a:stretch>
                  </pic:blipFill>
                  <pic:spPr>
                    <a:xfrm>
                      <a:off x="0" y="0"/>
                      <a:ext cx="5536565" cy="2753995"/>
                    </a:xfrm>
                    <a:prstGeom prst="rect">
                      <a:avLst/>
                    </a:prstGeom>
                    <a:noFill/>
                    <a:ln w="9525">
                      <a:solidFill>
                        <a:schemeClr val="tx1"/>
                      </a:solidFill>
                    </a:ln>
                  </pic:spPr>
                </pic:pic>
              </a:graphicData>
            </a:graphic>
          </wp:anchor>
        </w:drawing>
      </w:r>
      <w:r>
        <w:rPr>
          <w:rFonts w:hint="eastAsia" w:ascii="仿宋_GB2312" w:hAnsi="仿宋_GB2312" w:eastAsia="仿宋_GB2312" w:cs="仿宋_GB2312"/>
          <w:b/>
          <w:sz w:val="32"/>
          <w:szCs w:val="32"/>
        </w:rPr>
        <w:t>纳入综合考核。</w:t>
      </w:r>
      <w:r>
        <w:rPr>
          <w:rFonts w:hint="eastAsia" w:ascii="仿宋_GB2312" w:hAnsi="仿宋_GB2312" w:eastAsia="仿宋_GB2312" w:cs="仿宋_GB2312"/>
          <w:sz w:val="32"/>
          <w:szCs w:val="32"/>
        </w:rPr>
        <w:t>2018年我县将政务公开工作纳入全县经济社会发展综合考核，推动各公开主体将公开工作与其他业务工作同等重视，同步推进。10个镇、2个街道办、经济开发区及63个县直部门、单位列入考核范围。</w:t>
      </w:r>
    </w:p>
    <w:p>
      <w:pPr>
        <w:spacing w:line="56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sz w:val="32"/>
          <w:szCs w:val="32"/>
        </w:rPr>
        <w:drawing>
          <wp:anchor distT="0" distB="0" distL="114300" distR="114300" simplePos="0" relativeHeight="251668480" behindDoc="1" locked="0" layoutInCell="1" allowOverlap="1">
            <wp:simplePos x="0" y="0"/>
            <wp:positionH relativeFrom="column">
              <wp:posOffset>28575</wp:posOffset>
            </wp:positionH>
            <wp:positionV relativeFrom="page">
              <wp:posOffset>7048500</wp:posOffset>
            </wp:positionV>
            <wp:extent cx="5544185" cy="2428240"/>
            <wp:effectExtent l="9525" t="9525" r="27940" b="19685"/>
            <wp:wrapTight wrapText="bothSides">
              <wp:wrapPolygon>
                <wp:start x="-37" y="-85"/>
                <wp:lineTo x="-37" y="21436"/>
                <wp:lineTo x="21560" y="21436"/>
                <wp:lineTo x="21560" y="-85"/>
                <wp:lineTo x="-37" y="-85"/>
              </wp:wrapPolygon>
            </wp:wrapTight>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2" cstate="print"/>
                    <a:stretch>
                      <a:fillRect/>
                    </a:stretch>
                  </pic:blipFill>
                  <pic:spPr>
                    <a:xfrm>
                      <a:off x="0" y="0"/>
                      <a:ext cx="5544185" cy="2428240"/>
                    </a:xfrm>
                    <a:prstGeom prst="rect">
                      <a:avLst/>
                    </a:prstGeom>
                    <a:noFill/>
                    <a:ln w="9525">
                      <a:solidFill>
                        <a:schemeClr val="tx1"/>
                      </a:solidFill>
                    </a:ln>
                  </pic:spPr>
                </pic:pic>
              </a:graphicData>
            </a:graphic>
          </wp:anchor>
        </w:drawing>
      </w:r>
      <w:r>
        <w:rPr>
          <w:rFonts w:hint="eastAsia" w:ascii="仿宋_GB2312" w:hAnsi="仿宋_GB2312" w:eastAsia="仿宋_GB2312" w:cs="仿宋_GB2312"/>
          <w:b/>
          <w:sz w:val="32"/>
          <w:szCs w:val="32"/>
        </w:rPr>
        <w:t>4、加强政务公开培训。</w:t>
      </w:r>
      <w:r>
        <w:rPr>
          <w:rFonts w:hint="eastAsia" w:ascii="仿宋_GB2312" w:hAnsi="仿宋_GB2312" w:eastAsia="仿宋_GB2312" w:cs="仿宋_GB2312"/>
          <w:sz w:val="32"/>
          <w:szCs w:val="32"/>
        </w:rPr>
        <w:t>为提高全县政务公开工作水平，采用灵活多样的培训形式开展业务培训，12月份组织举办全县政务公开工作培训班，各镇、街道办、经济开发区和63个部门、单位接受培训。各部门、单位也都开展了不同形式的培训工作，全县政务公开工作人员的业务能力得到提升。</w:t>
      </w:r>
    </w:p>
    <w:p>
      <w:pPr>
        <w:numPr>
          <w:ilvl w:val="0"/>
          <w:numId w:val="1"/>
        </w:numPr>
        <w:spacing w:line="560" w:lineRule="exact"/>
        <w:ind w:firstLine="643" w:firstLineChars="200"/>
        <w:rPr>
          <w:rFonts w:ascii="黑体" w:hAnsi="黑体" w:eastAsia="黑体" w:cs="黑体"/>
          <w:b/>
          <w:sz w:val="32"/>
          <w:szCs w:val="32"/>
        </w:rPr>
      </w:pPr>
      <w:r>
        <w:rPr>
          <w:rFonts w:hint="eastAsia" w:ascii="黑体" w:hAnsi="黑体" w:eastAsia="黑体" w:cs="黑体"/>
          <w:b/>
          <w:sz w:val="32"/>
          <w:szCs w:val="32"/>
        </w:rPr>
        <w:t>拓宽政府信息公开渠道。</w:t>
      </w:r>
    </w:p>
    <w:p>
      <w:pPr>
        <w:numPr>
          <w:ilvl w:val="0"/>
          <w:numId w:val="3"/>
        </w:numPr>
        <w:spacing w:line="56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sz w:val="32"/>
          <w:szCs w:val="32"/>
        </w:rPr>
        <w:t>加强政府网站建设。</w:t>
      </w:r>
      <w:r>
        <w:rPr>
          <w:rFonts w:hint="eastAsia" w:ascii="仿宋_GB2312" w:hAnsi="仿宋_GB2312" w:eastAsia="仿宋_GB2312" w:cs="仿宋_GB2312"/>
          <w:sz w:val="32"/>
          <w:szCs w:val="32"/>
        </w:rPr>
        <w:t>按照市政府对全市政府网站集约化整合的要求，将各镇办、经济开发区和63个部门、单位网站整合到沂源县人民政府网站。</w:t>
      </w:r>
    </w:p>
    <w:p>
      <w:pPr>
        <w:spacing w:line="560" w:lineRule="exact"/>
        <w:rPr>
          <w:rFonts w:ascii="仿宋_GB2312" w:hAnsi="仿宋_GB2312" w:eastAsia="仿宋_GB2312" w:cs="仿宋_GB2312"/>
          <w:sz w:val="32"/>
          <w:szCs w:val="32"/>
        </w:rPr>
      </w:pPr>
      <w:r>
        <w:drawing>
          <wp:anchor distT="0" distB="0" distL="114300" distR="114300" simplePos="0" relativeHeight="251669504" behindDoc="1" locked="0" layoutInCell="1" allowOverlap="1">
            <wp:simplePos x="0" y="0"/>
            <wp:positionH relativeFrom="column">
              <wp:posOffset>38100</wp:posOffset>
            </wp:positionH>
            <wp:positionV relativeFrom="page">
              <wp:posOffset>3181350</wp:posOffset>
            </wp:positionV>
            <wp:extent cx="5537200" cy="2747010"/>
            <wp:effectExtent l="9525" t="9525" r="15875" b="24765"/>
            <wp:wrapTight wrapText="bothSides">
              <wp:wrapPolygon>
                <wp:start x="-37" y="-75"/>
                <wp:lineTo x="-37" y="21495"/>
                <wp:lineTo x="21588" y="21495"/>
                <wp:lineTo x="21588" y="-75"/>
                <wp:lineTo x="-37" y="-75"/>
              </wp:wrapPolygon>
            </wp:wrapTight>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3" cstate="print"/>
                    <a:stretch>
                      <a:fillRect/>
                    </a:stretch>
                  </pic:blipFill>
                  <pic:spPr>
                    <a:xfrm>
                      <a:off x="0" y="0"/>
                      <a:ext cx="5537200" cy="2747010"/>
                    </a:xfrm>
                    <a:prstGeom prst="rect">
                      <a:avLst/>
                    </a:prstGeom>
                    <a:noFill/>
                    <a:ln w="9525">
                      <a:solidFill>
                        <a:schemeClr val="tx1"/>
                      </a:solidFill>
                    </a:ln>
                  </pic:spPr>
                </pic:pic>
              </a:graphicData>
            </a:graphic>
          </wp:anchor>
        </w:drawing>
      </w:r>
    </w:p>
    <w:p>
      <w:pPr>
        <w:numPr>
          <w:ilvl w:val="0"/>
          <w:numId w:val="3"/>
        </w:num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670528" behindDoc="1" locked="0" layoutInCell="1" allowOverlap="1">
            <wp:simplePos x="0" y="0"/>
            <wp:positionH relativeFrom="column">
              <wp:posOffset>9525</wp:posOffset>
            </wp:positionH>
            <wp:positionV relativeFrom="page">
              <wp:posOffset>7146290</wp:posOffset>
            </wp:positionV>
            <wp:extent cx="5537835" cy="2444115"/>
            <wp:effectExtent l="9525" t="9525" r="15240" b="22860"/>
            <wp:wrapTight wrapText="bothSides">
              <wp:wrapPolygon>
                <wp:start x="-37" y="-84"/>
                <wp:lineTo x="-37" y="21465"/>
                <wp:lineTo x="21585" y="21465"/>
                <wp:lineTo x="21585" y="-84"/>
                <wp:lineTo x="-37" y="-84"/>
              </wp:wrapPolygon>
            </wp:wrapTight>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4" cstate="print"/>
                    <a:stretch>
                      <a:fillRect/>
                    </a:stretch>
                  </pic:blipFill>
                  <pic:spPr>
                    <a:xfrm>
                      <a:off x="0" y="0"/>
                      <a:ext cx="5537835" cy="2444115"/>
                    </a:xfrm>
                    <a:prstGeom prst="rect">
                      <a:avLst/>
                    </a:prstGeom>
                    <a:noFill/>
                    <a:ln w="9525">
                      <a:solidFill>
                        <a:schemeClr val="tx1"/>
                      </a:solidFill>
                    </a:ln>
                  </pic:spPr>
                </pic:pic>
              </a:graphicData>
            </a:graphic>
          </wp:anchor>
        </w:drawing>
      </w:r>
      <w:r>
        <w:rPr>
          <w:rFonts w:hint="eastAsia" w:ascii="仿宋_GB2312" w:hAnsi="仿宋_GB2312" w:eastAsia="仿宋_GB2312" w:cs="仿宋_GB2312"/>
          <w:b/>
          <w:sz w:val="32"/>
          <w:szCs w:val="32"/>
        </w:rPr>
        <w:t>加强新媒体应用。</w:t>
      </w:r>
      <w:r>
        <w:rPr>
          <w:rFonts w:hint="eastAsia" w:ascii="仿宋_GB2312" w:hAnsi="仿宋_GB2312" w:eastAsia="仿宋_GB2312" w:cs="仿宋_GB2312"/>
          <w:sz w:val="32"/>
          <w:szCs w:val="32"/>
        </w:rPr>
        <w:t>积极加强新媒体应用管理工作，全县20余个部门开通了政务微博、政务微信。“掌上沂源”微信公众号成为本县重要的信息公开载体。</w:t>
      </w:r>
    </w:p>
    <w:p>
      <w:pPr>
        <w:numPr>
          <w:ilvl w:val="0"/>
          <w:numId w:val="3"/>
        </w:numPr>
        <w:spacing w:line="56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sz w:val="32"/>
          <w:szCs w:val="32"/>
        </w:rPr>
        <w:t>出版发行政府公报。</w:t>
      </w:r>
      <w:r>
        <w:rPr>
          <w:rFonts w:hint="eastAsia" w:ascii="仿宋_GB2312" w:hAnsi="仿宋_GB2312" w:eastAsia="仿宋_GB2312" w:cs="仿宋_GB2312"/>
          <w:sz w:val="32"/>
          <w:szCs w:val="32"/>
        </w:rPr>
        <w:t>年内出版《沂源县人民政府公报》5期，发行500余份，覆盖全县各级党政机关、企事业单位、学校医院和居民社区。</w:t>
      </w:r>
    </w:p>
    <w:p>
      <w:p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671552" behindDoc="1" locked="0" layoutInCell="1" allowOverlap="1">
            <wp:simplePos x="0" y="0"/>
            <wp:positionH relativeFrom="column">
              <wp:posOffset>52070</wp:posOffset>
            </wp:positionH>
            <wp:positionV relativeFrom="page">
              <wp:posOffset>2099310</wp:posOffset>
            </wp:positionV>
            <wp:extent cx="5645150" cy="2531745"/>
            <wp:effectExtent l="9525" t="9525" r="60325" b="11430"/>
            <wp:wrapTight wrapText="bothSides">
              <wp:wrapPolygon>
                <wp:start x="-36" y="-81"/>
                <wp:lineTo x="-36" y="21535"/>
                <wp:lineTo x="21539" y="21535"/>
                <wp:lineTo x="21539" y="-81"/>
                <wp:lineTo x="-36" y="-81"/>
              </wp:wrapPolygon>
            </wp:wrapTight>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5" cstate="print"/>
                    <a:srcRect r="1822"/>
                    <a:stretch>
                      <a:fillRect/>
                    </a:stretch>
                  </pic:blipFill>
                  <pic:spPr>
                    <a:xfrm>
                      <a:off x="0" y="0"/>
                      <a:ext cx="5645150" cy="2531745"/>
                    </a:xfrm>
                    <a:prstGeom prst="rect">
                      <a:avLst/>
                    </a:prstGeom>
                    <a:noFill/>
                    <a:ln w="9525">
                      <a:solidFill>
                        <a:schemeClr val="tx1"/>
                      </a:solidFill>
                    </a:ln>
                  </pic:spPr>
                </pic:pic>
              </a:graphicData>
            </a:graphic>
          </wp:anchor>
        </w:drawing>
      </w:r>
      <w:r>
        <w:rPr>
          <w:rFonts w:hint="eastAsia" w:ascii="仿宋_GB2312" w:hAnsi="仿宋_GB2312" w:eastAsia="仿宋_GB2312" w:cs="仿宋_GB2312"/>
          <w:b/>
          <w:sz w:val="32"/>
          <w:szCs w:val="32"/>
        </w:rPr>
        <w:t>4、加强信息查阅点建设。</w:t>
      </w:r>
      <w:r>
        <w:rPr>
          <w:rFonts w:hint="eastAsia" w:ascii="仿宋_GB2312" w:hAnsi="仿宋_GB2312" w:eastAsia="仿宋_GB2312" w:cs="仿宋_GB2312"/>
          <w:sz w:val="32"/>
          <w:szCs w:val="32"/>
        </w:rPr>
        <w:t>在图书馆、档案馆、政务服务大厅均设置了政府信息查阅点。全县设立了信息查阅点16个。</w:t>
      </w:r>
    </w:p>
    <w:p>
      <w:p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686912" behindDoc="1" locked="0" layoutInCell="1" allowOverlap="1">
            <wp:simplePos x="0" y="0"/>
            <wp:positionH relativeFrom="column">
              <wp:posOffset>0</wp:posOffset>
            </wp:positionH>
            <wp:positionV relativeFrom="page">
              <wp:posOffset>6835140</wp:posOffset>
            </wp:positionV>
            <wp:extent cx="5533390" cy="2460625"/>
            <wp:effectExtent l="9525" t="9525" r="19685" b="25400"/>
            <wp:wrapTight wrapText="bothSides">
              <wp:wrapPolygon>
                <wp:start x="-37" y="-84"/>
                <wp:lineTo x="-37" y="21489"/>
                <wp:lineTo x="21528" y="21489"/>
                <wp:lineTo x="21528" y="-84"/>
                <wp:lineTo x="-37" y="-84"/>
              </wp:wrapPolygon>
            </wp:wrapTight>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6" cstate="print"/>
                    <a:stretch>
                      <a:fillRect/>
                    </a:stretch>
                  </pic:blipFill>
                  <pic:spPr>
                    <a:xfrm>
                      <a:off x="0" y="0"/>
                      <a:ext cx="5533390" cy="2460625"/>
                    </a:xfrm>
                    <a:prstGeom prst="rect">
                      <a:avLst/>
                    </a:prstGeom>
                    <a:noFill/>
                    <a:ln w="9525">
                      <a:solidFill>
                        <a:schemeClr val="tx1"/>
                      </a:solidFill>
                    </a:ln>
                  </pic:spPr>
                </pic:pic>
              </a:graphicData>
            </a:graphic>
          </wp:anchor>
        </w:drawing>
      </w:r>
      <w:r>
        <w:rPr>
          <w:rFonts w:hint="eastAsia" w:ascii="仿宋_GB2312" w:hAnsi="仿宋_GB2312" w:eastAsia="仿宋_GB2312" w:cs="仿宋_GB2312"/>
          <w:b/>
          <w:sz w:val="32"/>
          <w:szCs w:val="32"/>
        </w:rPr>
        <w:t>5、充分发挥新闻媒体作用。</w:t>
      </w:r>
      <w:r>
        <w:rPr>
          <w:rFonts w:hint="eastAsia" w:ascii="仿宋_GB2312" w:hAnsi="仿宋_GB2312" w:eastAsia="仿宋_GB2312" w:cs="仿宋_GB2312"/>
          <w:sz w:val="32"/>
          <w:szCs w:val="32"/>
        </w:rPr>
        <w:t>各部门、单位主要负责人每周六周日走进沂源县电台《政风行风热线》直播间，解答群众疑问，发布权威信息，全年共播出节目50余场。</w:t>
      </w:r>
    </w:p>
    <w:p>
      <w:pPr>
        <w:spacing w:line="560" w:lineRule="exact"/>
        <w:ind w:firstLine="643" w:firstLineChars="200"/>
        <w:rPr>
          <w:rFonts w:ascii="方正小标宋简体" w:hAnsi="方正小标宋简体" w:eastAsia="方正小标宋简体" w:cs="方正小标宋简体"/>
          <w:b/>
          <w:sz w:val="32"/>
          <w:szCs w:val="32"/>
        </w:rPr>
      </w:pPr>
      <w:r>
        <w:rPr>
          <w:rFonts w:hint="eastAsia" w:ascii="方正小标宋简体" w:hAnsi="方正小标宋简体" w:eastAsia="方正小标宋简体" w:cs="方正小标宋简体"/>
          <w:b/>
          <w:sz w:val="32"/>
          <w:szCs w:val="32"/>
        </w:rPr>
        <w:t>（三）增强政府信息公开实效。</w:t>
      </w:r>
    </w:p>
    <w:p>
      <w:pPr>
        <w:spacing w:line="56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sz w:val="32"/>
          <w:szCs w:val="32"/>
        </w:rPr>
        <w:t>1、梳理重建政务公开目录。</w:t>
      </w:r>
      <w:r>
        <w:rPr>
          <w:rFonts w:hint="eastAsia" w:ascii="仿宋_GB2312" w:hAnsi="仿宋_GB2312" w:eastAsia="仿宋_GB2312" w:cs="仿宋_GB2312"/>
          <w:sz w:val="32"/>
          <w:szCs w:val="32"/>
        </w:rPr>
        <w:t>按照有关法规和文件要求，全面梳理重建了县级政务公开目录，公开内容大为扩宽，查询检索更加便捷。</w:t>
      </w:r>
    </w:p>
    <w:p>
      <w:p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687936" behindDoc="1" locked="0" layoutInCell="1" allowOverlap="1">
            <wp:simplePos x="0" y="0"/>
            <wp:positionH relativeFrom="column">
              <wp:posOffset>19685</wp:posOffset>
            </wp:positionH>
            <wp:positionV relativeFrom="page">
              <wp:posOffset>2105025</wp:posOffset>
            </wp:positionV>
            <wp:extent cx="5648960" cy="2610485"/>
            <wp:effectExtent l="9525" t="9525" r="18415" b="27940"/>
            <wp:wrapTight wrapText="bothSides">
              <wp:wrapPolygon>
                <wp:start x="-36" y="-79"/>
                <wp:lineTo x="-36" y="21516"/>
                <wp:lineTo x="21598" y="21516"/>
                <wp:lineTo x="21598" y="-79"/>
                <wp:lineTo x="-36" y="-79"/>
              </wp:wrapPolygon>
            </wp:wrapTight>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7" cstate="print"/>
                    <a:stretch>
                      <a:fillRect/>
                    </a:stretch>
                  </pic:blipFill>
                  <pic:spPr>
                    <a:xfrm>
                      <a:off x="0" y="0"/>
                      <a:ext cx="5648960" cy="2610485"/>
                    </a:xfrm>
                    <a:prstGeom prst="rect">
                      <a:avLst/>
                    </a:prstGeom>
                    <a:noFill/>
                    <a:ln w="9525">
                      <a:solidFill>
                        <a:schemeClr val="tx1"/>
                      </a:solidFill>
                    </a:ln>
                  </pic:spPr>
                </pic:pic>
              </a:graphicData>
            </a:graphic>
          </wp:anchor>
        </w:drawing>
      </w:r>
      <w:r>
        <w:rPr>
          <w:rFonts w:hint="eastAsia" w:ascii="仿宋_GB2312" w:hAnsi="仿宋_GB2312" w:eastAsia="仿宋_GB2312" w:cs="仿宋_GB2312"/>
          <w:b/>
          <w:sz w:val="32"/>
          <w:szCs w:val="32"/>
        </w:rPr>
        <w:t>2、落实信息发布责任。</w:t>
      </w:r>
      <w:r>
        <w:rPr>
          <w:rFonts w:hint="eastAsia" w:ascii="仿宋_GB2312" w:hAnsi="仿宋_GB2312" w:eastAsia="仿宋_GB2312" w:cs="仿宋_GB2312"/>
          <w:sz w:val="32"/>
          <w:szCs w:val="32"/>
        </w:rPr>
        <w:t>对照新版目录编制完成《沂源县人民政府网站内容保障方案》，明确了各单位负责保障的板块、信息发布内容和时限要求，公开时效得到进一步提升。</w:t>
      </w:r>
    </w:p>
    <w:p>
      <w:p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688960" behindDoc="1" locked="0" layoutInCell="1" allowOverlap="1">
            <wp:simplePos x="0" y="0"/>
            <wp:positionH relativeFrom="column">
              <wp:posOffset>-85725</wp:posOffset>
            </wp:positionH>
            <wp:positionV relativeFrom="page">
              <wp:posOffset>5924550</wp:posOffset>
            </wp:positionV>
            <wp:extent cx="5718175" cy="2640965"/>
            <wp:effectExtent l="9525" t="9525" r="25400" b="16510"/>
            <wp:wrapTight wrapText="bothSides">
              <wp:wrapPolygon>
                <wp:start x="-36" y="-78"/>
                <wp:lineTo x="-36" y="21579"/>
                <wp:lineTo x="21552" y="21579"/>
                <wp:lineTo x="21552" y="-78"/>
                <wp:lineTo x="-36" y="-78"/>
              </wp:wrapPolygon>
            </wp:wrapTight>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8" cstate="print"/>
                    <a:stretch>
                      <a:fillRect/>
                    </a:stretch>
                  </pic:blipFill>
                  <pic:spPr>
                    <a:xfrm>
                      <a:off x="0" y="0"/>
                      <a:ext cx="5718175" cy="2640965"/>
                    </a:xfrm>
                    <a:prstGeom prst="rect">
                      <a:avLst/>
                    </a:prstGeom>
                    <a:noFill/>
                    <a:ln w="9525">
                      <a:solidFill>
                        <a:schemeClr val="tx1"/>
                      </a:solidFill>
                    </a:ln>
                  </pic:spPr>
                </pic:pic>
              </a:graphicData>
            </a:graphic>
          </wp:anchor>
        </w:drawing>
      </w:r>
      <w:r>
        <w:rPr>
          <w:rFonts w:hint="eastAsia" w:ascii="仿宋_GB2312" w:hAnsi="仿宋_GB2312" w:eastAsia="仿宋_GB2312" w:cs="仿宋_GB2312"/>
          <w:b/>
          <w:sz w:val="32"/>
          <w:szCs w:val="32"/>
        </w:rPr>
        <w:t>3、加强政府会议公开。</w:t>
      </w:r>
      <w:r>
        <w:rPr>
          <w:rFonts w:hint="eastAsia" w:ascii="仿宋_GB2312" w:hAnsi="仿宋_GB2312" w:eastAsia="仿宋_GB2312" w:cs="仿宋_GB2312"/>
          <w:sz w:val="32"/>
          <w:szCs w:val="32"/>
        </w:rPr>
        <w:t>在县政府门户网站设置专栏，对县政府常务会议议定事项予以及时公开。</w:t>
      </w:r>
    </w:p>
    <w:p>
      <w:p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689984" behindDoc="1" locked="0" layoutInCell="1" allowOverlap="1">
            <wp:simplePos x="0" y="0"/>
            <wp:positionH relativeFrom="column">
              <wp:posOffset>43815</wp:posOffset>
            </wp:positionH>
            <wp:positionV relativeFrom="page">
              <wp:posOffset>1087120</wp:posOffset>
            </wp:positionV>
            <wp:extent cx="5553075" cy="2104390"/>
            <wp:effectExtent l="9525" t="9525" r="19050" b="19685"/>
            <wp:wrapTight wrapText="bothSides">
              <wp:wrapPolygon>
                <wp:start x="-37" y="-98"/>
                <wp:lineTo x="-37" y="21411"/>
                <wp:lineTo x="21600" y="21411"/>
                <wp:lineTo x="21600" y="-98"/>
                <wp:lineTo x="-37" y="-98"/>
              </wp:wrapPolygon>
            </wp:wrapTight>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9" cstate="print"/>
                    <a:stretch>
                      <a:fillRect/>
                    </a:stretch>
                  </pic:blipFill>
                  <pic:spPr>
                    <a:xfrm>
                      <a:off x="0" y="0"/>
                      <a:ext cx="5553075" cy="2104390"/>
                    </a:xfrm>
                    <a:prstGeom prst="rect">
                      <a:avLst/>
                    </a:prstGeom>
                    <a:noFill/>
                    <a:ln w="9525">
                      <a:solidFill>
                        <a:schemeClr val="tx1"/>
                      </a:solidFill>
                    </a:ln>
                  </pic:spPr>
                </pic:pic>
              </a:graphicData>
            </a:graphic>
          </wp:anchor>
        </w:drawing>
      </w:r>
      <w:r>
        <w:drawing>
          <wp:anchor distT="0" distB="0" distL="114300" distR="114300" simplePos="0" relativeHeight="251691008" behindDoc="1" locked="0" layoutInCell="1" allowOverlap="1">
            <wp:simplePos x="0" y="0"/>
            <wp:positionH relativeFrom="column">
              <wp:posOffset>38100</wp:posOffset>
            </wp:positionH>
            <wp:positionV relativeFrom="page">
              <wp:posOffset>6353175</wp:posOffset>
            </wp:positionV>
            <wp:extent cx="5530215" cy="2729230"/>
            <wp:effectExtent l="9525" t="9525" r="22860" b="23495"/>
            <wp:wrapTight wrapText="bothSides">
              <wp:wrapPolygon>
                <wp:start x="-37" y="-75"/>
                <wp:lineTo x="-37" y="21484"/>
                <wp:lineTo x="21540" y="21484"/>
                <wp:lineTo x="21540" y="-75"/>
                <wp:lineTo x="-37" y="-75"/>
              </wp:wrapPolygon>
            </wp:wrapTight>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0" cstate="print"/>
                    <a:stretch>
                      <a:fillRect/>
                    </a:stretch>
                  </pic:blipFill>
                  <pic:spPr>
                    <a:xfrm>
                      <a:off x="0" y="0"/>
                      <a:ext cx="5530215" cy="2729230"/>
                    </a:xfrm>
                    <a:prstGeom prst="rect">
                      <a:avLst/>
                    </a:prstGeom>
                    <a:noFill/>
                    <a:ln w="9525">
                      <a:solidFill>
                        <a:schemeClr val="tx1"/>
                      </a:solidFill>
                    </a:ln>
                  </pic:spPr>
                </pic:pic>
              </a:graphicData>
            </a:graphic>
          </wp:anchor>
        </w:drawing>
      </w:r>
      <w:r>
        <w:rPr>
          <w:rFonts w:hint="eastAsia" w:ascii="仿宋_GB2312" w:hAnsi="仿宋_GB2312" w:eastAsia="仿宋_GB2312" w:cs="仿宋_GB2312"/>
          <w:b/>
          <w:sz w:val="32"/>
          <w:szCs w:val="32"/>
        </w:rPr>
        <w:t>4、加强解读回应。</w:t>
      </w:r>
      <w:r>
        <w:rPr>
          <w:rFonts w:hint="eastAsia" w:ascii="仿宋_GB2312" w:hAnsi="仿宋_GB2312" w:eastAsia="仿宋_GB2312" w:cs="仿宋_GB2312"/>
          <w:sz w:val="32"/>
          <w:szCs w:val="32"/>
        </w:rPr>
        <w:t>认真做好政策解读，深入推进政策文件与解读“三同步”，通过在政府网站发布解读材料、接受媒体采访及在媒体发稿件等多种形式，对县政府出台的重大政策文件的背景、内容、执行口径等进行全面解读说明。同时，对网站的政策文件和解读内容进行了相互链接，方便群众阅读。认真做好舆情回应。认真回应群众关切，县政务服务热线共受理市民投诉建议20281件，其中咨询类5841件，投诉类13847件，建议表扬求助类593件。</w:t>
      </w:r>
    </w:p>
    <w:p>
      <w:pPr>
        <w:spacing w:line="56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sz w:val="32"/>
          <w:szCs w:val="32"/>
        </w:rPr>
        <w:t>5、积极开展民生意见建议征集。</w:t>
      </w:r>
      <w:r>
        <w:rPr>
          <w:rFonts w:hint="eastAsia" w:ascii="仿宋_GB2312" w:hAnsi="仿宋_GB2312" w:eastAsia="仿宋_GB2312" w:cs="仿宋_GB2312"/>
          <w:sz w:val="32"/>
          <w:szCs w:val="32"/>
        </w:rPr>
        <w:t>县政府出台的重大政策文</w:t>
      </w:r>
      <w:r>
        <w:drawing>
          <wp:anchor distT="0" distB="0" distL="114300" distR="114300" simplePos="0" relativeHeight="251692032" behindDoc="1" locked="0" layoutInCell="1" allowOverlap="1">
            <wp:simplePos x="0" y="0"/>
            <wp:positionH relativeFrom="column">
              <wp:posOffset>0</wp:posOffset>
            </wp:positionH>
            <wp:positionV relativeFrom="page">
              <wp:posOffset>1717675</wp:posOffset>
            </wp:positionV>
            <wp:extent cx="5533390" cy="2574925"/>
            <wp:effectExtent l="9525" t="9525" r="19685" b="25400"/>
            <wp:wrapTight wrapText="bothSides">
              <wp:wrapPolygon>
                <wp:start x="-37" y="-80"/>
                <wp:lineTo x="-37" y="21493"/>
                <wp:lineTo x="21528" y="21493"/>
                <wp:lineTo x="21528" y="-80"/>
                <wp:lineTo x="-37" y="-80"/>
              </wp:wrapPolygon>
            </wp:wrapTight>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1" cstate="print"/>
                    <a:stretch>
                      <a:fillRect/>
                    </a:stretch>
                  </pic:blipFill>
                  <pic:spPr>
                    <a:xfrm>
                      <a:off x="0" y="0"/>
                      <a:ext cx="5533390" cy="2574925"/>
                    </a:xfrm>
                    <a:prstGeom prst="rect">
                      <a:avLst/>
                    </a:prstGeom>
                    <a:noFill/>
                    <a:ln w="9525">
                      <a:solidFill>
                        <a:schemeClr val="tx1"/>
                      </a:solidFill>
                    </a:ln>
                  </pic:spPr>
                </pic:pic>
              </a:graphicData>
            </a:graphic>
          </wp:anchor>
        </w:drawing>
      </w:r>
      <w:r>
        <w:rPr>
          <w:rFonts w:hint="eastAsia" w:ascii="仿宋_GB2312" w:hAnsi="仿宋_GB2312" w:eastAsia="仿宋_GB2312" w:cs="仿宋_GB2312"/>
          <w:sz w:val="32"/>
          <w:szCs w:val="32"/>
        </w:rPr>
        <w:t>件通过网络、召开征求意见会、发放征求意见表等形式，广泛收集市民意见建议。</w:t>
      </w:r>
    </w:p>
    <w:p>
      <w:p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693056" behindDoc="1" locked="0" layoutInCell="1" allowOverlap="1">
            <wp:simplePos x="0" y="0"/>
            <wp:positionH relativeFrom="column">
              <wp:posOffset>38100</wp:posOffset>
            </wp:positionH>
            <wp:positionV relativeFrom="page">
              <wp:posOffset>6152515</wp:posOffset>
            </wp:positionV>
            <wp:extent cx="5533390" cy="1766570"/>
            <wp:effectExtent l="9525" t="9525" r="19685" b="14605"/>
            <wp:wrapTight wrapText="bothSides">
              <wp:wrapPolygon>
                <wp:start x="-37" y="-116"/>
                <wp:lineTo x="-37" y="21546"/>
                <wp:lineTo x="21528" y="21546"/>
                <wp:lineTo x="21528" y="-116"/>
                <wp:lineTo x="-37" y="-116"/>
              </wp:wrapPolygon>
            </wp:wrapTight>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2" cstate="print"/>
                    <a:stretch>
                      <a:fillRect/>
                    </a:stretch>
                  </pic:blipFill>
                  <pic:spPr>
                    <a:xfrm>
                      <a:off x="0" y="0"/>
                      <a:ext cx="5533390" cy="1766570"/>
                    </a:xfrm>
                    <a:prstGeom prst="rect">
                      <a:avLst/>
                    </a:prstGeom>
                    <a:noFill/>
                    <a:ln w="9525">
                      <a:solidFill>
                        <a:schemeClr val="tx1"/>
                      </a:solidFill>
                    </a:ln>
                  </pic:spPr>
                </pic:pic>
              </a:graphicData>
            </a:graphic>
          </wp:anchor>
        </w:drawing>
      </w:r>
      <w:r>
        <w:rPr>
          <w:rFonts w:hint="eastAsia" w:ascii="仿宋_GB2312" w:hAnsi="仿宋_GB2312" w:eastAsia="仿宋_GB2312" w:cs="仿宋_GB2312"/>
          <w:b/>
          <w:sz w:val="32"/>
          <w:szCs w:val="32"/>
        </w:rPr>
        <w:t>6、强化重大行政决策预公开。</w:t>
      </w:r>
      <w:r>
        <w:rPr>
          <w:rFonts w:hint="eastAsia" w:ascii="仿宋_GB2312" w:hAnsi="仿宋_GB2312" w:eastAsia="仿宋_GB2312" w:cs="仿宋_GB2312"/>
          <w:sz w:val="32"/>
          <w:szCs w:val="32"/>
        </w:rPr>
        <w:t>在县政府门户网站设置重大行政决策栏目，向社会公开重大行政决策程序规定、当年重大决策事项目录、决策事项草案，公众可对决策事项提出意见，参与决策过程。</w:t>
      </w:r>
    </w:p>
    <w:p>
      <w:pPr>
        <w:wordWrap w:val="0"/>
        <w:spacing w:line="560" w:lineRule="exact"/>
        <w:ind w:firstLine="643" w:firstLineChars="200"/>
        <w:jc w:val="left"/>
        <w:rPr>
          <w:rFonts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二、主动公开政府信息情况　　</w:t>
      </w:r>
    </w:p>
    <w:p>
      <w:pPr>
        <w:pStyle w:val="8"/>
        <w:shd w:val="clear" w:color="auto" w:fill="FFFFFF"/>
        <w:spacing w:before="0" w:beforeAutospacing="0" w:after="0" w:afterAutospacing="0" w:line="560" w:lineRule="exact"/>
        <w:ind w:firstLine="645"/>
        <w:rPr>
          <w:rFonts w:ascii="仿宋_GB2312" w:hAnsi="仿宋_GB2312" w:eastAsia="仿宋_GB2312" w:cs="仿宋_GB2312"/>
          <w:kern w:val="2"/>
          <w:sz w:val="32"/>
          <w:szCs w:val="32"/>
        </w:rPr>
      </w:pPr>
      <w:r>
        <w:rPr>
          <w:rFonts w:hint="eastAsia" w:ascii="黑体" w:hAnsi="黑体" w:eastAsia="黑体" w:cs="黑体"/>
          <w:b/>
          <w:sz w:val="32"/>
          <w:szCs w:val="32"/>
        </w:rPr>
        <w:t>（一）主动公开政府信息数量。</w:t>
      </w:r>
      <w:r>
        <w:rPr>
          <w:rFonts w:hint="eastAsia" w:ascii="仿宋_GB2312" w:hAnsi="仿宋_GB2312" w:eastAsia="仿宋_GB2312" w:cs="仿宋_GB2312"/>
          <w:kern w:val="2"/>
          <w:sz w:val="32"/>
          <w:szCs w:val="32"/>
        </w:rPr>
        <w:t>按照《条例》规定，我县实施政府信息公开的单位包括：各镇、各街道、经济开发区、各部门、单位，以及教育、医疗卫生、计划生育、供水、供电、供气、供热、环保等与人民群众利益密切相关的公共企事业单位。公开内容涵盖机构职能、政策法规、规划计划、业务工作、统计数据等与人民群众生产、生活以及经济社会发展紧密相关的各类信息。2018年，全县主动公开政府信息4856条。</w:t>
      </w:r>
    </w:p>
    <w:p>
      <w:pPr>
        <w:spacing w:beforeLines="50" w:line="560" w:lineRule="exact"/>
        <w:ind w:left="2" w:leftChars="1" w:firstLine="639" w:firstLineChars="199"/>
        <w:jc w:val="left"/>
        <w:rPr>
          <w:rFonts w:ascii="仿宋_GB2312" w:hAnsi="仿宋_GB2312" w:eastAsia="仿宋_GB2312" w:cs="仿宋_GB2312"/>
          <w:sz w:val="32"/>
          <w:szCs w:val="32"/>
        </w:rPr>
      </w:pPr>
      <w:r>
        <w:rPr>
          <w:rFonts w:hint="eastAsia" w:ascii="黑体" w:hAnsi="黑体" w:eastAsia="黑体" w:cs="黑体"/>
          <w:b/>
          <w:sz w:val="32"/>
          <w:szCs w:val="32"/>
        </w:rPr>
        <w:t>（二）主要公开渠道。</w:t>
      </w:r>
      <w:r>
        <w:rPr>
          <w:rFonts w:hint="eastAsia" w:ascii="仿宋_GB2312" w:hAnsi="仿宋_GB2312" w:eastAsia="仿宋_GB2312" w:cs="仿宋_GB2312"/>
          <w:sz w:val="32"/>
          <w:szCs w:val="32"/>
        </w:rPr>
        <w:t>我县主动公开政府信息的渠道主要有：沂源县人民政府门户网站（www.yiyuan.gov.cn），沂源电视台、沂源人民广播电台、沂源通讯等新闻媒体，“掌上沂源”、“沂源发布”及各部门、单位开通的政务微博和微信公众号，沂源县图书馆、沂源县档案馆、沂源县行政服务中心及各部门、单位设置的政府信息公开查阅点。</w:t>
      </w:r>
    </w:p>
    <w:p>
      <w:pPr>
        <w:spacing w:beforeLines="50" w:line="560" w:lineRule="exact"/>
        <w:ind w:left="2" w:leftChars="1" w:firstLine="639" w:firstLineChars="199"/>
        <w:jc w:val="left"/>
        <w:rPr>
          <w:rFonts w:ascii="黑体" w:hAnsi="黑体" w:eastAsia="黑体" w:cs="黑体"/>
          <w:b/>
          <w:sz w:val="32"/>
          <w:szCs w:val="32"/>
        </w:rPr>
      </w:pPr>
      <w:r>
        <w:rPr>
          <w:rFonts w:hint="eastAsia" w:ascii="黑体" w:hAnsi="黑体" w:eastAsia="黑体" w:cs="黑体"/>
          <w:b/>
          <w:sz w:val="32"/>
          <w:szCs w:val="32"/>
        </w:rPr>
        <w:t>（三）重点领域公开情况。</w:t>
      </w:r>
    </w:p>
    <w:p>
      <w:pPr>
        <w:wordWrap w:val="0"/>
        <w:spacing w:line="560" w:lineRule="exact"/>
        <w:ind w:firstLine="472" w:firstLineChars="147"/>
        <w:rPr>
          <w:rFonts w:ascii="仿宋_GB2312" w:hAnsi="仿宋_GB2312" w:eastAsia="仿宋_GB2312" w:cs="仿宋_GB2312"/>
          <w:sz w:val="32"/>
          <w:szCs w:val="32"/>
        </w:rPr>
      </w:pPr>
      <w:r>
        <w:rPr>
          <w:rFonts w:hint="eastAsia" w:ascii="仿宋_GB2312" w:hAnsi="仿宋_GB2312" w:eastAsia="仿宋_GB2312" w:cs="仿宋_GB2312"/>
          <w:b/>
          <w:sz w:val="32"/>
          <w:szCs w:val="32"/>
        </w:rPr>
        <w:t>1、推进财政预决算信息公开。</w:t>
      </w:r>
      <w:r>
        <w:rPr>
          <w:rFonts w:hint="eastAsia" w:ascii="仿宋_GB2312" w:hAnsi="仿宋_GB2312" w:eastAsia="仿宋_GB2312" w:cs="仿宋_GB2312"/>
          <w:sz w:val="32"/>
          <w:szCs w:val="32"/>
        </w:rPr>
        <w:t>全面公开财政预决算信息，通过县政府门户网站设立财政预决算栏目，链接到淄博市预决算公开统一平台，将政府预决算、部门预决算在平台分类、分级集中公开，方便公众查阅和监督。</w:t>
      </w:r>
    </w:p>
    <w:p>
      <w:p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694080" behindDoc="1" locked="0" layoutInCell="1" allowOverlap="1">
            <wp:simplePos x="0" y="0"/>
            <wp:positionH relativeFrom="column">
              <wp:posOffset>-60960</wp:posOffset>
            </wp:positionH>
            <wp:positionV relativeFrom="page">
              <wp:posOffset>6210300</wp:posOffset>
            </wp:positionV>
            <wp:extent cx="5541645" cy="2540000"/>
            <wp:effectExtent l="9525" t="9525" r="11430" b="22225"/>
            <wp:wrapTight wrapText="bothSides">
              <wp:wrapPolygon>
                <wp:start x="-37" y="-81"/>
                <wp:lineTo x="-37" y="21465"/>
                <wp:lineTo x="21570" y="21465"/>
                <wp:lineTo x="21570" y="-81"/>
                <wp:lineTo x="-37" y="-81"/>
              </wp:wrapPolygon>
            </wp:wrapTight>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3" cstate="print"/>
                    <a:stretch>
                      <a:fillRect/>
                    </a:stretch>
                  </pic:blipFill>
                  <pic:spPr>
                    <a:xfrm>
                      <a:off x="0" y="0"/>
                      <a:ext cx="5541645" cy="2540000"/>
                    </a:xfrm>
                    <a:prstGeom prst="rect">
                      <a:avLst/>
                    </a:prstGeom>
                    <a:noFill/>
                    <a:ln w="9525">
                      <a:solidFill>
                        <a:schemeClr val="tx1"/>
                      </a:solidFill>
                    </a:ln>
                  </pic:spPr>
                </pic:pic>
              </a:graphicData>
            </a:graphic>
          </wp:anchor>
        </w:drawing>
      </w:r>
      <w:r>
        <w:rPr>
          <w:rFonts w:hint="eastAsia" w:ascii="仿宋_GB2312" w:hAnsi="仿宋_GB2312" w:eastAsia="仿宋_GB2312" w:cs="仿宋_GB2312"/>
          <w:sz w:val="32"/>
          <w:szCs w:val="32"/>
        </w:rPr>
        <w:t>2、</w:t>
      </w:r>
      <w:r>
        <w:rPr>
          <w:rFonts w:hint="eastAsia" w:ascii="仿宋_GB2312" w:hAnsi="仿宋_GB2312" w:eastAsia="仿宋_GB2312" w:cs="仿宋_GB2312"/>
          <w:b/>
          <w:bCs/>
          <w:sz w:val="32"/>
          <w:szCs w:val="32"/>
        </w:rPr>
        <w:t>推进重大建设项目批准和实施领域信息公开。</w:t>
      </w:r>
      <w:r>
        <w:rPr>
          <w:rFonts w:hint="eastAsia" w:ascii="仿宋_GB2312" w:hAnsi="仿宋_GB2312" w:eastAsia="仿宋_GB2312" w:cs="仿宋_GB2312"/>
          <w:sz w:val="32"/>
          <w:szCs w:val="32"/>
        </w:rPr>
        <w:t>按照国务</w:t>
      </w:r>
      <w:r>
        <w:drawing>
          <wp:anchor distT="0" distB="0" distL="114300" distR="114300" simplePos="0" relativeHeight="251695104" behindDoc="1" locked="0" layoutInCell="1" allowOverlap="1">
            <wp:simplePos x="0" y="0"/>
            <wp:positionH relativeFrom="column">
              <wp:posOffset>19050</wp:posOffset>
            </wp:positionH>
            <wp:positionV relativeFrom="page">
              <wp:posOffset>2638425</wp:posOffset>
            </wp:positionV>
            <wp:extent cx="5541010" cy="2520950"/>
            <wp:effectExtent l="9525" t="9525" r="12065" b="22225"/>
            <wp:wrapTight wrapText="bothSides">
              <wp:wrapPolygon>
                <wp:start x="-37" y="-82"/>
                <wp:lineTo x="-37" y="21464"/>
                <wp:lineTo x="21573" y="21464"/>
                <wp:lineTo x="21573" y="-82"/>
                <wp:lineTo x="-37" y="-82"/>
              </wp:wrapPolygon>
            </wp:wrapTight>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4" cstate="print"/>
                    <a:stretch>
                      <a:fillRect/>
                    </a:stretch>
                  </pic:blipFill>
                  <pic:spPr>
                    <a:xfrm>
                      <a:off x="0" y="0"/>
                      <a:ext cx="5541010" cy="2520950"/>
                    </a:xfrm>
                    <a:prstGeom prst="rect">
                      <a:avLst/>
                    </a:prstGeom>
                    <a:noFill/>
                    <a:ln w="9525">
                      <a:solidFill>
                        <a:schemeClr val="tx1"/>
                      </a:solidFill>
                    </a:ln>
                  </pic:spPr>
                </pic:pic>
              </a:graphicData>
            </a:graphic>
          </wp:anchor>
        </w:drawing>
      </w:r>
      <w:r>
        <w:rPr>
          <w:rFonts w:hint="eastAsia" w:ascii="仿宋_GB2312" w:hAnsi="仿宋_GB2312" w:eastAsia="仿宋_GB2312" w:cs="仿宋_GB2312"/>
          <w:sz w:val="32"/>
          <w:szCs w:val="32"/>
        </w:rPr>
        <w:t>院办公厅《关于推进重大建设项目批准和实施领域政府信息公开的意见》要求，依托“淄博市重大项目信息管理平台”及时公开重大建设项目政策信息，公开重大项目的基本情况及进展情况。</w:t>
      </w:r>
    </w:p>
    <w:p>
      <w:p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933696" behindDoc="1" locked="0" layoutInCell="1" allowOverlap="1">
            <wp:simplePos x="0" y="0"/>
            <wp:positionH relativeFrom="column">
              <wp:posOffset>31115</wp:posOffset>
            </wp:positionH>
            <wp:positionV relativeFrom="page">
              <wp:posOffset>7096125</wp:posOffset>
            </wp:positionV>
            <wp:extent cx="5539740" cy="2628900"/>
            <wp:effectExtent l="9525" t="9525" r="70485" b="9525"/>
            <wp:wrapTight wrapText="bothSides">
              <wp:wrapPolygon>
                <wp:start x="-37" y="-78"/>
                <wp:lineTo x="-37" y="21522"/>
                <wp:lineTo x="21578" y="21522"/>
                <wp:lineTo x="21578" y="-78"/>
                <wp:lineTo x="-37" y="-78"/>
              </wp:wrapPolygon>
            </wp:wrapTight>
            <wp:docPr id="112" name="图片 19" descr="公共资源配置方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9" descr="公共资源配置方面"/>
                    <pic:cNvPicPr>
                      <a:picLocks noChangeAspect="1" noChangeArrowheads="1"/>
                    </pic:cNvPicPr>
                  </pic:nvPicPr>
                  <pic:blipFill>
                    <a:blip r:embed="rId25" cstate="print"/>
                    <a:srcRect b="21813"/>
                    <a:stretch>
                      <a:fillRect/>
                    </a:stretch>
                  </pic:blipFill>
                  <pic:spPr>
                    <a:xfrm>
                      <a:off x="0" y="0"/>
                      <a:ext cx="5539740" cy="2628900"/>
                    </a:xfrm>
                    <a:prstGeom prst="rect">
                      <a:avLst/>
                    </a:prstGeom>
                    <a:noFill/>
                    <a:ln w="9525">
                      <a:solidFill>
                        <a:srgbClr val="000000"/>
                      </a:solidFill>
                      <a:miter lim="800000"/>
                      <a:headEnd/>
                      <a:tailEnd/>
                    </a:ln>
                  </pic:spPr>
                </pic:pic>
              </a:graphicData>
            </a:graphic>
          </wp:anchor>
        </w:drawing>
      </w:r>
      <w:r>
        <w:rPr>
          <w:rFonts w:hint="eastAsia" w:ascii="仿宋_GB2312" w:hAnsi="仿宋_GB2312" w:eastAsia="仿宋_GB2312" w:cs="仿宋_GB2312"/>
          <w:sz w:val="32"/>
          <w:szCs w:val="32"/>
        </w:rPr>
        <w:t>3、</w:t>
      </w:r>
      <w:r>
        <w:rPr>
          <w:rFonts w:hint="eastAsia" w:ascii="仿宋_GB2312" w:hAnsi="仿宋_GB2312" w:eastAsia="仿宋_GB2312" w:cs="仿宋_GB2312"/>
          <w:b/>
          <w:bCs/>
          <w:sz w:val="32"/>
          <w:szCs w:val="32"/>
        </w:rPr>
        <w:t>推进公共资源配置领域信息公开。</w:t>
      </w:r>
      <w:r>
        <w:rPr>
          <w:rFonts w:hint="eastAsia" w:ascii="仿宋_GB2312" w:hAnsi="仿宋_GB2312" w:eastAsia="仿宋_GB2312" w:cs="仿宋_GB2312"/>
          <w:sz w:val="32"/>
          <w:szCs w:val="32"/>
        </w:rPr>
        <w:t>依托市公共资源交易中心网站及时公开建设工程、政府采购、产权交易的招标公告、采购公告、结果公示等信息。征地信息全面公开，征地公告等信息通过淄博市征地信息公开查询系统公开。政府和社会资本资本合作信息及时公开，县政府门户网站设立“政府和社会资</w:t>
      </w:r>
    </w:p>
    <w:p>
      <w:pPr>
        <w:spacing w:line="560" w:lineRule="exact"/>
        <w:rPr>
          <w:rFonts w:ascii="仿宋_GB2312" w:hAnsi="仿宋_GB2312" w:eastAsia="仿宋_GB2312" w:cs="仿宋_GB2312"/>
          <w:b/>
          <w:bCs/>
          <w:sz w:val="32"/>
          <w:szCs w:val="32"/>
        </w:rPr>
      </w:pPr>
      <w:r>
        <w:rPr>
          <w:rFonts w:hint="eastAsia" w:ascii="仿宋_GB2312" w:hAnsi="仿宋_GB2312" w:eastAsia="仿宋_GB2312" w:cs="仿宋_GB2312"/>
          <w:sz w:val="32"/>
          <w:szCs w:val="32"/>
        </w:rPr>
        <w:t>本合作”专栏及时公开PPP相关政策文件和项目信息予以公开。</w:t>
      </w:r>
    </w:p>
    <w:p>
      <w:pPr>
        <w:wordWrap w:val="0"/>
        <w:spacing w:line="560" w:lineRule="exact"/>
        <w:ind w:firstLine="640" w:firstLineChars="200"/>
        <w:jc w:val="left"/>
        <w:rPr>
          <w:rFonts w:ascii="仿宋_GB2312" w:hAnsi="仿宋_GB2312" w:eastAsia="仿宋_GB2312" w:cs="仿宋_GB2312"/>
          <w:b/>
          <w:bCs/>
          <w:sz w:val="32"/>
          <w:szCs w:val="32"/>
        </w:rPr>
      </w:pPr>
      <w:r>
        <w:rPr>
          <w:rFonts w:hint="eastAsia" w:ascii="仿宋_GB2312" w:hAnsi="仿宋" w:eastAsia="仿宋_GB2312" w:cs="仿宋"/>
          <w:sz w:val="32"/>
          <w:szCs w:val="32"/>
        </w:rPr>
        <w:drawing>
          <wp:anchor distT="0" distB="0" distL="114300" distR="114300" simplePos="0" relativeHeight="251829248" behindDoc="1" locked="0" layoutInCell="1" allowOverlap="1">
            <wp:simplePos x="0" y="0"/>
            <wp:positionH relativeFrom="column">
              <wp:posOffset>31115</wp:posOffset>
            </wp:positionH>
            <wp:positionV relativeFrom="page">
              <wp:posOffset>1066800</wp:posOffset>
            </wp:positionV>
            <wp:extent cx="5447665" cy="2562225"/>
            <wp:effectExtent l="9525" t="9525" r="10160" b="0"/>
            <wp:wrapTight wrapText="bothSides">
              <wp:wrapPolygon>
                <wp:start x="-38" y="-80"/>
                <wp:lineTo x="-38" y="21600"/>
                <wp:lineTo x="21565" y="21600"/>
                <wp:lineTo x="21565" y="-80"/>
                <wp:lineTo x="-38" y="-80"/>
              </wp:wrapPolygon>
            </wp:wrapTight>
            <wp:docPr id="1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0"/>
                    <pic:cNvPicPr>
                      <a:picLocks noChangeAspect="1" noChangeArrowheads="1"/>
                    </pic:cNvPicPr>
                  </pic:nvPicPr>
                  <pic:blipFill>
                    <a:blip r:embed="rId26" cstate="print"/>
                    <a:srcRect b="1825"/>
                    <a:stretch>
                      <a:fillRect/>
                    </a:stretch>
                  </pic:blipFill>
                  <pic:spPr>
                    <a:xfrm>
                      <a:off x="0" y="0"/>
                      <a:ext cx="5447665" cy="2562225"/>
                    </a:xfrm>
                    <a:prstGeom prst="rect">
                      <a:avLst/>
                    </a:prstGeom>
                    <a:noFill/>
                    <a:ln w="9525">
                      <a:solidFill>
                        <a:srgbClr val="000000"/>
                      </a:solidFill>
                      <a:miter lim="800000"/>
                      <a:headEnd/>
                      <a:tailEnd/>
                    </a:ln>
                    <a:effectLst/>
                  </pic:spPr>
                </pic:pic>
              </a:graphicData>
            </a:graphic>
          </wp:anchor>
        </w:drawing>
      </w:r>
      <w:r>
        <w:rPr>
          <w:rFonts w:hint="eastAsia" w:ascii="仿宋_GB2312" w:hAnsi="仿宋_GB2312" w:eastAsia="仿宋_GB2312" w:cs="仿宋_GB2312"/>
          <w:b/>
          <w:bCs/>
          <w:sz w:val="32"/>
          <w:szCs w:val="32"/>
        </w:rPr>
        <w:t>4、推进社会公益事业建设领域信息。</w:t>
      </w:r>
    </w:p>
    <w:p>
      <w:pPr>
        <w:wordWrap w:val="0"/>
        <w:spacing w:line="560" w:lineRule="exact"/>
        <w:ind w:firstLine="643" w:firstLineChars="200"/>
        <w:jc w:val="left"/>
        <w:rPr>
          <w:rFonts w:ascii="仿宋_GB2312" w:hAnsi="仿宋_GB2312" w:eastAsia="仿宋_GB2312" w:cs="仿宋_GB2312"/>
          <w:sz w:val="32"/>
          <w:szCs w:val="32"/>
        </w:rPr>
      </w:pPr>
      <w:r>
        <w:rPr>
          <w:rFonts w:hint="eastAsia" w:ascii="仿宋_GB2312" w:hAnsi="仿宋_GB2312" w:eastAsia="仿宋_GB2312" w:cs="仿宋_GB2312"/>
          <w:b/>
          <w:bCs/>
          <w:sz w:val="32"/>
          <w:szCs w:val="32"/>
        </w:rPr>
        <w:t>（1）脱贫攻坚方面：</w:t>
      </w:r>
      <w:r>
        <w:rPr>
          <w:rFonts w:hint="eastAsia" w:ascii="仿宋_GB2312" w:hAnsi="仿宋_GB2312" w:eastAsia="仿宋_GB2312" w:cs="仿宋_GB2312"/>
          <w:sz w:val="32"/>
          <w:szCs w:val="32"/>
        </w:rPr>
        <w:t>通过网站、乡村公开栏全面公开各级脱贫减贫相关信息。</w:t>
      </w:r>
    </w:p>
    <w:p>
      <w:pPr>
        <w:wordWrap w:val="0"/>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（2）</w:t>
      </w:r>
      <w:r>
        <w:rPr>
          <w:rFonts w:hint="eastAsia" w:ascii="仿宋_GB2312" w:hAnsi="仿宋_GB2312" w:eastAsia="仿宋_GB2312" w:cs="仿宋_GB2312"/>
          <w:b/>
          <w:bCs/>
          <w:sz w:val="32"/>
          <w:szCs w:val="32"/>
        </w:rPr>
        <w:t>社会救助方面：</w:t>
      </w:r>
      <w:r>
        <w:rPr>
          <w:rFonts w:hint="eastAsia" w:ascii="仿宋_GB2312" w:hAnsi="仿宋_GB2312" w:eastAsia="仿宋_GB2312" w:cs="仿宋_GB2312"/>
          <w:sz w:val="32"/>
          <w:szCs w:val="32"/>
        </w:rPr>
        <w:t>通过县政府门户网站公开城乡低保和特困人员救助保障、临时救助等情况，建立社会救助信息公开内容动态更新机制。</w:t>
      </w:r>
      <w:r>
        <w:drawing>
          <wp:anchor distT="0" distB="0" distL="114300" distR="114300" simplePos="0" relativeHeight="251936768" behindDoc="1" locked="0" layoutInCell="1" allowOverlap="1">
            <wp:simplePos x="0" y="0"/>
            <wp:positionH relativeFrom="column">
              <wp:posOffset>85725</wp:posOffset>
            </wp:positionH>
            <wp:positionV relativeFrom="page">
              <wp:posOffset>6446520</wp:posOffset>
            </wp:positionV>
            <wp:extent cx="5541010" cy="2041525"/>
            <wp:effectExtent l="9525" t="9525" r="12065" b="63500"/>
            <wp:wrapTight wrapText="bothSides">
              <wp:wrapPolygon>
                <wp:start x="-37" y="-101"/>
                <wp:lineTo x="-37" y="21466"/>
                <wp:lineTo x="21573" y="21466"/>
                <wp:lineTo x="21573" y="-101"/>
                <wp:lineTo x="-37" y="-101"/>
              </wp:wrapPolygon>
            </wp:wrapTight>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7" cstate="print"/>
                    <a:srcRect b="22437"/>
                    <a:stretch>
                      <a:fillRect/>
                    </a:stretch>
                  </pic:blipFill>
                  <pic:spPr>
                    <a:xfrm>
                      <a:off x="0" y="0"/>
                      <a:ext cx="5541010" cy="2041525"/>
                    </a:xfrm>
                    <a:prstGeom prst="rect">
                      <a:avLst/>
                    </a:prstGeom>
                    <a:noFill/>
                    <a:ln w="9525">
                      <a:solidFill>
                        <a:srgbClr val="000000"/>
                      </a:solidFill>
                      <a:miter lim="800000"/>
                      <a:headEnd/>
                      <a:tailEnd/>
                    </a:ln>
                    <a:effectLst/>
                  </pic:spPr>
                </pic:pic>
              </a:graphicData>
            </a:graphic>
          </wp:anchor>
        </w:drawing>
      </w:r>
    </w:p>
    <w:p>
      <w:pPr>
        <w:wordWrap w:val="0"/>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（3）</w:t>
      </w:r>
      <w:r>
        <w:rPr>
          <w:rFonts w:hint="eastAsia" w:ascii="仿宋_GB2312" w:hAnsi="仿宋_GB2312" w:eastAsia="仿宋_GB2312" w:cs="仿宋_GB2312"/>
          <w:b/>
          <w:bCs/>
          <w:sz w:val="32"/>
          <w:szCs w:val="32"/>
        </w:rPr>
        <w:t>环境保护方面：</w:t>
      </w:r>
      <w:r>
        <w:rPr>
          <w:rFonts w:hint="eastAsia" w:ascii="仿宋_GB2312" w:hAnsi="仿宋_GB2312" w:eastAsia="仿宋_GB2312" w:cs="仿宋_GB2312"/>
          <w:sz w:val="32"/>
          <w:szCs w:val="32"/>
        </w:rPr>
        <w:t>县政府门户网站增设“环保督查信息公开平台”栏目，及时公开信访督办和边督边改等情况；主动</w:t>
      </w:r>
      <w:r>
        <w:drawing>
          <wp:anchor distT="0" distB="0" distL="114300" distR="114300" simplePos="0" relativeHeight="251937792" behindDoc="1" locked="0" layoutInCell="1" allowOverlap="1">
            <wp:simplePos x="0" y="0"/>
            <wp:positionH relativeFrom="column">
              <wp:posOffset>-19050</wp:posOffset>
            </wp:positionH>
            <wp:positionV relativeFrom="page">
              <wp:posOffset>1866265</wp:posOffset>
            </wp:positionV>
            <wp:extent cx="5533390" cy="2614295"/>
            <wp:effectExtent l="9525" t="9525" r="19685" b="24130"/>
            <wp:wrapTight wrapText="bothSides">
              <wp:wrapPolygon>
                <wp:start x="-37" y="-79"/>
                <wp:lineTo x="-37" y="21485"/>
                <wp:lineTo x="21528" y="21485"/>
                <wp:lineTo x="21528" y="-79"/>
                <wp:lineTo x="-37" y="-79"/>
              </wp:wrapPolygon>
            </wp:wrapTight>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8" cstate="print"/>
                    <a:stretch>
                      <a:fillRect/>
                    </a:stretch>
                  </pic:blipFill>
                  <pic:spPr>
                    <a:xfrm>
                      <a:off x="0" y="0"/>
                      <a:ext cx="5533390" cy="2614295"/>
                    </a:xfrm>
                    <a:prstGeom prst="rect">
                      <a:avLst/>
                    </a:prstGeom>
                    <a:noFill/>
                    <a:ln w="9525">
                      <a:solidFill>
                        <a:srgbClr val="000000"/>
                      </a:solidFill>
                      <a:miter lim="800000"/>
                      <a:headEnd/>
                      <a:tailEnd/>
                    </a:ln>
                    <a:effectLst/>
                  </pic:spPr>
                </pic:pic>
              </a:graphicData>
            </a:graphic>
          </wp:anchor>
        </w:drawing>
      </w:r>
      <w:r>
        <w:rPr>
          <w:rFonts w:hint="eastAsia" w:ascii="仿宋_GB2312" w:hAnsi="仿宋_GB2312" w:eastAsia="仿宋_GB2312" w:cs="仿宋_GB2312"/>
          <w:sz w:val="32"/>
          <w:szCs w:val="32"/>
        </w:rPr>
        <w:t>公开环境状况、重大环保举措、环保工作进展、环保专项工作等情况。</w:t>
      </w:r>
    </w:p>
    <w:p>
      <w:pPr>
        <w:wordWrap w:val="0"/>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（4）</w:t>
      </w:r>
      <w:r>
        <w:rPr>
          <w:rFonts w:hint="eastAsia" w:ascii="仿宋_GB2312" w:hAnsi="仿宋_GB2312" w:eastAsia="仿宋_GB2312" w:cs="仿宋_GB2312"/>
          <w:b/>
          <w:bCs/>
          <w:sz w:val="32"/>
          <w:szCs w:val="32"/>
        </w:rPr>
        <w:t>教育方面：</w:t>
      </w:r>
      <w:r>
        <w:rPr>
          <w:rFonts w:hint="eastAsia" w:ascii="仿宋_GB2312" w:hAnsi="仿宋_GB2312" w:eastAsia="仿宋_GB2312" w:cs="仿宋_GB2312"/>
          <w:sz w:val="32"/>
          <w:szCs w:val="32"/>
        </w:rPr>
        <w:t>县政府门户网站在重点领域信息公开栏目下设立“文化教育体育”栏目，公开义务教育、学前教育、特殊教育、职业教育等方面的信息。</w:t>
      </w:r>
    </w:p>
    <w:p>
      <w:pPr>
        <w:wordWrap w:val="0"/>
        <w:spacing w:line="560" w:lineRule="exact"/>
        <w:ind w:firstLine="420" w:firstLineChars="200"/>
        <w:jc w:val="left"/>
        <w:rPr>
          <w:rFonts w:ascii="仿宋_GB2312" w:hAnsi="仿宋_GB2312" w:eastAsia="仿宋_GB2312" w:cs="仿宋_GB2312"/>
          <w:b/>
          <w:bCs/>
          <w:sz w:val="32"/>
          <w:szCs w:val="32"/>
        </w:rPr>
      </w:pPr>
      <w:r>
        <w:drawing>
          <wp:anchor distT="0" distB="0" distL="114300" distR="114300" simplePos="0" relativeHeight="251938816" behindDoc="1" locked="0" layoutInCell="1" allowOverlap="1">
            <wp:simplePos x="0" y="0"/>
            <wp:positionH relativeFrom="column">
              <wp:posOffset>0</wp:posOffset>
            </wp:positionH>
            <wp:positionV relativeFrom="page">
              <wp:posOffset>5543550</wp:posOffset>
            </wp:positionV>
            <wp:extent cx="5533390" cy="3482340"/>
            <wp:effectExtent l="9525" t="9525" r="19685" b="0"/>
            <wp:wrapTight wrapText="bothSides">
              <wp:wrapPolygon>
                <wp:start x="-37" y="-59"/>
                <wp:lineTo x="-37" y="21565"/>
                <wp:lineTo x="21528" y="21565"/>
                <wp:lineTo x="21528" y="-59"/>
                <wp:lineTo x="-37" y="-59"/>
              </wp:wrapPolygon>
            </wp:wrapTight>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9" cstate="print"/>
                    <a:stretch>
                      <a:fillRect/>
                    </a:stretch>
                  </pic:blipFill>
                  <pic:spPr>
                    <a:xfrm>
                      <a:off x="0" y="0"/>
                      <a:ext cx="5533390" cy="3482340"/>
                    </a:xfrm>
                    <a:prstGeom prst="rect">
                      <a:avLst/>
                    </a:prstGeom>
                    <a:noFill/>
                    <a:ln w="9525">
                      <a:solidFill>
                        <a:srgbClr val="000000"/>
                      </a:solidFill>
                      <a:miter lim="800000"/>
                      <a:headEnd/>
                      <a:tailEnd/>
                    </a:ln>
                    <a:effectLst/>
                  </pic:spPr>
                </pic:pic>
              </a:graphicData>
            </a:graphic>
          </wp:anchor>
        </w:drawing>
      </w:r>
      <w:r>
        <w:rPr>
          <w:rFonts w:hint="eastAsia" w:ascii="仿宋_GB2312" w:hAnsi="仿宋_GB2312" w:eastAsia="仿宋_GB2312" w:cs="仿宋_GB2312"/>
          <w:sz w:val="32"/>
          <w:szCs w:val="32"/>
        </w:rPr>
        <w:t>（5）</w:t>
      </w:r>
      <w:r>
        <w:rPr>
          <w:rFonts w:hint="eastAsia" w:ascii="仿宋_GB2312" w:hAnsi="仿宋_GB2312" w:eastAsia="仿宋_GB2312" w:cs="仿宋_GB2312"/>
          <w:b/>
          <w:sz w:val="32"/>
          <w:szCs w:val="32"/>
        </w:rPr>
        <w:t>食品药品安全方面：</w:t>
      </w:r>
      <w:r>
        <w:rPr>
          <w:rFonts w:hint="eastAsia" w:ascii="仿宋_GB2312" w:hAnsi="仿宋_GB2312" w:eastAsia="仿宋_GB2312" w:cs="仿宋_GB2312"/>
          <w:sz w:val="32"/>
          <w:szCs w:val="32"/>
        </w:rPr>
        <w:t>在县政府门户网站及时公开食品药品安全领域的行政审批结果和行政处罚案件信息。主动公开监督抽检结果信息。</w:t>
      </w:r>
    </w:p>
    <w:p>
      <w:pPr>
        <w:wordWrap w:val="0"/>
        <w:spacing w:line="560" w:lineRule="exact"/>
        <w:ind w:firstLine="525" w:firstLineChars="250"/>
        <w:rPr>
          <w:rFonts w:ascii="仿宋_GB2312" w:hAnsi="仿宋_GB2312" w:eastAsia="仿宋_GB2312" w:cs="仿宋_GB2312"/>
          <w:sz w:val="32"/>
          <w:szCs w:val="32"/>
        </w:rPr>
      </w:pPr>
      <w:r>
        <w:drawing>
          <wp:anchor distT="0" distB="0" distL="114300" distR="114300" simplePos="0" relativeHeight="251939840" behindDoc="1" locked="0" layoutInCell="1" allowOverlap="1">
            <wp:simplePos x="0" y="0"/>
            <wp:positionH relativeFrom="column">
              <wp:posOffset>47625</wp:posOffset>
            </wp:positionH>
            <wp:positionV relativeFrom="page">
              <wp:posOffset>1488440</wp:posOffset>
            </wp:positionV>
            <wp:extent cx="5530215" cy="2556510"/>
            <wp:effectExtent l="9525" t="9525" r="22860" b="24765"/>
            <wp:wrapTight wrapText="bothSides">
              <wp:wrapPolygon>
                <wp:start x="-37" y="-80"/>
                <wp:lineTo x="-37" y="21487"/>
                <wp:lineTo x="21540" y="21487"/>
                <wp:lineTo x="21540" y="-80"/>
                <wp:lineTo x="-37" y="-80"/>
              </wp:wrapPolygon>
            </wp:wrapTight>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30" cstate="print"/>
                    <a:stretch>
                      <a:fillRect/>
                    </a:stretch>
                  </pic:blipFill>
                  <pic:spPr>
                    <a:xfrm>
                      <a:off x="0" y="0"/>
                      <a:ext cx="5530215" cy="2556510"/>
                    </a:xfrm>
                    <a:prstGeom prst="rect">
                      <a:avLst/>
                    </a:prstGeom>
                    <a:noFill/>
                    <a:ln w="9525">
                      <a:solidFill>
                        <a:srgbClr val="000000"/>
                      </a:solidFill>
                      <a:miter lim="800000"/>
                      <a:headEnd/>
                      <a:tailEnd/>
                    </a:ln>
                    <a:effectLst/>
                  </pic:spPr>
                </pic:pic>
              </a:graphicData>
            </a:graphic>
          </wp:anchor>
        </w:drawing>
      </w:r>
      <w:r>
        <w:rPr>
          <w:rFonts w:hint="eastAsia" w:ascii="仿宋_GB2312" w:hAnsi="仿宋_GB2312" w:eastAsia="仿宋_GB2312" w:cs="仿宋_GB2312"/>
          <w:b/>
          <w:bCs/>
          <w:sz w:val="32"/>
          <w:szCs w:val="32"/>
        </w:rPr>
        <w:t>（6）住房保障方面：</w:t>
      </w:r>
      <w:r>
        <w:rPr>
          <w:rFonts w:hint="eastAsia" w:ascii="仿宋_GB2312" w:hAnsi="仿宋_GB2312" w:eastAsia="仿宋_GB2312" w:cs="仿宋_GB2312"/>
          <w:sz w:val="32"/>
          <w:szCs w:val="32"/>
        </w:rPr>
        <w:t>围绕稳定市场预期及时做好房地产市场调控政策公开和解读。及时公开并解读棚户区改造、保障性住房等政策措施。</w:t>
      </w:r>
    </w:p>
    <w:p>
      <w:pPr>
        <w:wordWrap w:val="0"/>
        <w:spacing w:line="560" w:lineRule="exact"/>
        <w:ind w:firstLine="525" w:firstLineChars="250"/>
        <w:rPr>
          <w:rFonts w:ascii="仿宋_GB2312" w:hAnsi="仿宋_GB2312" w:eastAsia="仿宋_GB2312" w:cs="仿宋_GB2312"/>
          <w:sz w:val="32"/>
          <w:szCs w:val="32"/>
        </w:rPr>
      </w:pPr>
      <w:r>
        <w:drawing>
          <wp:anchor distT="0" distB="0" distL="114300" distR="114300" simplePos="0" relativeHeight="251942912" behindDoc="1" locked="0" layoutInCell="1" allowOverlap="1">
            <wp:simplePos x="0" y="0"/>
            <wp:positionH relativeFrom="column">
              <wp:posOffset>-19050</wp:posOffset>
            </wp:positionH>
            <wp:positionV relativeFrom="page">
              <wp:posOffset>7244715</wp:posOffset>
            </wp:positionV>
            <wp:extent cx="5534025" cy="2192655"/>
            <wp:effectExtent l="9525" t="9525" r="19050" b="26670"/>
            <wp:wrapTight wrapText="bothSides">
              <wp:wrapPolygon>
                <wp:start x="-37" y="-94"/>
                <wp:lineTo x="-37" y="21487"/>
                <wp:lineTo x="21600" y="21487"/>
                <wp:lineTo x="21600" y="-94"/>
                <wp:lineTo x="-37" y="-94"/>
              </wp:wrapPolygon>
            </wp:wrapTight>
            <wp:docPr id="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pic:cNvPicPr>
                      <a:picLocks noChangeAspect="1"/>
                    </pic:cNvPicPr>
                  </pic:nvPicPr>
                  <pic:blipFill>
                    <a:blip r:embed="rId31" cstate="print"/>
                    <a:stretch>
                      <a:fillRect/>
                    </a:stretch>
                  </pic:blipFill>
                  <pic:spPr>
                    <a:xfrm>
                      <a:off x="0" y="0"/>
                      <a:ext cx="5534025" cy="2192655"/>
                    </a:xfrm>
                    <a:prstGeom prst="rect">
                      <a:avLst/>
                    </a:prstGeom>
                    <a:noFill/>
                    <a:ln w="9525">
                      <a:solidFill>
                        <a:srgbClr val="000000"/>
                      </a:solidFill>
                      <a:miter lim="800000"/>
                      <a:headEnd/>
                      <a:tailEnd/>
                    </a:ln>
                    <a:effectLst/>
                  </pic:spPr>
                </pic:pic>
              </a:graphicData>
            </a:graphic>
          </wp:anchor>
        </w:drawing>
      </w:r>
      <w:r>
        <w:rPr>
          <w:rFonts w:hint="eastAsia" w:ascii="仿宋_GB2312" w:hAnsi="仿宋_GB2312" w:eastAsia="仿宋_GB2312" w:cs="仿宋_GB2312"/>
          <w:sz w:val="32"/>
          <w:szCs w:val="32"/>
        </w:rPr>
        <w:t>（7）</w:t>
      </w:r>
      <w:r>
        <w:rPr>
          <w:rFonts w:hint="eastAsia" w:ascii="仿宋_GB2312" w:hAnsi="仿宋_GB2312" w:eastAsia="仿宋_GB2312" w:cs="仿宋_GB2312"/>
          <w:b/>
          <w:bCs/>
          <w:sz w:val="32"/>
          <w:szCs w:val="32"/>
        </w:rPr>
        <w:t>医疗卫生方面：</w:t>
      </w:r>
      <w:r>
        <w:rPr>
          <w:rFonts w:hint="eastAsia" w:ascii="仿宋_GB2312" w:hAnsi="仿宋_GB2312" w:eastAsia="仿宋_GB2312" w:cs="仿宋_GB2312"/>
          <w:sz w:val="32"/>
          <w:szCs w:val="32"/>
        </w:rPr>
        <w:t>推进医疗机构院务公开和改善医疗服务行动计划落实情况公开。推进医德医风建设，建立违规违纪问题处理结果公开机制，改善群众就医感受。</w:t>
      </w:r>
    </w:p>
    <w:p>
      <w:pPr>
        <w:wordWrap w:val="0"/>
        <w:spacing w:line="560" w:lineRule="exact"/>
        <w:ind w:firstLine="800" w:firstLineChars="25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（8）</w:t>
      </w:r>
      <w:r>
        <w:rPr>
          <w:rFonts w:hint="eastAsia" w:ascii="仿宋_GB2312" w:hAnsi="仿宋_GB2312" w:eastAsia="仿宋_GB2312" w:cs="仿宋_GB2312"/>
          <w:b/>
          <w:bCs/>
          <w:sz w:val="32"/>
          <w:szCs w:val="32"/>
        </w:rPr>
        <w:t>安全事故方面：</w:t>
      </w:r>
      <w:r>
        <w:rPr>
          <w:rFonts w:hint="eastAsia" w:ascii="仿宋_GB2312" w:hAnsi="仿宋_GB2312" w:eastAsia="仿宋_GB2312" w:cs="仿宋_GB2312"/>
          <w:sz w:val="32"/>
          <w:szCs w:val="32"/>
        </w:rPr>
        <w:t>健全建筑施工安全监管执法信息公开制度，及时公开执法检查、生产安全事故调查处理等相关信息。</w:t>
      </w:r>
    </w:p>
    <w:p>
      <w:pPr>
        <w:wordWrap w:val="0"/>
        <w:spacing w:line="560" w:lineRule="exact"/>
        <w:ind w:firstLine="803" w:firstLineChars="250"/>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lang w:eastAsia="zh-CN"/>
        </w:rPr>
        <w:t>（</w:t>
      </w:r>
      <w:r>
        <w:rPr>
          <w:rFonts w:hint="eastAsia" w:ascii="仿宋_GB2312" w:hAnsi="仿宋_GB2312" w:eastAsia="仿宋_GB2312" w:cs="仿宋_GB2312"/>
          <w:b/>
          <w:bCs/>
          <w:sz w:val="32"/>
          <w:szCs w:val="32"/>
          <w:lang w:val="en-US" w:eastAsia="zh-CN"/>
        </w:rPr>
        <w:t>9</w:t>
      </w:r>
      <w:r>
        <w:rPr>
          <w:rFonts w:hint="eastAsia" w:ascii="仿宋_GB2312" w:hAnsi="仿宋_GB2312" w:eastAsia="仿宋_GB2312" w:cs="仿宋_GB2312"/>
          <w:b/>
          <w:bCs/>
          <w:sz w:val="32"/>
          <w:szCs w:val="32"/>
          <w:lang w:eastAsia="zh-CN"/>
        </w:rPr>
        <w:t>）</w:t>
      </w:r>
      <w:r>
        <w:rPr>
          <w:rFonts w:hint="eastAsia" w:ascii="仿宋_GB2312" w:hAnsi="仿宋_GB2312" w:eastAsia="仿宋_GB2312" w:cs="仿宋_GB2312"/>
          <w:b/>
          <w:bCs/>
          <w:sz w:val="32"/>
          <w:szCs w:val="32"/>
        </w:rPr>
        <w:t>建议和提案办理结果公开情况</w:t>
      </w:r>
      <w:r>
        <w:rPr>
          <w:rFonts w:hint="eastAsia" w:ascii="仿宋_GB2312" w:hAnsi="仿宋_GB2312" w:eastAsia="仿宋_GB2312" w:cs="仿宋_GB2312"/>
          <w:b/>
          <w:bCs/>
          <w:sz w:val="32"/>
          <w:szCs w:val="32"/>
          <w:lang w:eastAsia="zh-CN"/>
        </w:rPr>
        <w:t>：</w:t>
      </w:r>
      <w:r>
        <w:rPr>
          <w:rFonts w:hint="eastAsia" w:ascii="仿宋_GB2312" w:hAnsi="仿宋_GB2312" w:eastAsia="仿宋_GB2312" w:cs="仿宋_GB2312"/>
          <w:sz w:val="32"/>
          <w:szCs w:val="32"/>
        </w:rPr>
        <w:t>全县政府系统共承办人大代表建议68件，办复率100%；承办政协提案101件，办复率100%。</w:t>
      </w:r>
    </w:p>
    <w:p>
      <w:pPr>
        <w:wordWrap w:val="0"/>
        <w:spacing w:line="560" w:lineRule="exact"/>
        <w:ind w:firstLine="643" w:firstLineChars="200"/>
        <w:jc w:val="left"/>
        <w:rPr>
          <w:rFonts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三、依申请公开政府信息情况</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我县在县政府门户网站开通了政府信息公开申请受理平台，严格执行“工作机构受理，业务部门承办，重大问题会商，法制部门合法性审查”的依申请公开工作程序，依法及时办理公开申请，切实满足公民、法人和其他组织的个性化政府信息需求。</w:t>
      </w:r>
    </w:p>
    <w:p>
      <w:pPr>
        <w:spacing w:line="560" w:lineRule="exact"/>
        <w:ind w:firstLine="643" w:firstLineChars="200"/>
        <w:rPr>
          <w:rFonts w:ascii="仿宋_GB2312" w:hAnsi="仿宋_GB2312" w:eastAsia="仿宋_GB2312" w:cs="仿宋_GB2312"/>
          <w:b/>
          <w:sz w:val="32"/>
          <w:szCs w:val="32"/>
        </w:rPr>
      </w:pPr>
      <w:r>
        <w:rPr>
          <w:rFonts w:hint="eastAsia" w:ascii="仿宋_GB2312" w:hAnsi="仿宋_GB2312" w:eastAsia="仿宋_GB2312" w:cs="仿宋_GB2312"/>
          <w:b/>
          <w:sz w:val="32"/>
          <w:szCs w:val="32"/>
        </w:rPr>
        <w:t>（一）收到申请情况</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2018年，全县各级各部门共收到政府信息公开申请54件。申请内容主要集中在土地征收、补偿安置、城乡规划、项目审批、工程建设等领域。</w:t>
      </w:r>
    </w:p>
    <w:p>
      <w:pPr>
        <w:spacing w:line="560" w:lineRule="exact"/>
        <w:ind w:firstLine="643" w:firstLineChars="200"/>
        <w:rPr>
          <w:rFonts w:ascii="仿宋_GB2312" w:hAnsi="仿宋_GB2312" w:eastAsia="仿宋_GB2312" w:cs="仿宋_GB2312"/>
          <w:b/>
          <w:sz w:val="32"/>
          <w:szCs w:val="32"/>
        </w:rPr>
      </w:pPr>
      <w:r>
        <w:rPr>
          <w:rFonts w:hint="eastAsia" w:ascii="仿宋_GB2312" w:hAnsi="仿宋_GB2312" w:eastAsia="仿宋_GB2312" w:cs="仿宋_GB2312"/>
          <w:b/>
          <w:sz w:val="32"/>
          <w:szCs w:val="32"/>
        </w:rPr>
        <w:t>（二）申请处理情况</w:t>
      </w:r>
    </w:p>
    <w:p>
      <w:pPr>
        <w:spacing w:line="560" w:lineRule="exact"/>
        <w:ind w:firstLine="640" w:firstLineChars="200"/>
        <w:jc w:val="left"/>
        <w:rPr>
          <w:rFonts w:ascii="仿宋_GB2312" w:hAnsi="仿宋_GB2312" w:eastAsia="仿宋_GB2312" w:cs="仿宋_GB2312"/>
          <w:sz w:val="32"/>
          <w:szCs w:val="32"/>
          <w:highlight w:val="yellow"/>
        </w:rPr>
      </w:pPr>
      <w:r>
        <w:rPr>
          <w:rFonts w:hint="eastAsia" w:ascii="仿宋_GB2312" w:hAnsi="仿宋_GB2312" w:eastAsia="仿宋_GB2312" w:cs="仿宋_GB2312"/>
          <w:sz w:val="32"/>
          <w:szCs w:val="32"/>
        </w:rPr>
        <w:t>2018年共办结信息公开申请54件，按时答复54件。</w:t>
      </w:r>
    </w:p>
    <w:p>
      <w:pPr>
        <w:wordWrap w:val="0"/>
        <w:spacing w:line="560" w:lineRule="exact"/>
        <w:ind w:firstLine="643" w:firstLineChars="200"/>
        <w:jc w:val="left"/>
        <w:rPr>
          <w:rFonts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四、政府信息公开行政案件情况</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2018年，全县各行政机关因信息公开引起行政复议8件，经复议审理，驳回4件，依法纠错4件。发生信息公开引起的诉讼案件2件，其中一件驳回诉讼请求，一件正在审理中。</w:t>
      </w:r>
    </w:p>
    <w:p>
      <w:pPr>
        <w:wordWrap w:val="0"/>
        <w:spacing w:line="560" w:lineRule="exact"/>
        <w:ind w:firstLine="643" w:firstLineChars="200"/>
        <w:jc w:val="left"/>
        <w:rPr>
          <w:rFonts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五、政府信息公开的收费及减免情况</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2018年，全县各部门、单位在依申请公开政府信息过程中未收取任何费用。</w:t>
      </w:r>
    </w:p>
    <w:p>
      <w:pPr>
        <w:wordWrap w:val="0"/>
        <w:spacing w:line="560" w:lineRule="exact"/>
        <w:ind w:firstLine="643" w:firstLineChars="200"/>
        <w:jc w:val="left"/>
        <w:rPr>
          <w:rFonts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七、存在的不足和改进措施</w:t>
      </w:r>
    </w:p>
    <w:p>
      <w:pPr>
        <w:spacing w:line="560" w:lineRule="exact"/>
        <w:ind w:firstLine="579" w:firstLineChars="181"/>
        <w:rPr>
          <w:rFonts w:ascii="仿宋_GB2312" w:hAnsi="仿宋_GB2312" w:eastAsia="仿宋_GB2312" w:cs="仿宋_GB2312"/>
          <w:sz w:val="32"/>
          <w:szCs w:val="32"/>
        </w:rPr>
      </w:pPr>
      <w:r>
        <w:rPr>
          <w:rFonts w:hint="eastAsia" w:ascii="仿宋_GB2312" w:hAnsi="仿宋_GB2312" w:eastAsia="仿宋_GB2312" w:cs="仿宋_GB2312"/>
          <w:sz w:val="32"/>
          <w:szCs w:val="32"/>
        </w:rPr>
        <w:t>2018年，我县在推进政府信息公开方面虽然取得了积极成效，但随着法治政府、服务型政府建设和“放管服”改革的深入推进，人民群众对公开透明政府的期待日趋强烈，对政府信息的需求与日俱增，我县政府信息公开工作仍面临着主动公开范围、内容需继续扩展、深化，依申请公开办理需进一步规范，公开能力水平需进一步提升等不少问题。</w:t>
      </w:r>
    </w:p>
    <w:p>
      <w:pPr>
        <w:spacing w:line="560" w:lineRule="exact"/>
        <w:ind w:firstLine="579" w:firstLineChars="181"/>
        <w:rPr>
          <w:rFonts w:ascii="仿宋_GB2312" w:hAnsi="仿宋_GB2312" w:eastAsia="仿宋_GB2312" w:cs="仿宋_GB2312"/>
          <w:sz w:val="32"/>
          <w:szCs w:val="32"/>
        </w:rPr>
      </w:pPr>
      <w:r>
        <w:rPr>
          <w:rFonts w:hint="eastAsia" w:ascii="仿宋_GB2312" w:hAnsi="仿宋_GB2312" w:eastAsia="仿宋_GB2312" w:cs="仿宋_GB2312"/>
          <w:sz w:val="32"/>
          <w:szCs w:val="32"/>
        </w:rPr>
        <w:t>下一步，我县将全面贯彻落实党的十九大和习近平总书记系列讲话精神，严格按照市委、市政府和县委、县政府关于政务公开的决策部署和具体要求，以群众需求为导向，坚持以公开为常态、不公开为例外，扎实推进政府信息公开，提升公开质量和水平，不断推动法治政府和服务型政府建设。</w:t>
      </w:r>
    </w:p>
    <w:p>
      <w:pPr>
        <w:spacing w:line="560" w:lineRule="exact"/>
        <w:ind w:firstLine="581" w:firstLineChars="181"/>
        <w:rPr>
          <w:rFonts w:ascii="仿宋_GB2312" w:hAnsi="仿宋_GB2312" w:eastAsia="仿宋_GB2312" w:cs="仿宋_GB2312"/>
          <w:sz w:val="32"/>
          <w:szCs w:val="32"/>
        </w:rPr>
      </w:pPr>
      <w:r>
        <w:rPr>
          <w:rFonts w:hint="eastAsia" w:ascii="仿宋_GB2312" w:hAnsi="仿宋_GB2312" w:eastAsia="仿宋_GB2312" w:cs="仿宋_GB2312"/>
          <w:b/>
          <w:bCs/>
          <w:sz w:val="32"/>
          <w:szCs w:val="32"/>
        </w:rPr>
        <w:t>（一）进一步完善公开目录，全力做好主动公开工作。</w:t>
      </w:r>
      <w:r>
        <w:rPr>
          <w:rFonts w:hint="eastAsia" w:ascii="仿宋_GB2312" w:hAnsi="仿宋_GB2312" w:eastAsia="仿宋_GB2312" w:cs="仿宋_GB2312"/>
          <w:sz w:val="32"/>
          <w:szCs w:val="32"/>
        </w:rPr>
        <w:t>继续落实市委、市政府和县委、县政府政务公开工作部署，完善制度机制，优化公开目录，扩展公开范围，深化公开内容，把决策公开、执行公开、管理公开、服务公开、结果公开不断推向深入。</w:t>
      </w:r>
    </w:p>
    <w:p>
      <w:pPr>
        <w:spacing w:line="560" w:lineRule="exact"/>
        <w:ind w:firstLine="581" w:firstLineChars="181"/>
        <w:rPr>
          <w:rFonts w:ascii="仿宋_GB2312" w:hAnsi="仿宋_GB2312" w:eastAsia="仿宋_GB2312" w:cs="仿宋_GB2312"/>
          <w:sz w:val="32"/>
          <w:szCs w:val="32"/>
        </w:rPr>
      </w:pPr>
      <w:r>
        <w:rPr>
          <w:rFonts w:hint="eastAsia" w:ascii="仿宋_GB2312" w:hAnsi="仿宋_GB2312" w:eastAsia="仿宋_GB2312" w:cs="仿宋_GB2312"/>
          <w:b/>
          <w:bCs/>
          <w:sz w:val="32"/>
          <w:szCs w:val="32"/>
        </w:rPr>
        <w:t>（二） 进一步提升规范标准，依法做好依申请公开工作。</w:t>
      </w:r>
      <w:r>
        <w:rPr>
          <w:rFonts w:hint="eastAsia" w:ascii="仿宋_GB2312" w:hAnsi="仿宋_GB2312" w:eastAsia="仿宋_GB2312" w:cs="仿宋_GB2312"/>
          <w:sz w:val="32"/>
          <w:szCs w:val="32"/>
        </w:rPr>
        <w:t>认真分析公众需求，开展疑难问题会商研讨，完善办理机制，优化办理流程，及时依法答复公众申请。积极应对依申请公开引起的行政复议、行政诉讼案件，化解纠纷，改进工作。</w:t>
      </w:r>
    </w:p>
    <w:p>
      <w:pPr>
        <w:spacing w:line="560" w:lineRule="exact"/>
        <w:ind w:firstLine="581" w:firstLineChars="181"/>
        <w:rPr>
          <w:rFonts w:ascii="仿宋_GB2312" w:hAnsi="仿宋_GB2312" w:eastAsia="仿宋_GB2312" w:cs="仿宋_GB2312"/>
          <w:sz w:val="32"/>
          <w:szCs w:val="32"/>
        </w:rPr>
      </w:pPr>
      <w:r>
        <w:rPr>
          <w:rFonts w:hint="eastAsia" w:ascii="仿宋_GB2312" w:hAnsi="仿宋_GB2312" w:eastAsia="仿宋_GB2312" w:cs="仿宋_GB2312"/>
          <w:b/>
          <w:bCs/>
          <w:sz w:val="32"/>
          <w:szCs w:val="32"/>
        </w:rPr>
        <w:t>（三）继续加强能力建设，不断提升工作水平。</w:t>
      </w:r>
      <w:r>
        <w:rPr>
          <w:rFonts w:hint="eastAsia" w:ascii="仿宋_GB2312" w:hAnsi="仿宋_GB2312" w:eastAsia="仿宋_GB2312" w:cs="仿宋_GB2312"/>
          <w:sz w:val="32"/>
          <w:szCs w:val="32"/>
        </w:rPr>
        <w:t>逐步将政务公开培训纳入各级领导干部和公务员培训内容，提升全员法制思维和公开意识。组织开展各种形式的培训班，加强沟通交流，提升工作人员的业务能力和全县公开工作水平。</w:t>
      </w:r>
    </w:p>
    <w:p>
      <w:pPr>
        <w:wordWrap w:val="0"/>
        <w:spacing w:line="560" w:lineRule="exact"/>
        <w:ind w:firstLine="643" w:firstLineChars="200"/>
        <w:jc w:val="left"/>
        <w:rPr>
          <w:rFonts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八、需要说明的事项及附表</w:t>
      </w:r>
    </w:p>
    <w:p>
      <w:pPr>
        <w:spacing w:line="560" w:lineRule="exact"/>
        <w:ind w:firstLine="576" w:firstLineChars="180"/>
        <w:rPr>
          <w:rFonts w:ascii="仿宋_GB2312" w:hAnsi="仿宋_GB2312" w:eastAsia="仿宋_GB2312" w:cs="仿宋_GB2312"/>
          <w:sz w:val="32"/>
          <w:szCs w:val="32"/>
        </w:rPr>
      </w:pPr>
      <w:r>
        <w:rPr>
          <w:rFonts w:hint="eastAsia" w:ascii="仿宋_GB2312" w:hAnsi="仿宋_GB2312" w:eastAsia="仿宋_GB2312" w:cs="仿宋_GB2312"/>
          <w:sz w:val="32"/>
          <w:szCs w:val="32"/>
        </w:rPr>
        <w:t>（一）本报告统计数据含12个镇办，经济开发区和63个部门、单位，统计期限自2018年1月1日起至2018年12月31日止。</w:t>
      </w:r>
    </w:p>
    <w:p>
      <w:pPr>
        <w:spacing w:line="560" w:lineRule="exact"/>
        <w:ind w:firstLine="576" w:firstLineChars="180"/>
        <w:rPr>
          <w:rFonts w:ascii="仿宋_GB2312" w:hAnsi="仿宋_GB2312" w:eastAsia="仿宋_GB2312" w:cs="仿宋_GB2312"/>
          <w:sz w:val="32"/>
          <w:szCs w:val="32"/>
        </w:rPr>
      </w:pPr>
      <w:r>
        <w:rPr>
          <w:rFonts w:hint="eastAsia" w:ascii="仿宋_GB2312" w:hAnsi="仿宋_GB2312" w:eastAsia="仿宋_GB2312" w:cs="仿宋_GB2312"/>
          <w:sz w:val="32"/>
          <w:szCs w:val="32"/>
        </w:rPr>
        <w:t>（二）本报告所列数据可能因四舍五入原因与数据直接相加之和存在尾数差异。</w:t>
      </w:r>
    </w:p>
    <w:p>
      <w:pPr>
        <w:spacing w:line="560" w:lineRule="exact"/>
        <w:ind w:firstLine="576" w:firstLineChars="180"/>
        <w:rPr>
          <w:rFonts w:ascii="仿宋_GB2312" w:hAnsi="仿宋_GB2312" w:eastAsia="仿宋_GB2312" w:cs="仿宋_GB2312"/>
          <w:sz w:val="32"/>
          <w:szCs w:val="32"/>
        </w:rPr>
      </w:pPr>
      <w:r>
        <w:rPr>
          <w:rFonts w:hint="eastAsia" w:ascii="仿宋_GB2312" w:hAnsi="仿宋_GB2312" w:eastAsia="仿宋_GB2312" w:cs="仿宋_GB2312"/>
          <w:sz w:val="32"/>
          <w:szCs w:val="32"/>
        </w:rPr>
        <w:t>（三）2018年度沂源县政府信息公开工作情况统计表。</w:t>
      </w:r>
    </w:p>
    <w:p>
      <w:pPr>
        <w:spacing w:line="560" w:lineRule="exact"/>
        <w:ind w:firstLine="579" w:firstLineChars="181"/>
        <w:rPr>
          <w:rFonts w:ascii="仿宋_GB2312" w:hAnsi="仿宋_GB2312" w:eastAsia="仿宋_GB2312" w:cs="仿宋_GB2312"/>
          <w:sz w:val="32"/>
          <w:szCs w:val="32"/>
        </w:rPr>
      </w:pPr>
    </w:p>
    <w:p>
      <w:pPr>
        <w:spacing w:line="560" w:lineRule="exact"/>
        <w:ind w:firstLine="4899" w:firstLineChars="1531"/>
        <w:rPr>
          <w:rFonts w:ascii="仿宋_GB2312" w:hAnsi="仿宋_GB2312" w:eastAsia="仿宋_GB2312" w:cs="仿宋_GB2312"/>
          <w:sz w:val="32"/>
          <w:szCs w:val="32"/>
        </w:rPr>
      </w:pPr>
      <w:r>
        <w:rPr>
          <w:rFonts w:hint="eastAsia" w:ascii="仿宋_GB2312" w:hAnsi="仿宋_GB2312" w:eastAsia="仿宋_GB2312" w:cs="仿宋_GB2312"/>
          <w:sz w:val="32"/>
          <w:szCs w:val="32"/>
        </w:rPr>
        <w:t>沂源县人民政府办公室</w:t>
      </w:r>
    </w:p>
    <w:p>
      <w:pPr>
        <w:spacing w:line="560" w:lineRule="exact"/>
        <w:ind w:firstLine="579" w:firstLineChars="181"/>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                              2019年03月27日</w:t>
      </w: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ascii="仿宋_GB2312" w:hAnsi="仿宋_GB2312" w:eastAsia="仿宋_GB2312" w:cs="仿宋_GB2312"/>
          <w:b/>
          <w:bCs/>
          <w:sz w:val="32"/>
          <w:szCs w:val="32"/>
        </w:rPr>
      </w:pPr>
      <w:bookmarkStart w:id="1" w:name="_GoBack"/>
      <w:bookmarkEnd w:id="1"/>
      <w:r>
        <w:rPr>
          <w:rFonts w:hint="eastAsia" w:ascii="仿宋_GB2312" w:hAnsi="仿宋_GB2312" w:eastAsia="仿宋_GB2312" w:cs="仿宋_GB2312"/>
          <w:b/>
          <w:bCs/>
          <w:sz w:val="32"/>
          <w:szCs w:val="32"/>
        </w:rPr>
        <w:t>附表：</w:t>
      </w:r>
    </w:p>
    <w:p>
      <w:pPr>
        <w:widowControl/>
        <w:spacing w:line="560" w:lineRule="exact"/>
        <w:jc w:val="center"/>
        <w:rPr>
          <w:rFonts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2018年度沂源县政府信息公开</w:t>
      </w:r>
    </w:p>
    <w:p>
      <w:pPr>
        <w:widowControl/>
        <w:spacing w:line="560" w:lineRule="exact"/>
        <w:jc w:val="center"/>
        <w:rPr>
          <w:rFonts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工作情况统计表</w:t>
      </w:r>
    </w:p>
    <w:tbl>
      <w:tblPr>
        <w:tblStyle w:val="9"/>
        <w:tblpPr w:leftFromText="180" w:rightFromText="180" w:vertAnchor="text" w:horzAnchor="page" w:tblpX="1228" w:tblpY="597"/>
        <w:tblOverlap w:val="never"/>
        <w:tblW w:w="9450" w:type="dxa"/>
        <w:tblInd w:w="0" w:type="dxa"/>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
      <w:tblGrid>
        <w:gridCol w:w="7433"/>
        <w:gridCol w:w="1002"/>
        <w:gridCol w:w="1015"/>
      </w:tblGrid>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b/>
                <w:sz w:val="20"/>
                <w:szCs w:val="20"/>
              </w:rPr>
            </w:pPr>
            <w:r>
              <w:rPr>
                <w:rFonts w:hint="eastAsia" w:ascii="宋体" w:hAnsi="宋体"/>
                <w:b/>
                <w:sz w:val="20"/>
                <w:szCs w:val="20"/>
              </w:rPr>
              <w:t>统　计　指　标</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b/>
                <w:sz w:val="20"/>
                <w:szCs w:val="20"/>
              </w:rPr>
            </w:pPr>
            <w:r>
              <w:rPr>
                <w:rFonts w:hint="eastAsia" w:ascii="宋体" w:hAnsi="宋体"/>
                <w:b/>
                <w:sz w:val="20"/>
                <w:szCs w:val="20"/>
              </w:rPr>
              <w:t>单位</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b/>
                <w:sz w:val="20"/>
                <w:szCs w:val="20"/>
              </w:rPr>
            </w:pPr>
            <w:r>
              <w:rPr>
                <w:rFonts w:hint="eastAsia" w:ascii="宋体" w:hAnsi="宋体"/>
                <w:b/>
                <w:sz w:val="20"/>
                <w:szCs w:val="20"/>
              </w:rPr>
              <w:t>统计数</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r2bl w:val="nil"/>
            </w:tcBorders>
            <w:vAlign w:val="center"/>
          </w:tcPr>
          <w:p>
            <w:pPr>
              <w:rPr>
                <w:rFonts w:ascii="宋体" w:hAnsi="宋体"/>
                <w:sz w:val="20"/>
                <w:szCs w:val="20"/>
              </w:rPr>
            </w:pPr>
            <w:r>
              <w:rPr>
                <w:rFonts w:hint="eastAsia" w:ascii="宋体" w:hAnsi="宋体"/>
                <w:b/>
                <w:sz w:val="20"/>
                <w:szCs w:val="20"/>
              </w:rPr>
              <w:t>一、主动公开情况</w:t>
            </w:r>
          </w:p>
        </w:tc>
        <w:tc>
          <w:tcPr>
            <w:tcW w:w="1002" w:type="dxa"/>
            <w:tcBorders>
              <w:top w:val="outset" w:color="000000" w:sz="6" w:space="0"/>
              <w:left w:val="outset" w:color="000000" w:sz="6" w:space="0"/>
              <w:bottom w:val="outset" w:color="000000" w:sz="6" w:space="0"/>
              <w:right w:val="outset" w:color="000000" w:sz="6" w:space="0"/>
              <w:tr2bl w:val="nil"/>
            </w:tcBorders>
            <w:vAlign w:val="center"/>
          </w:tcPr>
          <w:p>
            <w:pPr>
              <w:jc w:val="center"/>
              <w:rPr>
                <w:rFonts w:ascii="宋体" w:hAnsi="宋体"/>
                <w:sz w:val="20"/>
                <w:szCs w:val="20"/>
              </w:rPr>
            </w:pPr>
          </w:p>
        </w:tc>
        <w:tc>
          <w:tcPr>
            <w:tcW w:w="1015" w:type="dxa"/>
            <w:tcBorders>
              <w:top w:val="outset" w:color="000000" w:sz="6" w:space="0"/>
              <w:left w:val="outset" w:color="000000" w:sz="6" w:space="0"/>
              <w:bottom w:val="outset" w:color="000000" w:sz="6" w:space="0"/>
              <w:right w:val="outset" w:color="000000" w:sz="6" w:space="0"/>
              <w:tr2bl w:val="nil"/>
            </w:tcBorders>
            <w:vAlign w:val="center"/>
          </w:tcPr>
          <w:p>
            <w:pPr>
              <w:jc w:val="right"/>
              <w:rPr>
                <w:rFonts w:ascii="宋体" w:hAnsi="宋体"/>
                <w:sz w:val="20"/>
                <w:szCs w:val="20"/>
              </w:rPr>
            </w:pPr>
            <w:r>
              <w:rPr>
                <w:rFonts w:ascii="宋体" w:hAnsi="宋体"/>
                <w:sz w:val="20"/>
                <w:szCs w:val="20"/>
              </w:rPr>
              <w:t>　</w:t>
            </w:r>
          </w:p>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（一）主动公开政府信息数</w:t>
            </w:r>
            <w:r>
              <w:rPr>
                <w:rFonts w:hint="eastAsia" w:ascii="宋体" w:hAnsi="宋体"/>
                <w:sz w:val="20"/>
                <w:szCs w:val="20"/>
              </w:rPr>
              <w:t>（不同渠道和方式公开相同信息计1条）</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4856</w:t>
            </w:r>
            <w:r>
              <w:rPr>
                <w:rFonts w:ascii="宋体" w:hAnsi="宋体"/>
                <w:sz w:val="20"/>
                <w:szCs w:val="20"/>
              </w:rPr>
              <w:t>　　</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其中：主动公开规范性文件数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18</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制发规范性文件总数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（二）通过不同渠道和方式公开政府信息的情况</w:t>
            </w:r>
          </w:p>
        </w:tc>
        <w:tc>
          <w:tcPr>
            <w:tcW w:w="1002" w:type="dxa"/>
            <w:tcBorders>
              <w:top w:val="outset" w:color="000000" w:sz="6" w:space="0"/>
              <w:left w:val="outset" w:color="000000" w:sz="6" w:space="0"/>
              <w:bottom w:val="outset" w:color="000000" w:sz="6" w:space="0"/>
              <w:right w:val="outset" w:color="000000" w:sz="6" w:space="0"/>
              <w:tr2bl w:val="single" w:color="auto" w:sz="4" w:space="0"/>
            </w:tcBorders>
            <w:vAlign w:val="center"/>
          </w:tcPr>
          <w:p>
            <w:pPr>
              <w:jc w:val="center"/>
              <w:rPr>
                <w:rFonts w:ascii="宋体" w:hAnsi="宋体"/>
                <w:sz w:val="20"/>
                <w:szCs w:val="20"/>
              </w:rPr>
            </w:pP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ascii="宋体" w:hAnsi="宋体"/>
                <w:sz w:val="20"/>
                <w:szCs w:val="20"/>
              </w:rPr>
              <w:t>　</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1.政府公报公开政府信息数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2.政府网站公开政府信息数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4088</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3.政务微博公开政府信息数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4125</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33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4.政务微信公开政府信息数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4752</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5.其他方式公开政府信息数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256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r2bl w:val="nil"/>
            </w:tcBorders>
            <w:vAlign w:val="center"/>
          </w:tcPr>
          <w:p>
            <w:pPr>
              <w:rPr>
                <w:rFonts w:ascii="宋体" w:hAnsi="宋体"/>
                <w:b/>
                <w:sz w:val="20"/>
                <w:szCs w:val="20"/>
              </w:rPr>
            </w:pPr>
            <w:r>
              <w:rPr>
                <w:rFonts w:hint="eastAsia" w:ascii="宋体" w:hAnsi="宋体"/>
                <w:b/>
                <w:sz w:val="20"/>
                <w:szCs w:val="20"/>
              </w:rPr>
              <w:t>二、回应解读情况（不同方式回应同一热点或舆情计1次）</w:t>
            </w:r>
          </w:p>
        </w:tc>
        <w:tc>
          <w:tcPr>
            <w:tcW w:w="1002" w:type="dxa"/>
            <w:tcBorders>
              <w:top w:val="outset" w:color="000000" w:sz="6" w:space="0"/>
              <w:left w:val="outset" w:color="000000" w:sz="6" w:space="0"/>
              <w:bottom w:val="outset" w:color="000000" w:sz="6" w:space="0"/>
              <w:right w:val="outset" w:color="000000" w:sz="6" w:space="0"/>
              <w:tr2bl w:val="nil"/>
            </w:tcBorders>
            <w:vAlign w:val="center"/>
          </w:tcPr>
          <w:p>
            <w:pPr>
              <w:jc w:val="center"/>
              <w:rPr>
                <w:rFonts w:ascii="宋体" w:hAnsi="宋体"/>
                <w:sz w:val="20"/>
                <w:szCs w:val="20"/>
              </w:rPr>
            </w:pPr>
          </w:p>
        </w:tc>
        <w:tc>
          <w:tcPr>
            <w:tcW w:w="1015" w:type="dxa"/>
            <w:tcBorders>
              <w:top w:val="outset" w:color="000000" w:sz="6" w:space="0"/>
              <w:left w:val="single" w:color="auto" w:sz="0" w:space="0"/>
              <w:bottom w:val="outset" w:color="000000" w:sz="6" w:space="0"/>
              <w:right w:val="outset" w:color="000000" w:sz="6" w:space="0"/>
              <w:tr2bl w:val="nil"/>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ind w:firstLine="400" w:firstLineChars="200"/>
              <w:rPr>
                <w:rFonts w:ascii="宋体" w:hAnsi="宋体"/>
                <w:sz w:val="20"/>
                <w:szCs w:val="20"/>
              </w:rPr>
            </w:pPr>
            <w:r>
              <w:rPr>
                <w:rFonts w:ascii="宋体" w:hAnsi="宋体"/>
                <w:sz w:val="20"/>
                <w:szCs w:val="20"/>
              </w:rPr>
              <w:t>（一）回应公众关注热点或重大舆情数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33</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（二）通过不同渠道和方式回应解读的情况</w:t>
            </w:r>
          </w:p>
        </w:tc>
        <w:tc>
          <w:tcPr>
            <w:tcW w:w="1002" w:type="dxa"/>
            <w:tcBorders>
              <w:top w:val="outset" w:color="000000" w:sz="6" w:space="0"/>
              <w:left w:val="outset" w:color="000000" w:sz="6" w:space="0"/>
              <w:bottom w:val="outset" w:color="000000" w:sz="6" w:space="0"/>
              <w:right w:val="outset" w:color="000000" w:sz="6" w:space="0"/>
              <w:tr2bl w:val="single" w:color="auto" w:sz="4" w:space="0"/>
            </w:tcBorders>
            <w:vAlign w:val="center"/>
          </w:tcPr>
          <w:p>
            <w:pPr>
              <w:jc w:val="center"/>
              <w:rPr>
                <w:rFonts w:ascii="宋体" w:hAnsi="宋体"/>
                <w:sz w:val="20"/>
                <w:szCs w:val="20"/>
              </w:rPr>
            </w:pP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ascii="宋体" w:hAnsi="宋体"/>
                <w:sz w:val="20"/>
                <w:szCs w:val="20"/>
              </w:rPr>
              <w:t>　</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1.参加或举办新闻发布会总次数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其中：主要负责同志参加新闻发布会次数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2.政府网站在线访谈次数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8</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其中：主要负责同志参加政府网站在线访谈次数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8</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3.政策解读稿件发布数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篇</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56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4.微博微信回应事件数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5.其他方式回应事件数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78</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74" w:hRule="atLeast"/>
        </w:trPr>
        <w:tc>
          <w:tcPr>
            <w:tcW w:w="7433" w:type="dxa"/>
            <w:tcBorders>
              <w:top w:val="outset" w:color="000000" w:sz="6" w:space="0"/>
              <w:left w:val="outset" w:color="000000" w:sz="6" w:space="0"/>
              <w:bottom w:val="outset" w:color="000000" w:sz="6" w:space="0"/>
              <w:right w:val="outset" w:color="000000" w:sz="6" w:space="0"/>
              <w:tr2bl w:val="nil"/>
            </w:tcBorders>
            <w:vAlign w:val="center"/>
          </w:tcPr>
          <w:p>
            <w:pPr>
              <w:rPr>
                <w:rFonts w:ascii="宋体" w:hAnsi="宋体"/>
                <w:sz w:val="20"/>
                <w:szCs w:val="20"/>
              </w:rPr>
            </w:pPr>
            <w:r>
              <w:rPr>
                <w:rFonts w:hint="eastAsia" w:ascii="宋体" w:hAnsi="宋体"/>
                <w:b/>
                <w:sz w:val="20"/>
                <w:szCs w:val="20"/>
              </w:rPr>
              <w:t>三、依申请公开情况</w:t>
            </w:r>
          </w:p>
        </w:tc>
        <w:tc>
          <w:tcPr>
            <w:tcW w:w="1002" w:type="dxa"/>
            <w:tcBorders>
              <w:top w:val="outset" w:color="000000" w:sz="6" w:space="0"/>
              <w:left w:val="outset" w:color="000000" w:sz="6" w:space="0"/>
              <w:bottom w:val="outset" w:color="000000" w:sz="6" w:space="0"/>
              <w:right w:val="outset" w:color="000000" w:sz="6" w:space="0"/>
              <w:tr2bl w:val="nil"/>
            </w:tcBorders>
            <w:vAlign w:val="center"/>
          </w:tcPr>
          <w:p>
            <w:pPr>
              <w:snapToGrid w:val="0"/>
              <w:jc w:val="center"/>
              <w:rPr>
                <w:rFonts w:ascii="宋体" w:hAnsi="宋体"/>
                <w:sz w:val="20"/>
                <w:szCs w:val="20"/>
              </w:rPr>
            </w:pPr>
          </w:p>
          <w:p>
            <w:pPr>
              <w:jc w:val="center"/>
              <w:rPr>
                <w:rFonts w:ascii="宋体" w:hAnsi="宋体"/>
                <w:sz w:val="20"/>
                <w:szCs w:val="20"/>
              </w:rPr>
            </w:pPr>
          </w:p>
        </w:tc>
        <w:tc>
          <w:tcPr>
            <w:tcW w:w="1015" w:type="dxa"/>
            <w:tcBorders>
              <w:top w:val="outset" w:color="000000" w:sz="6" w:space="0"/>
              <w:left w:val="single" w:color="auto" w:sz="0" w:space="0"/>
              <w:bottom w:val="outset" w:color="000000" w:sz="6" w:space="0"/>
              <w:right w:val="outset" w:color="000000" w:sz="6" w:space="0"/>
              <w:tr2bl w:val="nil"/>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（一）收到申请数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54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1.当面申请数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2.传真申请数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single" w:color="auto" w:sz="4" w:space="0"/>
              <w:right w:val="outset" w:color="000000" w:sz="6" w:space="0"/>
            </w:tcBorders>
            <w:vAlign w:val="center"/>
          </w:tcPr>
          <w:p>
            <w:pPr>
              <w:rPr>
                <w:rFonts w:ascii="宋体" w:hAnsi="宋体"/>
                <w:sz w:val="20"/>
                <w:szCs w:val="20"/>
              </w:rPr>
            </w:pPr>
            <w:r>
              <w:rPr>
                <w:rFonts w:ascii="宋体" w:hAnsi="宋体"/>
                <w:sz w:val="20"/>
                <w:szCs w:val="20"/>
              </w:rPr>
              <w:t>　　　　　3.网络申请数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29</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single" w:color="auto" w:sz="4" w:space="0"/>
              <w:left w:val="single" w:color="auto" w:sz="4" w:space="0"/>
              <w:bottom w:val="single" w:color="auto" w:sz="4" w:space="0"/>
              <w:right w:val="outset" w:color="000000" w:sz="6" w:space="0"/>
            </w:tcBorders>
            <w:vAlign w:val="center"/>
          </w:tcPr>
          <w:p>
            <w:pPr>
              <w:rPr>
                <w:rFonts w:ascii="宋体" w:hAnsi="宋体"/>
                <w:sz w:val="20"/>
                <w:szCs w:val="20"/>
              </w:rPr>
            </w:pPr>
            <w:r>
              <w:rPr>
                <w:rFonts w:ascii="宋体" w:hAnsi="宋体"/>
                <w:sz w:val="20"/>
                <w:szCs w:val="20"/>
              </w:rPr>
              <w:t>　　　　　4.信函申请数</w:t>
            </w:r>
          </w:p>
        </w:tc>
        <w:tc>
          <w:tcPr>
            <w:tcW w:w="1002" w:type="dxa"/>
            <w:tcBorders>
              <w:top w:val="outset" w:color="000000" w:sz="6" w:space="0"/>
              <w:left w:val="outset" w:color="000000" w:sz="6" w:space="0"/>
              <w:bottom w:val="single" w:color="auto" w:sz="4"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single" w:color="auto" w:sz="4" w:space="0"/>
              <w:right w:val="outset" w:color="000000" w:sz="6" w:space="0"/>
            </w:tcBorders>
            <w:vAlign w:val="center"/>
          </w:tcPr>
          <w:p>
            <w:pPr>
              <w:jc w:val="right"/>
              <w:rPr>
                <w:rFonts w:ascii="宋体" w:hAnsi="宋体"/>
                <w:sz w:val="20"/>
                <w:szCs w:val="20"/>
              </w:rPr>
            </w:pPr>
            <w:r>
              <w:rPr>
                <w:rFonts w:hint="eastAsia" w:ascii="宋体" w:hAnsi="宋体"/>
                <w:sz w:val="20"/>
                <w:szCs w:val="20"/>
              </w:rPr>
              <w:t>14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single" w:color="auto" w:sz="4" w:space="0"/>
              <w:left w:val="single" w:color="auto" w:sz="4" w:space="0"/>
              <w:bottom w:val="outset" w:color="000000" w:sz="6" w:space="0"/>
              <w:right w:val="outset" w:color="000000" w:sz="6" w:space="0"/>
            </w:tcBorders>
            <w:vAlign w:val="center"/>
          </w:tcPr>
          <w:p>
            <w:pPr>
              <w:rPr>
                <w:rFonts w:ascii="宋体" w:hAnsi="宋体"/>
                <w:sz w:val="20"/>
                <w:szCs w:val="20"/>
              </w:rPr>
            </w:pPr>
            <w:r>
              <w:rPr>
                <w:rFonts w:hint="eastAsia" w:ascii="宋体" w:hAnsi="宋体"/>
                <w:sz w:val="20"/>
                <w:szCs w:val="20"/>
              </w:rPr>
              <w:t xml:space="preserve">          5.其他形式</w:t>
            </w:r>
          </w:p>
        </w:tc>
        <w:tc>
          <w:tcPr>
            <w:tcW w:w="1002" w:type="dxa"/>
            <w:tcBorders>
              <w:top w:val="single" w:color="auto" w:sz="4"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single" w:color="auto" w:sz="4"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（二）申请办结数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54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98"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1.按时办结数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54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2.延期办结数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（三）申请答复数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tbl>
            <w:tblPr>
              <w:tblStyle w:val="9"/>
              <w:tblpPr w:leftFromText="180" w:rightFromText="180" w:vertAnchor="text" w:horzAnchor="page" w:tblpX="1228" w:tblpY="597"/>
              <w:tblOverlap w:val="never"/>
              <w:tblW w:w="1015" w:type="dxa"/>
              <w:tblInd w:w="0" w:type="dxa"/>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
            <w:tblGrid>
              <w:gridCol w:w="1015"/>
            </w:tblGrid>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54</w:t>
                  </w:r>
                </w:p>
              </w:tc>
            </w:tr>
          </w:tbl>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1.属于已主动公开范围数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32</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2.同意公开答复数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3.同意部分公开答复数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5</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4.不同意公开答复数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其中：涉及国家秘密</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涉及商业秘密</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涉及个人隐私</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危及国家安全、公共安全、经济安全和社会稳定</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不是《条例》所指政府信息</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法律法规规定的其他情形</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5.不属于本行政机关公开数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6.申请信息不存在数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7.告知作出更改补充数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8.告知通过其他途径办理数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hint="eastAsia" w:ascii="宋体" w:hAnsi="宋体"/>
                <w:b/>
                <w:sz w:val="20"/>
                <w:szCs w:val="20"/>
              </w:rPr>
              <w:t>四、行政复议数量</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8</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（一）维持具体行政行为数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（二）被依法纠错数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（三）其他情形数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hint="eastAsia" w:ascii="宋体" w:hAnsi="宋体"/>
                <w:b/>
                <w:sz w:val="20"/>
                <w:szCs w:val="20"/>
              </w:rPr>
              <w:t>五、行政诉讼数量</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（一）维持具体行政行为或者驳回原告诉讼请求数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（二）被依法纠错数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（三）其他情形数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hint="eastAsia" w:ascii="宋体" w:hAnsi="宋体"/>
                <w:b/>
                <w:sz w:val="20"/>
                <w:szCs w:val="20"/>
              </w:rPr>
              <w:t>六、被举报投诉数量</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single" w:color="auto" w:sz="4" w:space="0"/>
              <w:right w:val="outset" w:color="000000" w:sz="6" w:space="0"/>
            </w:tcBorders>
            <w:vAlign w:val="center"/>
          </w:tcPr>
          <w:p>
            <w:pPr>
              <w:rPr>
                <w:rFonts w:ascii="宋体" w:hAnsi="宋体"/>
                <w:sz w:val="20"/>
                <w:szCs w:val="20"/>
              </w:rPr>
            </w:pPr>
            <w:r>
              <w:rPr>
                <w:rFonts w:ascii="宋体" w:hAnsi="宋体"/>
                <w:sz w:val="20"/>
                <w:szCs w:val="20"/>
              </w:rPr>
              <w:t>　　（一）维持具体行政行为数</w:t>
            </w:r>
          </w:p>
        </w:tc>
        <w:tc>
          <w:tcPr>
            <w:tcW w:w="1002" w:type="dxa"/>
            <w:tcBorders>
              <w:top w:val="outset" w:color="000000" w:sz="6" w:space="0"/>
              <w:left w:val="outset" w:color="000000" w:sz="6" w:space="0"/>
              <w:bottom w:val="single" w:color="auto" w:sz="4"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single" w:color="auto" w:sz="4"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single" w:color="auto" w:sz="4" w:space="0"/>
              <w:left w:val="outset" w:color="000000" w:sz="6" w:space="0"/>
              <w:bottom w:val="single" w:color="auto" w:sz="4" w:space="0"/>
              <w:right w:val="outset" w:color="000000" w:sz="6" w:space="0"/>
            </w:tcBorders>
            <w:vAlign w:val="center"/>
          </w:tcPr>
          <w:p>
            <w:pPr>
              <w:rPr>
                <w:rFonts w:ascii="宋体" w:hAnsi="宋体"/>
                <w:sz w:val="20"/>
                <w:szCs w:val="20"/>
              </w:rPr>
            </w:pPr>
            <w:r>
              <w:rPr>
                <w:rFonts w:ascii="宋体" w:hAnsi="宋体"/>
                <w:sz w:val="20"/>
                <w:szCs w:val="20"/>
              </w:rPr>
              <w:t>　　（二）被纠错数</w:t>
            </w:r>
          </w:p>
        </w:tc>
        <w:tc>
          <w:tcPr>
            <w:tcW w:w="1002" w:type="dxa"/>
            <w:tcBorders>
              <w:top w:val="single" w:color="auto" w:sz="4" w:space="0"/>
              <w:left w:val="outset" w:color="000000" w:sz="6" w:space="0"/>
              <w:bottom w:val="single" w:color="auto" w:sz="4"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single" w:color="auto" w:sz="4" w:space="0"/>
              <w:left w:val="outset" w:color="000000" w:sz="6" w:space="0"/>
              <w:bottom w:val="single" w:color="auto" w:sz="4"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single" w:color="auto" w:sz="4"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（三）其他情形数</w:t>
            </w:r>
          </w:p>
        </w:tc>
        <w:tc>
          <w:tcPr>
            <w:tcW w:w="1002" w:type="dxa"/>
            <w:tcBorders>
              <w:top w:val="single" w:color="auto" w:sz="4"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single" w:color="auto" w:sz="4"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3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hint="eastAsia" w:ascii="宋体" w:hAnsi="宋体"/>
                <w:b/>
                <w:sz w:val="20"/>
                <w:szCs w:val="20"/>
              </w:rPr>
              <w:t>七、向图书馆、档案馆等查阅场所报送信息数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10351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single" w:color="auto" w:sz="4" w:space="0"/>
              <w:right w:val="outset" w:color="000000" w:sz="6" w:space="0"/>
            </w:tcBorders>
            <w:vAlign w:val="center"/>
          </w:tcPr>
          <w:p>
            <w:pPr>
              <w:rPr>
                <w:rFonts w:ascii="宋体" w:hAnsi="宋体"/>
                <w:sz w:val="20"/>
                <w:szCs w:val="20"/>
              </w:rPr>
            </w:pPr>
            <w:r>
              <w:rPr>
                <w:rFonts w:ascii="宋体" w:hAnsi="宋体"/>
                <w:sz w:val="20"/>
                <w:szCs w:val="20"/>
              </w:rPr>
              <w:t>　　（一）</w:t>
            </w:r>
            <w:r>
              <w:rPr>
                <w:rFonts w:hint="eastAsia" w:ascii="宋体" w:hAnsi="宋体"/>
                <w:sz w:val="20"/>
                <w:szCs w:val="20"/>
              </w:rPr>
              <w:t>纸质文件数</w:t>
            </w:r>
          </w:p>
        </w:tc>
        <w:tc>
          <w:tcPr>
            <w:tcW w:w="1002" w:type="dxa"/>
            <w:tcBorders>
              <w:top w:val="outset" w:color="000000" w:sz="6" w:space="0"/>
              <w:left w:val="outset" w:color="000000" w:sz="6" w:space="0"/>
              <w:bottom w:val="single" w:color="auto" w:sz="4"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outset" w:color="000000" w:sz="6" w:space="0"/>
              <w:left w:val="outset" w:color="000000" w:sz="6" w:space="0"/>
              <w:bottom w:val="single" w:color="auto" w:sz="4" w:space="0"/>
              <w:right w:val="outset" w:color="000000" w:sz="6" w:space="0"/>
            </w:tcBorders>
            <w:vAlign w:val="center"/>
          </w:tcPr>
          <w:p>
            <w:pPr>
              <w:jc w:val="right"/>
              <w:rPr>
                <w:rFonts w:ascii="宋体" w:hAnsi="宋体"/>
                <w:sz w:val="20"/>
                <w:szCs w:val="20"/>
              </w:rPr>
            </w:pPr>
            <w:r>
              <w:rPr>
                <w:rFonts w:hint="eastAsia" w:ascii="宋体" w:hAnsi="宋体"/>
                <w:sz w:val="20"/>
                <w:szCs w:val="20"/>
              </w:rPr>
              <w:t>5136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single" w:color="auto" w:sz="4"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（二）</w:t>
            </w:r>
            <w:r>
              <w:rPr>
                <w:rFonts w:hint="eastAsia" w:ascii="宋体" w:hAnsi="宋体"/>
                <w:sz w:val="20"/>
                <w:szCs w:val="20"/>
              </w:rPr>
              <w:t>电子文件数</w:t>
            </w:r>
          </w:p>
        </w:tc>
        <w:tc>
          <w:tcPr>
            <w:tcW w:w="1002" w:type="dxa"/>
            <w:tcBorders>
              <w:top w:val="single" w:color="auto" w:sz="4"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single" w:color="auto" w:sz="4"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5215</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hint="eastAsia" w:ascii="宋体" w:hAnsi="宋体"/>
                <w:b/>
                <w:sz w:val="20"/>
                <w:szCs w:val="20"/>
              </w:rPr>
              <w:t>八、开通政府信息公开网站（或设立门户网站信息公开专栏）数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个</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single" w:color="auto" w:sz="4" w:space="0"/>
              <w:left w:val="outset" w:color="000000" w:sz="6" w:space="0"/>
              <w:bottom w:val="single" w:color="auto" w:sz="4" w:space="0"/>
              <w:right w:val="outset" w:color="000000" w:sz="6" w:space="0"/>
            </w:tcBorders>
            <w:vAlign w:val="center"/>
          </w:tcPr>
          <w:p>
            <w:pPr>
              <w:ind w:firstLine="400" w:firstLineChars="200"/>
              <w:rPr>
                <w:rFonts w:ascii="宋体" w:hAnsi="宋体"/>
                <w:sz w:val="20"/>
                <w:szCs w:val="20"/>
              </w:rPr>
            </w:pPr>
            <w:r>
              <w:rPr>
                <w:rFonts w:ascii="宋体" w:hAnsi="宋体"/>
                <w:sz w:val="20"/>
                <w:szCs w:val="20"/>
              </w:rPr>
              <w:t>（</w:t>
            </w:r>
            <w:r>
              <w:rPr>
                <w:rFonts w:hint="eastAsia" w:ascii="宋体" w:hAnsi="宋体"/>
                <w:sz w:val="20"/>
                <w:szCs w:val="20"/>
              </w:rPr>
              <w:t>一</w:t>
            </w:r>
            <w:r>
              <w:rPr>
                <w:rFonts w:ascii="宋体" w:hAnsi="宋体"/>
                <w:sz w:val="20"/>
                <w:szCs w:val="20"/>
              </w:rPr>
              <w:t>）</w:t>
            </w:r>
            <w:r>
              <w:rPr>
                <w:rFonts w:hint="eastAsia" w:ascii="宋体" w:hAnsi="宋体"/>
                <w:sz w:val="20"/>
                <w:szCs w:val="20"/>
              </w:rPr>
              <w:t>区县政府及其部门门户网站</w:t>
            </w:r>
          </w:p>
        </w:tc>
        <w:tc>
          <w:tcPr>
            <w:tcW w:w="1002" w:type="dxa"/>
            <w:tcBorders>
              <w:top w:val="single" w:color="auto" w:sz="4" w:space="0"/>
              <w:left w:val="outset" w:color="000000" w:sz="6" w:space="0"/>
              <w:bottom w:val="single" w:color="auto" w:sz="4" w:space="0"/>
              <w:right w:val="outset" w:color="000000" w:sz="6" w:space="0"/>
            </w:tcBorders>
            <w:vAlign w:val="center"/>
          </w:tcPr>
          <w:p>
            <w:pPr>
              <w:jc w:val="center"/>
              <w:rPr>
                <w:rFonts w:ascii="宋体" w:hAnsi="宋体"/>
                <w:sz w:val="20"/>
                <w:szCs w:val="20"/>
              </w:rPr>
            </w:pPr>
            <w:r>
              <w:rPr>
                <w:rFonts w:hint="eastAsia" w:ascii="宋体" w:hAnsi="宋体"/>
                <w:sz w:val="20"/>
                <w:szCs w:val="20"/>
              </w:rPr>
              <w:t>个</w:t>
            </w:r>
          </w:p>
        </w:tc>
        <w:tc>
          <w:tcPr>
            <w:tcW w:w="1015" w:type="dxa"/>
            <w:tcBorders>
              <w:top w:val="single" w:color="auto" w:sz="4" w:space="0"/>
              <w:left w:val="outset" w:color="000000" w:sz="6" w:space="0"/>
              <w:bottom w:val="single" w:color="auto" w:sz="4" w:space="0"/>
              <w:right w:val="outset" w:color="000000" w:sz="6" w:space="0"/>
            </w:tcBorders>
            <w:vAlign w:val="center"/>
          </w:tcPr>
          <w:p>
            <w:pPr>
              <w:jc w:val="right"/>
              <w:rPr>
                <w:rFonts w:ascii="宋体" w:hAnsi="宋体"/>
                <w:sz w:val="20"/>
                <w:szCs w:val="20"/>
              </w:rPr>
            </w:pPr>
            <w:r>
              <w:rPr>
                <w:rFonts w:hint="eastAsia" w:ascii="宋体" w:hAnsi="宋体"/>
                <w:sz w:val="20"/>
                <w:szCs w:val="20"/>
              </w:rPr>
              <w:t>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single" w:color="auto" w:sz="4" w:space="0"/>
              <w:left w:val="outset" w:color="000000" w:sz="6" w:space="0"/>
              <w:bottom w:val="single" w:color="auto" w:sz="4" w:space="0"/>
              <w:right w:val="outset" w:color="000000" w:sz="6" w:space="0"/>
            </w:tcBorders>
            <w:vAlign w:val="center"/>
          </w:tcPr>
          <w:p>
            <w:pPr>
              <w:ind w:firstLine="400" w:firstLineChars="200"/>
              <w:rPr>
                <w:rFonts w:ascii="宋体" w:hAnsi="宋体"/>
                <w:sz w:val="20"/>
                <w:szCs w:val="20"/>
              </w:rPr>
            </w:pPr>
            <w:r>
              <w:rPr>
                <w:rFonts w:hint="eastAsia" w:ascii="宋体" w:hAnsi="宋体"/>
                <w:sz w:val="20"/>
                <w:szCs w:val="20"/>
              </w:rPr>
              <w:t>（二）镇、街道办事处门户网站</w:t>
            </w:r>
          </w:p>
        </w:tc>
        <w:tc>
          <w:tcPr>
            <w:tcW w:w="1002" w:type="dxa"/>
            <w:tcBorders>
              <w:top w:val="single" w:color="auto" w:sz="4" w:space="0"/>
              <w:left w:val="outset" w:color="000000" w:sz="6" w:space="0"/>
              <w:bottom w:val="single" w:color="auto" w:sz="4" w:space="0"/>
              <w:right w:val="outset" w:color="000000" w:sz="6" w:space="0"/>
            </w:tcBorders>
            <w:vAlign w:val="center"/>
          </w:tcPr>
          <w:p>
            <w:pPr>
              <w:jc w:val="center"/>
              <w:rPr>
                <w:rFonts w:ascii="宋体" w:hAnsi="宋体"/>
                <w:sz w:val="20"/>
                <w:szCs w:val="20"/>
              </w:rPr>
            </w:pPr>
            <w:r>
              <w:rPr>
                <w:rFonts w:hint="eastAsia" w:ascii="宋体" w:hAnsi="宋体"/>
                <w:sz w:val="20"/>
                <w:szCs w:val="20"/>
              </w:rPr>
              <w:t>个</w:t>
            </w:r>
          </w:p>
        </w:tc>
        <w:tc>
          <w:tcPr>
            <w:tcW w:w="1015" w:type="dxa"/>
            <w:tcBorders>
              <w:top w:val="single" w:color="auto" w:sz="4" w:space="0"/>
              <w:left w:val="outset" w:color="000000" w:sz="6" w:space="0"/>
              <w:bottom w:val="single" w:color="auto" w:sz="4" w:space="0"/>
              <w:right w:val="outset" w:color="000000" w:sz="6" w:space="0"/>
            </w:tcBorders>
            <w:vAlign w:val="center"/>
          </w:tcPr>
          <w:p>
            <w:pPr>
              <w:jc w:val="right"/>
              <w:rPr>
                <w:rFonts w:ascii="宋体" w:hAnsi="宋体"/>
                <w:sz w:val="20"/>
                <w:szCs w:val="20"/>
              </w:rPr>
            </w:pPr>
            <w:r>
              <w:rPr>
                <w:rFonts w:hint="eastAsia" w:ascii="宋体" w:hAnsi="宋体"/>
                <w:sz w:val="20"/>
                <w:szCs w:val="20"/>
              </w:rPr>
              <w:t>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549" w:hRule="atLeast"/>
        </w:trPr>
        <w:tc>
          <w:tcPr>
            <w:tcW w:w="7433" w:type="dxa"/>
            <w:tcBorders>
              <w:top w:val="outset" w:color="000000" w:sz="6" w:space="0"/>
              <w:left w:val="outset" w:color="000000" w:sz="6" w:space="0"/>
              <w:bottom w:val="outset" w:color="000000" w:sz="6" w:space="0"/>
              <w:right w:val="outset" w:color="000000" w:sz="6" w:space="0"/>
              <w:tr2bl w:val="nil"/>
            </w:tcBorders>
            <w:vAlign w:val="center"/>
          </w:tcPr>
          <w:p>
            <w:pPr>
              <w:rPr>
                <w:rFonts w:ascii="宋体" w:hAnsi="宋体"/>
                <w:sz w:val="20"/>
                <w:szCs w:val="20"/>
              </w:rPr>
            </w:pPr>
            <w:r>
              <w:rPr>
                <w:rFonts w:hint="eastAsia" w:ascii="宋体" w:hAnsi="宋体"/>
                <w:b/>
                <w:sz w:val="20"/>
                <w:szCs w:val="20"/>
              </w:rPr>
              <w:t>九、政府公报发行量</w:t>
            </w:r>
          </w:p>
        </w:tc>
        <w:tc>
          <w:tcPr>
            <w:tcW w:w="1002" w:type="dxa"/>
            <w:tcBorders>
              <w:top w:val="outset" w:color="000000" w:sz="6" w:space="0"/>
              <w:left w:val="outset" w:color="000000" w:sz="6" w:space="0"/>
              <w:bottom w:val="outset" w:color="000000" w:sz="6" w:space="0"/>
              <w:right w:val="outset" w:color="000000" w:sz="6" w:space="0"/>
              <w:tr2bl w:val="nil"/>
            </w:tcBorders>
            <w:vAlign w:val="center"/>
          </w:tcPr>
          <w:p>
            <w:pPr>
              <w:snapToGrid w:val="0"/>
              <w:jc w:val="center"/>
              <w:rPr>
                <w:rFonts w:ascii="宋体" w:hAnsi="宋体"/>
                <w:sz w:val="20"/>
                <w:szCs w:val="20"/>
              </w:rPr>
            </w:pPr>
          </w:p>
          <w:p>
            <w:pPr>
              <w:jc w:val="center"/>
              <w:rPr>
                <w:rFonts w:ascii="宋体" w:hAnsi="宋体"/>
                <w:sz w:val="20"/>
                <w:szCs w:val="20"/>
              </w:rPr>
            </w:pPr>
          </w:p>
        </w:tc>
        <w:tc>
          <w:tcPr>
            <w:tcW w:w="1015" w:type="dxa"/>
            <w:tcBorders>
              <w:top w:val="outset" w:color="000000" w:sz="6" w:space="0"/>
              <w:left w:val="outset" w:color="000000" w:sz="6" w:space="0"/>
              <w:bottom w:val="outset" w:color="000000" w:sz="6" w:space="0"/>
              <w:right w:val="outset" w:color="000000" w:sz="6" w:space="0"/>
              <w:tr2bl w:val="nil"/>
            </w:tcBorders>
            <w:vAlign w:val="center"/>
          </w:tcPr>
          <w:p>
            <w:pPr>
              <w:jc w:val="right"/>
              <w:rPr>
                <w:rFonts w:ascii="宋体" w:hAnsi="宋体"/>
                <w:sz w:val="20"/>
                <w:szCs w:val="20"/>
              </w:rPr>
            </w:pPr>
            <w:r>
              <w:rPr>
                <w:rFonts w:ascii="宋体" w:hAnsi="宋体"/>
                <w:sz w:val="20"/>
                <w:szCs w:val="20"/>
              </w:rPr>
              <w:t xml:space="preserve">   </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single" w:color="auto" w:sz="4" w:space="0"/>
              <w:right w:val="outset" w:color="000000" w:sz="6" w:space="0"/>
            </w:tcBorders>
            <w:vAlign w:val="center"/>
          </w:tcPr>
          <w:p>
            <w:pPr>
              <w:ind w:firstLine="400" w:firstLineChars="200"/>
              <w:rPr>
                <w:rFonts w:ascii="宋体" w:hAnsi="宋体"/>
                <w:sz w:val="20"/>
                <w:szCs w:val="20"/>
              </w:rPr>
            </w:pPr>
            <w:r>
              <w:rPr>
                <w:rFonts w:ascii="宋体" w:hAnsi="宋体"/>
                <w:sz w:val="20"/>
                <w:szCs w:val="20"/>
              </w:rPr>
              <w:t>（一）</w:t>
            </w:r>
            <w:r>
              <w:rPr>
                <w:rFonts w:hint="eastAsia" w:ascii="宋体" w:hAnsi="宋体"/>
                <w:sz w:val="20"/>
                <w:szCs w:val="20"/>
              </w:rPr>
              <w:t>公报发行期数</w:t>
            </w:r>
          </w:p>
        </w:tc>
        <w:tc>
          <w:tcPr>
            <w:tcW w:w="1002" w:type="dxa"/>
            <w:tcBorders>
              <w:top w:val="outset" w:color="000000" w:sz="6" w:space="0"/>
              <w:left w:val="outset" w:color="000000" w:sz="6" w:space="0"/>
              <w:bottom w:val="single" w:color="auto" w:sz="4" w:space="0"/>
              <w:right w:val="outset" w:color="000000" w:sz="6" w:space="0"/>
            </w:tcBorders>
            <w:vAlign w:val="center"/>
          </w:tcPr>
          <w:p>
            <w:pPr>
              <w:jc w:val="center"/>
              <w:rPr>
                <w:rFonts w:ascii="宋体" w:hAnsi="宋体"/>
                <w:sz w:val="20"/>
                <w:szCs w:val="20"/>
              </w:rPr>
            </w:pPr>
            <w:r>
              <w:rPr>
                <w:rFonts w:hint="eastAsia" w:ascii="宋体" w:hAnsi="宋体"/>
                <w:sz w:val="20"/>
                <w:szCs w:val="20"/>
              </w:rPr>
              <w:t>期</w:t>
            </w:r>
          </w:p>
        </w:tc>
        <w:tc>
          <w:tcPr>
            <w:tcW w:w="1015" w:type="dxa"/>
            <w:tcBorders>
              <w:top w:val="outset" w:color="000000" w:sz="6" w:space="0"/>
              <w:left w:val="outset" w:color="000000" w:sz="6" w:space="0"/>
              <w:bottom w:val="single" w:color="auto" w:sz="4" w:space="0"/>
              <w:right w:val="outset" w:color="000000" w:sz="6" w:space="0"/>
            </w:tcBorders>
            <w:vAlign w:val="center"/>
          </w:tcPr>
          <w:p>
            <w:pPr>
              <w:jc w:val="right"/>
              <w:rPr>
                <w:rFonts w:ascii="宋体" w:hAnsi="宋体"/>
                <w:sz w:val="20"/>
                <w:szCs w:val="20"/>
              </w:rPr>
            </w:pPr>
            <w:r>
              <w:rPr>
                <w:rFonts w:hint="eastAsia" w:ascii="宋体" w:hAnsi="宋体"/>
                <w:sz w:val="20"/>
                <w:szCs w:val="20"/>
              </w:rPr>
              <w:t>5</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single" w:color="auto" w:sz="4" w:space="0"/>
              <w:left w:val="outset" w:color="000000" w:sz="6" w:space="0"/>
              <w:bottom w:val="outset" w:color="000000" w:sz="6" w:space="0"/>
              <w:right w:val="outset" w:color="000000" w:sz="6" w:space="0"/>
            </w:tcBorders>
            <w:vAlign w:val="center"/>
          </w:tcPr>
          <w:p>
            <w:pPr>
              <w:ind w:firstLine="400" w:firstLineChars="200"/>
              <w:rPr>
                <w:rFonts w:ascii="宋体" w:hAnsi="宋体"/>
                <w:sz w:val="20"/>
                <w:szCs w:val="20"/>
              </w:rPr>
            </w:pPr>
            <w:r>
              <w:rPr>
                <w:rFonts w:hint="eastAsia" w:ascii="宋体" w:hAnsi="宋体"/>
                <w:sz w:val="20"/>
                <w:szCs w:val="20"/>
              </w:rPr>
              <w:t>（二）公报发行总份数</w:t>
            </w:r>
          </w:p>
        </w:tc>
        <w:tc>
          <w:tcPr>
            <w:tcW w:w="1002" w:type="dxa"/>
            <w:tcBorders>
              <w:top w:val="single" w:color="auto" w:sz="4"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份</w:t>
            </w:r>
          </w:p>
        </w:tc>
        <w:tc>
          <w:tcPr>
            <w:tcW w:w="1015" w:type="dxa"/>
            <w:tcBorders>
              <w:top w:val="single" w:color="auto" w:sz="4"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500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hint="eastAsia" w:ascii="宋体" w:hAnsi="宋体"/>
                <w:b/>
                <w:sz w:val="20"/>
                <w:szCs w:val="20"/>
              </w:rPr>
              <w:t>十、设置政府信息查阅点数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个</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single" w:color="auto" w:sz="4" w:space="0"/>
              <w:left w:val="outset" w:color="000000" w:sz="6" w:space="0"/>
              <w:bottom w:val="single" w:color="auto" w:sz="4" w:space="0"/>
              <w:right w:val="outset" w:color="000000" w:sz="6" w:space="0"/>
            </w:tcBorders>
            <w:vAlign w:val="center"/>
          </w:tcPr>
          <w:p>
            <w:pPr>
              <w:ind w:firstLine="400" w:firstLineChars="200"/>
              <w:rPr>
                <w:rFonts w:ascii="宋体" w:hAnsi="宋体"/>
                <w:sz w:val="20"/>
                <w:szCs w:val="20"/>
              </w:rPr>
            </w:pPr>
            <w:r>
              <w:rPr>
                <w:rFonts w:ascii="宋体" w:hAnsi="宋体"/>
                <w:sz w:val="20"/>
                <w:szCs w:val="20"/>
              </w:rPr>
              <w:t>（</w:t>
            </w:r>
            <w:r>
              <w:rPr>
                <w:rFonts w:hint="eastAsia" w:ascii="宋体" w:hAnsi="宋体"/>
                <w:sz w:val="20"/>
                <w:szCs w:val="20"/>
              </w:rPr>
              <w:t>一</w:t>
            </w:r>
            <w:r>
              <w:rPr>
                <w:rFonts w:ascii="宋体" w:hAnsi="宋体"/>
                <w:sz w:val="20"/>
                <w:szCs w:val="20"/>
              </w:rPr>
              <w:t>）</w:t>
            </w:r>
            <w:r>
              <w:rPr>
                <w:rFonts w:hint="eastAsia" w:ascii="宋体" w:hAnsi="宋体"/>
                <w:sz w:val="20"/>
                <w:szCs w:val="20"/>
              </w:rPr>
              <w:t>区县政府及其部门</w:t>
            </w:r>
          </w:p>
        </w:tc>
        <w:tc>
          <w:tcPr>
            <w:tcW w:w="1002" w:type="dxa"/>
            <w:tcBorders>
              <w:top w:val="single" w:color="auto" w:sz="4" w:space="0"/>
              <w:left w:val="outset" w:color="000000" w:sz="6" w:space="0"/>
              <w:bottom w:val="single" w:color="auto" w:sz="4" w:space="0"/>
              <w:right w:val="outset" w:color="000000" w:sz="6" w:space="0"/>
            </w:tcBorders>
            <w:vAlign w:val="center"/>
          </w:tcPr>
          <w:p>
            <w:pPr>
              <w:jc w:val="center"/>
              <w:rPr>
                <w:rFonts w:ascii="宋体" w:hAnsi="宋体"/>
                <w:sz w:val="20"/>
                <w:szCs w:val="20"/>
              </w:rPr>
            </w:pPr>
            <w:r>
              <w:rPr>
                <w:rFonts w:hint="eastAsia" w:ascii="宋体" w:hAnsi="宋体"/>
                <w:sz w:val="20"/>
                <w:szCs w:val="20"/>
              </w:rPr>
              <w:t>个</w:t>
            </w:r>
          </w:p>
        </w:tc>
        <w:tc>
          <w:tcPr>
            <w:tcW w:w="1015" w:type="dxa"/>
            <w:tcBorders>
              <w:top w:val="single" w:color="auto" w:sz="4" w:space="0"/>
              <w:left w:val="outset" w:color="000000" w:sz="6" w:space="0"/>
              <w:bottom w:val="single" w:color="auto" w:sz="4" w:space="0"/>
              <w:right w:val="outset" w:color="000000" w:sz="6" w:space="0"/>
            </w:tcBorders>
            <w:vAlign w:val="center"/>
          </w:tcPr>
          <w:p>
            <w:pPr>
              <w:jc w:val="right"/>
              <w:rPr>
                <w:rFonts w:ascii="宋体" w:hAnsi="宋体"/>
                <w:sz w:val="20"/>
                <w:szCs w:val="20"/>
              </w:rPr>
            </w:pPr>
            <w:r>
              <w:rPr>
                <w:rFonts w:hint="eastAsia" w:ascii="宋体" w:hAnsi="宋体"/>
                <w:sz w:val="20"/>
                <w:szCs w:val="20"/>
              </w:rPr>
              <w:t>3</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single" w:color="auto" w:sz="4" w:space="0"/>
              <w:left w:val="outset" w:color="000000" w:sz="6" w:space="0"/>
              <w:bottom w:val="outset" w:color="000000" w:sz="6" w:space="0"/>
              <w:right w:val="outset" w:color="000000" w:sz="6" w:space="0"/>
            </w:tcBorders>
            <w:vAlign w:val="center"/>
          </w:tcPr>
          <w:p>
            <w:pPr>
              <w:ind w:firstLine="400" w:firstLineChars="200"/>
              <w:rPr>
                <w:rFonts w:ascii="宋体" w:hAnsi="宋体"/>
                <w:sz w:val="20"/>
                <w:szCs w:val="20"/>
              </w:rPr>
            </w:pPr>
            <w:r>
              <w:rPr>
                <w:rFonts w:ascii="宋体" w:hAnsi="宋体"/>
                <w:sz w:val="20"/>
                <w:szCs w:val="20"/>
              </w:rPr>
              <w:t>（</w:t>
            </w:r>
            <w:r>
              <w:rPr>
                <w:rFonts w:hint="eastAsia" w:ascii="宋体" w:hAnsi="宋体"/>
                <w:sz w:val="20"/>
                <w:szCs w:val="20"/>
              </w:rPr>
              <w:t>二</w:t>
            </w:r>
            <w:r>
              <w:rPr>
                <w:rFonts w:ascii="宋体" w:hAnsi="宋体"/>
                <w:sz w:val="20"/>
                <w:szCs w:val="20"/>
              </w:rPr>
              <w:t>）</w:t>
            </w:r>
            <w:r>
              <w:rPr>
                <w:rFonts w:hint="eastAsia" w:ascii="宋体" w:hAnsi="宋体"/>
                <w:sz w:val="20"/>
                <w:szCs w:val="20"/>
              </w:rPr>
              <w:t>镇办</w:t>
            </w:r>
          </w:p>
        </w:tc>
        <w:tc>
          <w:tcPr>
            <w:tcW w:w="1002" w:type="dxa"/>
            <w:tcBorders>
              <w:top w:val="single" w:color="auto" w:sz="4"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个</w:t>
            </w:r>
          </w:p>
        </w:tc>
        <w:tc>
          <w:tcPr>
            <w:tcW w:w="1015" w:type="dxa"/>
            <w:tcBorders>
              <w:top w:val="single" w:color="auto" w:sz="4"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13</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b/>
                <w:sz w:val="20"/>
                <w:szCs w:val="20"/>
              </w:rPr>
            </w:pPr>
            <w:r>
              <w:rPr>
                <w:rFonts w:hint="eastAsia" w:ascii="宋体" w:hAnsi="宋体"/>
                <w:b/>
                <w:sz w:val="20"/>
                <w:szCs w:val="20"/>
              </w:rPr>
              <w:t>十一、查阅点接待人数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479</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ind w:firstLine="400" w:firstLineChars="200"/>
              <w:rPr>
                <w:rFonts w:ascii="宋体" w:hAnsi="宋体"/>
                <w:b/>
                <w:sz w:val="20"/>
                <w:szCs w:val="20"/>
              </w:rPr>
            </w:pPr>
            <w:r>
              <w:rPr>
                <w:rFonts w:ascii="宋体" w:hAnsi="宋体"/>
                <w:sz w:val="20"/>
                <w:szCs w:val="20"/>
              </w:rPr>
              <w:t>（</w:t>
            </w:r>
            <w:r>
              <w:rPr>
                <w:rFonts w:hint="eastAsia" w:ascii="宋体" w:hAnsi="宋体"/>
                <w:sz w:val="20"/>
                <w:szCs w:val="20"/>
              </w:rPr>
              <w:t>一</w:t>
            </w:r>
            <w:r>
              <w:rPr>
                <w:rFonts w:ascii="宋体" w:hAnsi="宋体"/>
                <w:sz w:val="20"/>
                <w:szCs w:val="20"/>
              </w:rPr>
              <w:t>）</w:t>
            </w:r>
            <w:r>
              <w:rPr>
                <w:rFonts w:hint="eastAsia" w:ascii="宋体" w:hAnsi="宋体"/>
                <w:sz w:val="20"/>
                <w:szCs w:val="20"/>
              </w:rPr>
              <w:t>区县政府及其部门</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126</w:t>
            </w:r>
          </w:p>
        </w:tc>
      </w:tr>
      <w:tr>
        <w:tblPrEx>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ind w:firstLine="400" w:firstLineChars="200"/>
              <w:rPr>
                <w:rFonts w:ascii="宋体" w:hAnsi="宋体"/>
                <w:b/>
                <w:sz w:val="20"/>
                <w:szCs w:val="20"/>
              </w:rPr>
            </w:pPr>
            <w:r>
              <w:rPr>
                <w:rFonts w:ascii="宋体" w:hAnsi="宋体"/>
                <w:sz w:val="20"/>
                <w:szCs w:val="20"/>
              </w:rPr>
              <w:t>（</w:t>
            </w:r>
            <w:r>
              <w:rPr>
                <w:rFonts w:hint="eastAsia" w:ascii="宋体" w:hAnsi="宋体"/>
                <w:sz w:val="20"/>
                <w:szCs w:val="20"/>
              </w:rPr>
              <w:t>二</w:t>
            </w:r>
            <w:r>
              <w:rPr>
                <w:rFonts w:ascii="宋体" w:hAnsi="宋体"/>
                <w:sz w:val="20"/>
                <w:szCs w:val="20"/>
              </w:rPr>
              <w:t>）</w:t>
            </w:r>
            <w:r>
              <w:rPr>
                <w:rFonts w:hint="eastAsia" w:ascii="宋体" w:hAnsi="宋体"/>
                <w:sz w:val="20"/>
                <w:szCs w:val="20"/>
              </w:rPr>
              <w:t>镇办</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353</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59" w:hRule="atLeast"/>
        </w:trPr>
        <w:tc>
          <w:tcPr>
            <w:tcW w:w="7433" w:type="dxa"/>
            <w:tcBorders>
              <w:top w:val="outset" w:color="000000" w:sz="6" w:space="0"/>
              <w:left w:val="outset" w:color="000000" w:sz="6" w:space="0"/>
              <w:bottom w:val="outset" w:color="000000" w:sz="6" w:space="0"/>
              <w:right w:val="outset" w:color="000000" w:sz="6" w:space="0"/>
              <w:tr2bl w:val="nil"/>
            </w:tcBorders>
            <w:vAlign w:val="center"/>
          </w:tcPr>
          <w:p>
            <w:pPr>
              <w:rPr>
                <w:rFonts w:ascii="宋体" w:hAnsi="宋体"/>
                <w:sz w:val="20"/>
                <w:szCs w:val="20"/>
              </w:rPr>
            </w:pPr>
            <w:r>
              <w:rPr>
                <w:rFonts w:hint="eastAsia" w:ascii="宋体" w:hAnsi="宋体"/>
                <w:b/>
                <w:sz w:val="20"/>
                <w:szCs w:val="20"/>
              </w:rPr>
              <w:t>十二、机构建设和保障经费情况</w:t>
            </w:r>
          </w:p>
        </w:tc>
        <w:tc>
          <w:tcPr>
            <w:tcW w:w="1002" w:type="dxa"/>
            <w:tcBorders>
              <w:top w:val="outset" w:color="000000" w:sz="6" w:space="0"/>
              <w:left w:val="outset" w:color="000000" w:sz="6" w:space="0"/>
              <w:bottom w:val="outset" w:color="000000" w:sz="6" w:space="0"/>
              <w:right w:val="outset" w:color="000000" w:sz="6" w:space="0"/>
              <w:tr2bl w:val="nil"/>
            </w:tcBorders>
            <w:vAlign w:val="center"/>
          </w:tcPr>
          <w:p>
            <w:pPr>
              <w:snapToGrid w:val="0"/>
              <w:jc w:val="center"/>
              <w:rPr>
                <w:rFonts w:ascii="宋体" w:hAnsi="宋体"/>
                <w:sz w:val="20"/>
                <w:szCs w:val="20"/>
              </w:rPr>
            </w:pPr>
          </w:p>
          <w:p>
            <w:pPr>
              <w:jc w:val="center"/>
              <w:rPr>
                <w:rFonts w:ascii="宋体" w:hAnsi="宋体"/>
                <w:sz w:val="20"/>
                <w:szCs w:val="20"/>
              </w:rPr>
            </w:pPr>
          </w:p>
        </w:tc>
        <w:tc>
          <w:tcPr>
            <w:tcW w:w="1015" w:type="dxa"/>
            <w:tcBorders>
              <w:top w:val="outset" w:color="000000" w:sz="6" w:space="0"/>
              <w:left w:val="outset" w:color="000000" w:sz="6" w:space="0"/>
              <w:bottom w:val="outset" w:color="000000" w:sz="6" w:space="0"/>
              <w:right w:val="outset" w:color="000000" w:sz="6" w:space="0"/>
              <w:tr2bl w:val="nil"/>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（一）政府信息公开工作机构数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个</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76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w:t>
            </w:r>
            <w:r>
              <w:rPr>
                <w:rFonts w:hint="eastAsia" w:ascii="宋体" w:hAnsi="宋体"/>
                <w:sz w:val="20"/>
                <w:szCs w:val="20"/>
              </w:rPr>
              <w:t>二</w:t>
            </w:r>
            <w:r>
              <w:rPr>
                <w:rFonts w:ascii="宋体" w:hAnsi="宋体"/>
                <w:sz w:val="20"/>
                <w:szCs w:val="20"/>
              </w:rPr>
              <w:t>）从事政府信息公开工作人员数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人</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1.专职人员数（不包括政府公报及政府网站工作人员数）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人</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76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2.兼职人员数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人</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64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w:t>
            </w:r>
            <w:r>
              <w:rPr>
                <w:rFonts w:hint="eastAsia" w:ascii="宋体" w:hAnsi="宋体"/>
                <w:sz w:val="20"/>
                <w:szCs w:val="20"/>
              </w:rPr>
              <w:t>三</w:t>
            </w:r>
            <w:r>
              <w:rPr>
                <w:rFonts w:ascii="宋体" w:hAnsi="宋体"/>
                <w:sz w:val="20"/>
                <w:szCs w:val="20"/>
              </w:rPr>
              <w:t>）政府信息公开专项经费（不包括用于政府公报编辑管理及政府网站建设</w:t>
            </w:r>
            <w:r>
              <w:rPr>
                <w:rFonts w:hint="eastAsia" w:ascii="宋体" w:hAnsi="宋体"/>
                <w:sz w:val="20"/>
                <w:szCs w:val="20"/>
              </w:rPr>
              <w:t>维</w:t>
            </w:r>
            <w:r>
              <w:rPr>
                <w:rFonts w:ascii="宋体" w:hAnsi="宋体"/>
                <w:sz w:val="20"/>
                <w:szCs w:val="20"/>
              </w:rPr>
              <w:t>护等方面的经费）</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万元</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r2bl w:val="nil"/>
            </w:tcBorders>
            <w:vAlign w:val="center"/>
          </w:tcPr>
          <w:p>
            <w:pPr>
              <w:rPr>
                <w:rFonts w:ascii="宋体" w:hAnsi="宋体"/>
                <w:sz w:val="20"/>
                <w:szCs w:val="20"/>
              </w:rPr>
            </w:pPr>
            <w:r>
              <w:rPr>
                <w:rFonts w:hint="eastAsia" w:ascii="宋体" w:hAnsi="宋体"/>
                <w:b/>
                <w:sz w:val="20"/>
                <w:szCs w:val="20"/>
              </w:rPr>
              <w:t>十三、政府信息公开会议和培训情况</w:t>
            </w:r>
          </w:p>
        </w:tc>
        <w:tc>
          <w:tcPr>
            <w:tcW w:w="1002" w:type="dxa"/>
            <w:tcBorders>
              <w:top w:val="outset" w:color="000000" w:sz="6" w:space="0"/>
              <w:left w:val="outset" w:color="000000" w:sz="6" w:space="0"/>
              <w:bottom w:val="outset" w:color="000000" w:sz="6" w:space="0"/>
              <w:right w:val="outset" w:color="000000" w:sz="6" w:space="0"/>
              <w:tr2bl w:val="nil"/>
            </w:tcBorders>
            <w:vAlign w:val="center"/>
          </w:tcPr>
          <w:p>
            <w:pPr>
              <w:jc w:val="center"/>
              <w:rPr>
                <w:rFonts w:ascii="宋体" w:hAnsi="宋体"/>
                <w:sz w:val="20"/>
                <w:szCs w:val="20"/>
              </w:rPr>
            </w:pPr>
          </w:p>
        </w:tc>
        <w:tc>
          <w:tcPr>
            <w:tcW w:w="1015" w:type="dxa"/>
            <w:tcBorders>
              <w:top w:val="outset" w:color="000000" w:sz="6" w:space="0"/>
              <w:left w:val="outset" w:color="000000" w:sz="6" w:space="0"/>
              <w:bottom w:val="outset" w:color="000000" w:sz="6" w:space="0"/>
              <w:right w:val="outset" w:color="000000" w:sz="6" w:space="0"/>
              <w:tr2bl w:val="nil"/>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（一）召开政府信息公开工作会议或专题会议数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（二）举办各类培训班数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3</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（三）接受培训人员数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人次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228</w:t>
            </w:r>
          </w:p>
        </w:tc>
      </w:tr>
    </w:tbl>
    <w:p>
      <w:pPr>
        <w:widowControl/>
        <w:spacing w:line="560" w:lineRule="exact"/>
        <w:jc w:val="left"/>
        <w:rPr>
          <w:rFonts w:ascii="仿宋_GB2312" w:hAnsi="仿宋_GB2312" w:eastAsia="仿宋_GB2312" w:cs="仿宋_GB2312"/>
          <w:sz w:val="32"/>
          <w:szCs w:val="32"/>
        </w:rPr>
      </w:pPr>
    </w:p>
    <w:p>
      <w:pPr>
        <w:widowControl/>
        <w:spacing w:line="560" w:lineRule="exact"/>
        <w:jc w:val="left"/>
        <w:rPr>
          <w:rFonts w:ascii="仿宋_GB2312" w:hAnsi="仿宋_GB2312" w:eastAsia="仿宋_GB2312" w:cs="仿宋_GB2312"/>
          <w:sz w:val="32"/>
          <w:szCs w:val="32"/>
        </w:rPr>
      </w:pPr>
    </w:p>
    <w:sectPr>
      <w:headerReference r:id="rId3" w:type="default"/>
      <w:footerReference r:id="rId5" w:type="default"/>
      <w:headerReference r:id="rId4" w:type="even"/>
      <w:footerReference r:id="rId6" w:type="even"/>
      <w:pgSz w:w="11906" w:h="16838"/>
      <w:pgMar w:top="1587" w:right="1587" w:bottom="1587" w:left="1587" w:header="851" w:footer="992" w:gutter="0"/>
      <w:pgBorders>
        <w:top w:val="threeDEngrave" w:color="8DB3E2" w:themeColor="text2" w:themeTint="66" w:sz="24" w:space="5"/>
      </w:pgBorders>
      <w:pgNumType w:fmt="decimalFullWidth"/>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A00002EF" w:usb1="4000004B" w:usb2="00000000" w:usb3="00000000" w:csb0="2000009F" w:csb1="00000000"/>
  </w:font>
  <w:font w:name="Goudy Old Style">
    <w:panose1 w:val="02020502050305020303"/>
    <w:charset w:val="00"/>
    <w:family w:val="roman"/>
    <w:pitch w:val="default"/>
    <w:sig w:usb0="00000003" w:usb1="00000000" w:usb2="00000000" w:usb3="00000000" w:csb0="20000001" w:csb1="00000000"/>
  </w:font>
  <w:font w:name="仿宋_GB2312">
    <w:panose1 w:val="02010609030101010101"/>
    <w:charset w:val="86"/>
    <w:family w:val="modern"/>
    <w:pitch w:val="default"/>
    <w:sig w:usb0="00000001" w:usb1="080E0000" w:usb2="00000000" w:usb3="00000000" w:csb0="00040000" w:csb1="00000000"/>
  </w:font>
  <w:font w:name="方正小标宋简体">
    <w:panose1 w:val="03000509000000000000"/>
    <w:charset w:val="86"/>
    <w:family w:val="script"/>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pPr>
    <w:r>
      <w:fldChar w:fldCharType="begin"/>
    </w:r>
    <w:r>
      <w:instrText xml:space="preserve"> PAGE   \* MERGEFORMAT </w:instrText>
    </w:r>
    <w:r>
      <w:fldChar w:fldCharType="separate"/>
    </w:r>
    <w:r>
      <w:rPr>
        <w:rFonts w:hint="eastAsia"/>
        <w:lang w:val="zh-CN"/>
      </w:rPr>
      <w:t>１９</w:t>
    </w:r>
    <w:r>
      <w:rPr>
        <w:lang w:val="zh-CN"/>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fldChar w:fldCharType="begin"/>
    </w:r>
    <w:r>
      <w:instrText xml:space="preserve"> PAGE   \* MERGEFORMAT </w:instrText>
    </w:r>
    <w:r>
      <w:fldChar w:fldCharType="separate"/>
    </w:r>
    <w:r>
      <w:rPr>
        <w:rFonts w:hint="eastAsia"/>
        <w:lang w:val="zh-CN"/>
      </w:rPr>
      <w:t>２０</w:t>
    </w:r>
    <w:r>
      <w:rPr>
        <w:lang w:val="zh-CN"/>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right"/>
      <w:rPr>
        <w:sz w:val="18"/>
        <w:szCs w:val="18"/>
      </w:rPr>
    </w:pPr>
    <w:r>
      <w:rPr>
        <w:rFonts w:hint="eastAsia"/>
        <w:sz w:val="18"/>
        <w:szCs w:val="18"/>
      </w:rPr>
      <w:t>2018年沂源县政府信息公开工作年度报告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none" w:color="auto" w:sz="0" w:space="0"/>
      </w:pBdr>
      <w:tabs>
        <w:tab w:val="left" w:pos="765"/>
        <w:tab w:val="clear" w:pos="4153"/>
        <w:tab w:val="clear" w:pos="8306"/>
      </w:tabs>
      <w:jc w:val="both"/>
    </w:pPr>
    <w:r>
      <w:rPr>
        <w:rFonts w:hint="eastAsia"/>
        <w:sz w:val="18"/>
      </w:rPr>
      <w:t>2018　Yiyuan Xian ZhengFuXinXiGongKaiGongZuoNianD</w:t>
    </w:r>
    <w:r>
      <w:rPr>
        <w:sz w:val="18"/>
      </w:rPr>
      <w:t>u</w:t>
    </w:r>
    <w:r>
      <w:rPr>
        <w:rFonts w:hint="eastAsia"/>
        <w:sz w:val="18"/>
      </w:rPr>
      <w:t>BaoGao</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B9AACE3"/>
    <w:multiLevelType w:val="singleLevel"/>
    <w:tmpl w:val="8B9AACE3"/>
    <w:lvl w:ilvl="0" w:tentative="0">
      <w:start w:val="3"/>
      <w:numFmt w:val="decimal"/>
      <w:suff w:val="nothing"/>
      <w:lvlText w:val="%1、"/>
      <w:lvlJc w:val="left"/>
    </w:lvl>
  </w:abstractNum>
  <w:abstractNum w:abstractNumId="1">
    <w:nsid w:val="A19B54DF"/>
    <w:multiLevelType w:val="singleLevel"/>
    <w:tmpl w:val="A19B54DF"/>
    <w:lvl w:ilvl="0" w:tentative="0">
      <w:start w:val="1"/>
      <w:numFmt w:val="decimal"/>
      <w:suff w:val="nothing"/>
      <w:lvlText w:val="%1、"/>
      <w:lvlJc w:val="left"/>
    </w:lvl>
  </w:abstractNum>
  <w:abstractNum w:abstractNumId="2">
    <w:nsid w:val="A997F22D"/>
    <w:multiLevelType w:val="singleLevel"/>
    <w:tmpl w:val="A997F22D"/>
    <w:lvl w:ilvl="0" w:tentative="0">
      <w:start w:val="1"/>
      <w:numFmt w:val="chineseCounting"/>
      <w:suff w:val="nothing"/>
      <w:lvlText w:val="（%1）"/>
      <w:lvlJc w:val="left"/>
      <w:rPr>
        <w:rFonts w:hint="eastAsia"/>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val="1"/>
  <w:bordersDoNotSurroundHeader w:val="1"/>
  <w:bordersDoNotSurroundFooter w:val="1"/>
  <w:documentProtection w:enforcement="0"/>
  <w:defaultTabStop w:val="420"/>
  <w:evenAndOddHeaders w:val="1"/>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5FAE48BE"/>
    <w:rsid w:val="000002DA"/>
    <w:rsid w:val="00010663"/>
    <w:rsid w:val="00013C33"/>
    <w:rsid w:val="00014971"/>
    <w:rsid w:val="0002321D"/>
    <w:rsid w:val="00023A3C"/>
    <w:rsid w:val="000247F0"/>
    <w:rsid w:val="00031246"/>
    <w:rsid w:val="00031955"/>
    <w:rsid w:val="000379A8"/>
    <w:rsid w:val="00037AFC"/>
    <w:rsid w:val="00045B6E"/>
    <w:rsid w:val="00047811"/>
    <w:rsid w:val="00054342"/>
    <w:rsid w:val="00056785"/>
    <w:rsid w:val="00056AAE"/>
    <w:rsid w:val="00056BCB"/>
    <w:rsid w:val="00060087"/>
    <w:rsid w:val="00064FF0"/>
    <w:rsid w:val="0006753A"/>
    <w:rsid w:val="00072971"/>
    <w:rsid w:val="00083B59"/>
    <w:rsid w:val="00086CEC"/>
    <w:rsid w:val="000918BC"/>
    <w:rsid w:val="000A475A"/>
    <w:rsid w:val="000A7505"/>
    <w:rsid w:val="000B12B0"/>
    <w:rsid w:val="000C4674"/>
    <w:rsid w:val="000C7C6B"/>
    <w:rsid w:val="000D0542"/>
    <w:rsid w:val="000D4851"/>
    <w:rsid w:val="000D70DA"/>
    <w:rsid w:val="000E03EC"/>
    <w:rsid w:val="000E0B92"/>
    <w:rsid w:val="000E0F16"/>
    <w:rsid w:val="000E49DB"/>
    <w:rsid w:val="000E4D4A"/>
    <w:rsid w:val="000E6279"/>
    <w:rsid w:val="000F2326"/>
    <w:rsid w:val="000F2562"/>
    <w:rsid w:val="000F26C0"/>
    <w:rsid w:val="000F636D"/>
    <w:rsid w:val="001002ED"/>
    <w:rsid w:val="0010046D"/>
    <w:rsid w:val="001017ED"/>
    <w:rsid w:val="00101C01"/>
    <w:rsid w:val="001022AE"/>
    <w:rsid w:val="0010782F"/>
    <w:rsid w:val="00107E7D"/>
    <w:rsid w:val="001231C3"/>
    <w:rsid w:val="001245E1"/>
    <w:rsid w:val="00131C05"/>
    <w:rsid w:val="001353AA"/>
    <w:rsid w:val="00140896"/>
    <w:rsid w:val="00141088"/>
    <w:rsid w:val="00142CBA"/>
    <w:rsid w:val="00151AC4"/>
    <w:rsid w:val="00152ED3"/>
    <w:rsid w:val="00154674"/>
    <w:rsid w:val="00154D42"/>
    <w:rsid w:val="0016244F"/>
    <w:rsid w:val="00181E34"/>
    <w:rsid w:val="00184B72"/>
    <w:rsid w:val="00184D8B"/>
    <w:rsid w:val="00185648"/>
    <w:rsid w:val="00185954"/>
    <w:rsid w:val="00185CAD"/>
    <w:rsid w:val="00186D22"/>
    <w:rsid w:val="00187348"/>
    <w:rsid w:val="001905D5"/>
    <w:rsid w:val="001959C9"/>
    <w:rsid w:val="001A0A4D"/>
    <w:rsid w:val="001B0F46"/>
    <w:rsid w:val="001B15F5"/>
    <w:rsid w:val="001B316C"/>
    <w:rsid w:val="001B3A36"/>
    <w:rsid w:val="001B5277"/>
    <w:rsid w:val="001C092F"/>
    <w:rsid w:val="001C22C1"/>
    <w:rsid w:val="001C23EC"/>
    <w:rsid w:val="001C3DE8"/>
    <w:rsid w:val="001C3E3E"/>
    <w:rsid w:val="001D3EB3"/>
    <w:rsid w:val="001E0B90"/>
    <w:rsid w:val="001E1900"/>
    <w:rsid w:val="001E24F7"/>
    <w:rsid w:val="001E5153"/>
    <w:rsid w:val="001F1CC0"/>
    <w:rsid w:val="00200631"/>
    <w:rsid w:val="00203CC4"/>
    <w:rsid w:val="0020637B"/>
    <w:rsid w:val="00207E9C"/>
    <w:rsid w:val="0021031C"/>
    <w:rsid w:val="00223639"/>
    <w:rsid w:val="002240D0"/>
    <w:rsid w:val="0022798A"/>
    <w:rsid w:val="00232C04"/>
    <w:rsid w:val="00235E5A"/>
    <w:rsid w:val="00235EAD"/>
    <w:rsid w:val="002360A7"/>
    <w:rsid w:val="0024305D"/>
    <w:rsid w:val="00260F8C"/>
    <w:rsid w:val="002625F4"/>
    <w:rsid w:val="00270852"/>
    <w:rsid w:val="0027504F"/>
    <w:rsid w:val="00275461"/>
    <w:rsid w:val="00275A1A"/>
    <w:rsid w:val="0027771A"/>
    <w:rsid w:val="00277A2B"/>
    <w:rsid w:val="00284749"/>
    <w:rsid w:val="00294287"/>
    <w:rsid w:val="002A1D05"/>
    <w:rsid w:val="002A6095"/>
    <w:rsid w:val="002B1BDB"/>
    <w:rsid w:val="002B2D4F"/>
    <w:rsid w:val="002B6F97"/>
    <w:rsid w:val="002C336C"/>
    <w:rsid w:val="002D26F6"/>
    <w:rsid w:val="002D38AC"/>
    <w:rsid w:val="002D7DCF"/>
    <w:rsid w:val="002E1837"/>
    <w:rsid w:val="002E2A9B"/>
    <w:rsid w:val="002E422F"/>
    <w:rsid w:val="002E4930"/>
    <w:rsid w:val="002E6D17"/>
    <w:rsid w:val="002E6DCA"/>
    <w:rsid w:val="002F2F57"/>
    <w:rsid w:val="002F465F"/>
    <w:rsid w:val="00303671"/>
    <w:rsid w:val="003036CE"/>
    <w:rsid w:val="0030738E"/>
    <w:rsid w:val="00307A32"/>
    <w:rsid w:val="0031201A"/>
    <w:rsid w:val="0031553B"/>
    <w:rsid w:val="00316844"/>
    <w:rsid w:val="00316F82"/>
    <w:rsid w:val="003200E0"/>
    <w:rsid w:val="00320226"/>
    <w:rsid w:val="0032204F"/>
    <w:rsid w:val="00322B81"/>
    <w:rsid w:val="00326D58"/>
    <w:rsid w:val="00331BEC"/>
    <w:rsid w:val="00335A0F"/>
    <w:rsid w:val="0033624F"/>
    <w:rsid w:val="00342F6A"/>
    <w:rsid w:val="0034440B"/>
    <w:rsid w:val="003464F5"/>
    <w:rsid w:val="00346CC4"/>
    <w:rsid w:val="0034757E"/>
    <w:rsid w:val="003505EA"/>
    <w:rsid w:val="00360ACB"/>
    <w:rsid w:val="00360B9F"/>
    <w:rsid w:val="00366222"/>
    <w:rsid w:val="003673D6"/>
    <w:rsid w:val="0037106B"/>
    <w:rsid w:val="003736E7"/>
    <w:rsid w:val="003755A0"/>
    <w:rsid w:val="00376B2F"/>
    <w:rsid w:val="00385E17"/>
    <w:rsid w:val="0038788F"/>
    <w:rsid w:val="0039195A"/>
    <w:rsid w:val="0039252E"/>
    <w:rsid w:val="00394317"/>
    <w:rsid w:val="00395F7F"/>
    <w:rsid w:val="003A60D6"/>
    <w:rsid w:val="003A62EC"/>
    <w:rsid w:val="003B0F4A"/>
    <w:rsid w:val="003B35E9"/>
    <w:rsid w:val="003B4CEC"/>
    <w:rsid w:val="003C1701"/>
    <w:rsid w:val="003D2C8A"/>
    <w:rsid w:val="003D42EF"/>
    <w:rsid w:val="003D71B3"/>
    <w:rsid w:val="003E1B6B"/>
    <w:rsid w:val="003E3423"/>
    <w:rsid w:val="003F3493"/>
    <w:rsid w:val="003F6BB1"/>
    <w:rsid w:val="003F7503"/>
    <w:rsid w:val="003F7B8D"/>
    <w:rsid w:val="004051D6"/>
    <w:rsid w:val="00405F67"/>
    <w:rsid w:val="00417875"/>
    <w:rsid w:val="00426231"/>
    <w:rsid w:val="004300AC"/>
    <w:rsid w:val="00430733"/>
    <w:rsid w:val="004313A8"/>
    <w:rsid w:val="00442D47"/>
    <w:rsid w:val="004449FB"/>
    <w:rsid w:val="00447C87"/>
    <w:rsid w:val="00452342"/>
    <w:rsid w:val="00453B23"/>
    <w:rsid w:val="00454394"/>
    <w:rsid w:val="00454827"/>
    <w:rsid w:val="004561E9"/>
    <w:rsid w:val="00456D9B"/>
    <w:rsid w:val="0045746A"/>
    <w:rsid w:val="00460FB2"/>
    <w:rsid w:val="004665A5"/>
    <w:rsid w:val="004666E6"/>
    <w:rsid w:val="00470576"/>
    <w:rsid w:val="00471C23"/>
    <w:rsid w:val="00476ED7"/>
    <w:rsid w:val="00484B04"/>
    <w:rsid w:val="004862D1"/>
    <w:rsid w:val="00490382"/>
    <w:rsid w:val="00493EFB"/>
    <w:rsid w:val="00495ED9"/>
    <w:rsid w:val="004A1CC6"/>
    <w:rsid w:val="004A1F14"/>
    <w:rsid w:val="004A4650"/>
    <w:rsid w:val="004B01D6"/>
    <w:rsid w:val="004B747D"/>
    <w:rsid w:val="004C2429"/>
    <w:rsid w:val="004C5094"/>
    <w:rsid w:val="004C5F1E"/>
    <w:rsid w:val="004D3541"/>
    <w:rsid w:val="004D3E7C"/>
    <w:rsid w:val="004E1170"/>
    <w:rsid w:val="004E12D8"/>
    <w:rsid w:val="004E2347"/>
    <w:rsid w:val="004E5447"/>
    <w:rsid w:val="004E6CCC"/>
    <w:rsid w:val="004F10BD"/>
    <w:rsid w:val="004F16D6"/>
    <w:rsid w:val="004F7419"/>
    <w:rsid w:val="0050598B"/>
    <w:rsid w:val="00505C8D"/>
    <w:rsid w:val="00505CB3"/>
    <w:rsid w:val="00507047"/>
    <w:rsid w:val="00512B8B"/>
    <w:rsid w:val="005139EA"/>
    <w:rsid w:val="00513FD8"/>
    <w:rsid w:val="00514679"/>
    <w:rsid w:val="005242EB"/>
    <w:rsid w:val="00524312"/>
    <w:rsid w:val="005246B4"/>
    <w:rsid w:val="0053782D"/>
    <w:rsid w:val="00545A5B"/>
    <w:rsid w:val="00546286"/>
    <w:rsid w:val="00546C19"/>
    <w:rsid w:val="00562A2C"/>
    <w:rsid w:val="0056480C"/>
    <w:rsid w:val="00564858"/>
    <w:rsid w:val="0057240C"/>
    <w:rsid w:val="005739FB"/>
    <w:rsid w:val="00575C3A"/>
    <w:rsid w:val="00593B8F"/>
    <w:rsid w:val="00596F4C"/>
    <w:rsid w:val="005A007F"/>
    <w:rsid w:val="005A1BE5"/>
    <w:rsid w:val="005A2A7B"/>
    <w:rsid w:val="005A3BD0"/>
    <w:rsid w:val="005A3C3C"/>
    <w:rsid w:val="005A79F2"/>
    <w:rsid w:val="005C621E"/>
    <w:rsid w:val="005D781D"/>
    <w:rsid w:val="005E0A43"/>
    <w:rsid w:val="005E417A"/>
    <w:rsid w:val="005F2376"/>
    <w:rsid w:val="005F6670"/>
    <w:rsid w:val="005F6CE8"/>
    <w:rsid w:val="00603337"/>
    <w:rsid w:val="006211A0"/>
    <w:rsid w:val="00624005"/>
    <w:rsid w:val="00633D34"/>
    <w:rsid w:val="00634E77"/>
    <w:rsid w:val="00635051"/>
    <w:rsid w:val="0063663E"/>
    <w:rsid w:val="006469F3"/>
    <w:rsid w:val="00647C0F"/>
    <w:rsid w:val="00652167"/>
    <w:rsid w:val="00652B6B"/>
    <w:rsid w:val="00653558"/>
    <w:rsid w:val="00654847"/>
    <w:rsid w:val="00660A53"/>
    <w:rsid w:val="006711C5"/>
    <w:rsid w:val="00675FA9"/>
    <w:rsid w:val="00676F4F"/>
    <w:rsid w:val="006812C8"/>
    <w:rsid w:val="00681F22"/>
    <w:rsid w:val="00684BE6"/>
    <w:rsid w:val="0069074F"/>
    <w:rsid w:val="00694E39"/>
    <w:rsid w:val="0069579F"/>
    <w:rsid w:val="006A0357"/>
    <w:rsid w:val="006A06DF"/>
    <w:rsid w:val="006A20AE"/>
    <w:rsid w:val="006A2609"/>
    <w:rsid w:val="006A36DB"/>
    <w:rsid w:val="006A372D"/>
    <w:rsid w:val="006A3E69"/>
    <w:rsid w:val="006A5259"/>
    <w:rsid w:val="006A5BAF"/>
    <w:rsid w:val="006B0F2E"/>
    <w:rsid w:val="006B410A"/>
    <w:rsid w:val="006C5630"/>
    <w:rsid w:val="006C7B15"/>
    <w:rsid w:val="006D1FD9"/>
    <w:rsid w:val="006D49D6"/>
    <w:rsid w:val="006D659A"/>
    <w:rsid w:val="006E35A1"/>
    <w:rsid w:val="006E3ACC"/>
    <w:rsid w:val="006E41D3"/>
    <w:rsid w:val="006E45E2"/>
    <w:rsid w:val="006F0252"/>
    <w:rsid w:val="006F21B9"/>
    <w:rsid w:val="007016F4"/>
    <w:rsid w:val="00710D0C"/>
    <w:rsid w:val="007248D4"/>
    <w:rsid w:val="00726CA4"/>
    <w:rsid w:val="00727094"/>
    <w:rsid w:val="007276FB"/>
    <w:rsid w:val="007278E9"/>
    <w:rsid w:val="00732E71"/>
    <w:rsid w:val="00732F54"/>
    <w:rsid w:val="00737A28"/>
    <w:rsid w:val="00742A26"/>
    <w:rsid w:val="00744F8B"/>
    <w:rsid w:val="007467D5"/>
    <w:rsid w:val="00752AF8"/>
    <w:rsid w:val="00753EE7"/>
    <w:rsid w:val="00754DA7"/>
    <w:rsid w:val="00754E10"/>
    <w:rsid w:val="0077738B"/>
    <w:rsid w:val="00780C62"/>
    <w:rsid w:val="00783992"/>
    <w:rsid w:val="00784A5F"/>
    <w:rsid w:val="00792297"/>
    <w:rsid w:val="007942A6"/>
    <w:rsid w:val="007A084B"/>
    <w:rsid w:val="007A0D24"/>
    <w:rsid w:val="007A496E"/>
    <w:rsid w:val="007B291F"/>
    <w:rsid w:val="007B3E5D"/>
    <w:rsid w:val="007B69DF"/>
    <w:rsid w:val="007C1677"/>
    <w:rsid w:val="007D0060"/>
    <w:rsid w:val="007D1F69"/>
    <w:rsid w:val="007D5ADC"/>
    <w:rsid w:val="007E057A"/>
    <w:rsid w:val="007F182F"/>
    <w:rsid w:val="007F2998"/>
    <w:rsid w:val="007F51F2"/>
    <w:rsid w:val="007F6C3F"/>
    <w:rsid w:val="007F7BA7"/>
    <w:rsid w:val="00802292"/>
    <w:rsid w:val="00803674"/>
    <w:rsid w:val="0080469C"/>
    <w:rsid w:val="00806947"/>
    <w:rsid w:val="008069E8"/>
    <w:rsid w:val="00811312"/>
    <w:rsid w:val="0081334C"/>
    <w:rsid w:val="00817759"/>
    <w:rsid w:val="0082089C"/>
    <w:rsid w:val="0082760B"/>
    <w:rsid w:val="008331B2"/>
    <w:rsid w:val="008359F2"/>
    <w:rsid w:val="00835DDC"/>
    <w:rsid w:val="00840900"/>
    <w:rsid w:val="00840E98"/>
    <w:rsid w:val="00844BE0"/>
    <w:rsid w:val="00851241"/>
    <w:rsid w:val="00852E7C"/>
    <w:rsid w:val="008604A0"/>
    <w:rsid w:val="00860EAA"/>
    <w:rsid w:val="008644E9"/>
    <w:rsid w:val="00864607"/>
    <w:rsid w:val="00864A12"/>
    <w:rsid w:val="0086794C"/>
    <w:rsid w:val="00880CA9"/>
    <w:rsid w:val="0088792D"/>
    <w:rsid w:val="00892287"/>
    <w:rsid w:val="00893CE0"/>
    <w:rsid w:val="00897F87"/>
    <w:rsid w:val="008A1B58"/>
    <w:rsid w:val="008A396E"/>
    <w:rsid w:val="008A721C"/>
    <w:rsid w:val="008B0946"/>
    <w:rsid w:val="008B0FC8"/>
    <w:rsid w:val="008B5214"/>
    <w:rsid w:val="008C53B8"/>
    <w:rsid w:val="008D129F"/>
    <w:rsid w:val="008D466D"/>
    <w:rsid w:val="008E01D3"/>
    <w:rsid w:val="008E0E14"/>
    <w:rsid w:val="008E613F"/>
    <w:rsid w:val="008E6CFE"/>
    <w:rsid w:val="008E7265"/>
    <w:rsid w:val="008F23B3"/>
    <w:rsid w:val="008F3E72"/>
    <w:rsid w:val="008F5767"/>
    <w:rsid w:val="008F599D"/>
    <w:rsid w:val="00904198"/>
    <w:rsid w:val="00905D4A"/>
    <w:rsid w:val="00907B25"/>
    <w:rsid w:val="009167D3"/>
    <w:rsid w:val="00922ED1"/>
    <w:rsid w:val="009257D3"/>
    <w:rsid w:val="00930352"/>
    <w:rsid w:val="00937097"/>
    <w:rsid w:val="00944F91"/>
    <w:rsid w:val="00952806"/>
    <w:rsid w:val="009534AB"/>
    <w:rsid w:val="00954B2E"/>
    <w:rsid w:val="009561E4"/>
    <w:rsid w:val="00956902"/>
    <w:rsid w:val="00963F02"/>
    <w:rsid w:val="00963FC3"/>
    <w:rsid w:val="00964D01"/>
    <w:rsid w:val="00975D66"/>
    <w:rsid w:val="00983184"/>
    <w:rsid w:val="00986545"/>
    <w:rsid w:val="0099196A"/>
    <w:rsid w:val="0099465A"/>
    <w:rsid w:val="0099546A"/>
    <w:rsid w:val="00997452"/>
    <w:rsid w:val="009A0242"/>
    <w:rsid w:val="009B12E6"/>
    <w:rsid w:val="009C6A23"/>
    <w:rsid w:val="009C6DEE"/>
    <w:rsid w:val="009C799F"/>
    <w:rsid w:val="009D129C"/>
    <w:rsid w:val="009D37FE"/>
    <w:rsid w:val="009D3908"/>
    <w:rsid w:val="009D62C8"/>
    <w:rsid w:val="009E3A84"/>
    <w:rsid w:val="009E3E64"/>
    <w:rsid w:val="009F0976"/>
    <w:rsid w:val="009F0E31"/>
    <w:rsid w:val="00A00108"/>
    <w:rsid w:val="00A00BF1"/>
    <w:rsid w:val="00A02690"/>
    <w:rsid w:val="00A039FE"/>
    <w:rsid w:val="00A1034B"/>
    <w:rsid w:val="00A1228C"/>
    <w:rsid w:val="00A139BB"/>
    <w:rsid w:val="00A146AE"/>
    <w:rsid w:val="00A20874"/>
    <w:rsid w:val="00A22F07"/>
    <w:rsid w:val="00A25D87"/>
    <w:rsid w:val="00A26F59"/>
    <w:rsid w:val="00A31035"/>
    <w:rsid w:val="00A35EA9"/>
    <w:rsid w:val="00A36F6B"/>
    <w:rsid w:val="00A47EC2"/>
    <w:rsid w:val="00A517B2"/>
    <w:rsid w:val="00A563FF"/>
    <w:rsid w:val="00A56D49"/>
    <w:rsid w:val="00A625BD"/>
    <w:rsid w:val="00A63623"/>
    <w:rsid w:val="00A74CE9"/>
    <w:rsid w:val="00A90552"/>
    <w:rsid w:val="00A917A0"/>
    <w:rsid w:val="00A976C0"/>
    <w:rsid w:val="00AA25E1"/>
    <w:rsid w:val="00AA6330"/>
    <w:rsid w:val="00AB2615"/>
    <w:rsid w:val="00AB2EAF"/>
    <w:rsid w:val="00AC015B"/>
    <w:rsid w:val="00AC02DB"/>
    <w:rsid w:val="00AC3AC0"/>
    <w:rsid w:val="00AC63E3"/>
    <w:rsid w:val="00AC7F82"/>
    <w:rsid w:val="00AD32D6"/>
    <w:rsid w:val="00AD5512"/>
    <w:rsid w:val="00AD6041"/>
    <w:rsid w:val="00AE7D2D"/>
    <w:rsid w:val="00AF414F"/>
    <w:rsid w:val="00B0271C"/>
    <w:rsid w:val="00B042B6"/>
    <w:rsid w:val="00B05603"/>
    <w:rsid w:val="00B13C5E"/>
    <w:rsid w:val="00B14411"/>
    <w:rsid w:val="00B14482"/>
    <w:rsid w:val="00B1744E"/>
    <w:rsid w:val="00B21D26"/>
    <w:rsid w:val="00B23E39"/>
    <w:rsid w:val="00B25B52"/>
    <w:rsid w:val="00B26747"/>
    <w:rsid w:val="00B325EB"/>
    <w:rsid w:val="00B3319D"/>
    <w:rsid w:val="00B33942"/>
    <w:rsid w:val="00B3703D"/>
    <w:rsid w:val="00B37EBD"/>
    <w:rsid w:val="00B41880"/>
    <w:rsid w:val="00B44659"/>
    <w:rsid w:val="00B5109A"/>
    <w:rsid w:val="00B52856"/>
    <w:rsid w:val="00B5338B"/>
    <w:rsid w:val="00B623CC"/>
    <w:rsid w:val="00B71E6E"/>
    <w:rsid w:val="00B71EED"/>
    <w:rsid w:val="00B769A4"/>
    <w:rsid w:val="00B829B3"/>
    <w:rsid w:val="00B839D4"/>
    <w:rsid w:val="00B851A4"/>
    <w:rsid w:val="00B91D4A"/>
    <w:rsid w:val="00BA1B57"/>
    <w:rsid w:val="00BA2075"/>
    <w:rsid w:val="00BB136F"/>
    <w:rsid w:val="00BB4553"/>
    <w:rsid w:val="00BB46C0"/>
    <w:rsid w:val="00BC208B"/>
    <w:rsid w:val="00BC2209"/>
    <w:rsid w:val="00BC48D1"/>
    <w:rsid w:val="00BC7FF4"/>
    <w:rsid w:val="00BD0736"/>
    <w:rsid w:val="00BD08F5"/>
    <w:rsid w:val="00BD34F1"/>
    <w:rsid w:val="00BD3BA6"/>
    <w:rsid w:val="00BD46D9"/>
    <w:rsid w:val="00BE24AE"/>
    <w:rsid w:val="00BE5D4B"/>
    <w:rsid w:val="00BE6FD3"/>
    <w:rsid w:val="00BE78F4"/>
    <w:rsid w:val="00BF66BA"/>
    <w:rsid w:val="00BF77B0"/>
    <w:rsid w:val="00C0199A"/>
    <w:rsid w:val="00C0257F"/>
    <w:rsid w:val="00C029D9"/>
    <w:rsid w:val="00C035A9"/>
    <w:rsid w:val="00C037AB"/>
    <w:rsid w:val="00C2370E"/>
    <w:rsid w:val="00C237C3"/>
    <w:rsid w:val="00C278BB"/>
    <w:rsid w:val="00C30F55"/>
    <w:rsid w:val="00C320F3"/>
    <w:rsid w:val="00C322B7"/>
    <w:rsid w:val="00C40FF2"/>
    <w:rsid w:val="00C4376F"/>
    <w:rsid w:val="00C437D4"/>
    <w:rsid w:val="00C50E6E"/>
    <w:rsid w:val="00C53FB1"/>
    <w:rsid w:val="00C55E50"/>
    <w:rsid w:val="00C5710B"/>
    <w:rsid w:val="00C67484"/>
    <w:rsid w:val="00C73623"/>
    <w:rsid w:val="00C74C2B"/>
    <w:rsid w:val="00C80113"/>
    <w:rsid w:val="00C81F34"/>
    <w:rsid w:val="00C83617"/>
    <w:rsid w:val="00C84340"/>
    <w:rsid w:val="00C9483E"/>
    <w:rsid w:val="00C9542A"/>
    <w:rsid w:val="00CA1C88"/>
    <w:rsid w:val="00CB1586"/>
    <w:rsid w:val="00CB52A5"/>
    <w:rsid w:val="00CC3F60"/>
    <w:rsid w:val="00CD143F"/>
    <w:rsid w:val="00CD19D2"/>
    <w:rsid w:val="00CD2F76"/>
    <w:rsid w:val="00CD404C"/>
    <w:rsid w:val="00CE3DA8"/>
    <w:rsid w:val="00CF4260"/>
    <w:rsid w:val="00D07308"/>
    <w:rsid w:val="00D07722"/>
    <w:rsid w:val="00D14ED4"/>
    <w:rsid w:val="00D212A5"/>
    <w:rsid w:val="00D27B2D"/>
    <w:rsid w:val="00D32EA2"/>
    <w:rsid w:val="00D3663A"/>
    <w:rsid w:val="00D43F15"/>
    <w:rsid w:val="00D44F3B"/>
    <w:rsid w:val="00D457E1"/>
    <w:rsid w:val="00D51BC5"/>
    <w:rsid w:val="00D5493A"/>
    <w:rsid w:val="00D562D2"/>
    <w:rsid w:val="00D6014F"/>
    <w:rsid w:val="00D610AF"/>
    <w:rsid w:val="00D62398"/>
    <w:rsid w:val="00D62513"/>
    <w:rsid w:val="00D77F96"/>
    <w:rsid w:val="00D77F9D"/>
    <w:rsid w:val="00D82001"/>
    <w:rsid w:val="00D90B9B"/>
    <w:rsid w:val="00D93E09"/>
    <w:rsid w:val="00D975BC"/>
    <w:rsid w:val="00D9778F"/>
    <w:rsid w:val="00DA5A75"/>
    <w:rsid w:val="00DB0F3A"/>
    <w:rsid w:val="00DB7639"/>
    <w:rsid w:val="00DB78CD"/>
    <w:rsid w:val="00DC6AA8"/>
    <w:rsid w:val="00DE4FC6"/>
    <w:rsid w:val="00DF0598"/>
    <w:rsid w:val="00DF2E4B"/>
    <w:rsid w:val="00DF343C"/>
    <w:rsid w:val="00DF6ABE"/>
    <w:rsid w:val="00E040EB"/>
    <w:rsid w:val="00E07CDB"/>
    <w:rsid w:val="00E10A89"/>
    <w:rsid w:val="00E15F5E"/>
    <w:rsid w:val="00E20319"/>
    <w:rsid w:val="00E238FE"/>
    <w:rsid w:val="00E23CEE"/>
    <w:rsid w:val="00E260F4"/>
    <w:rsid w:val="00E26173"/>
    <w:rsid w:val="00E300A8"/>
    <w:rsid w:val="00E322E9"/>
    <w:rsid w:val="00E3446F"/>
    <w:rsid w:val="00E35D6A"/>
    <w:rsid w:val="00E37CAC"/>
    <w:rsid w:val="00E40493"/>
    <w:rsid w:val="00E444F1"/>
    <w:rsid w:val="00E45760"/>
    <w:rsid w:val="00E45ADA"/>
    <w:rsid w:val="00E46656"/>
    <w:rsid w:val="00E47A27"/>
    <w:rsid w:val="00E56CC4"/>
    <w:rsid w:val="00E61704"/>
    <w:rsid w:val="00E63D54"/>
    <w:rsid w:val="00E7024D"/>
    <w:rsid w:val="00E74FF9"/>
    <w:rsid w:val="00E76E3E"/>
    <w:rsid w:val="00E774DE"/>
    <w:rsid w:val="00E814BD"/>
    <w:rsid w:val="00E8199F"/>
    <w:rsid w:val="00E81AF5"/>
    <w:rsid w:val="00E81FBD"/>
    <w:rsid w:val="00E869B9"/>
    <w:rsid w:val="00E875D1"/>
    <w:rsid w:val="00E87C90"/>
    <w:rsid w:val="00E91A01"/>
    <w:rsid w:val="00EB47C6"/>
    <w:rsid w:val="00ED0529"/>
    <w:rsid w:val="00ED3D9E"/>
    <w:rsid w:val="00EE0E4B"/>
    <w:rsid w:val="00EE1168"/>
    <w:rsid w:val="00EE1E22"/>
    <w:rsid w:val="00EE26B3"/>
    <w:rsid w:val="00EE37AA"/>
    <w:rsid w:val="00EE475F"/>
    <w:rsid w:val="00EE4EA9"/>
    <w:rsid w:val="00EF5C43"/>
    <w:rsid w:val="00F01647"/>
    <w:rsid w:val="00F01A22"/>
    <w:rsid w:val="00F03974"/>
    <w:rsid w:val="00F04867"/>
    <w:rsid w:val="00F11F1E"/>
    <w:rsid w:val="00F30ACD"/>
    <w:rsid w:val="00F31D9C"/>
    <w:rsid w:val="00F32922"/>
    <w:rsid w:val="00F340F1"/>
    <w:rsid w:val="00F34F6C"/>
    <w:rsid w:val="00F44C3F"/>
    <w:rsid w:val="00F525DE"/>
    <w:rsid w:val="00F62EE1"/>
    <w:rsid w:val="00F72080"/>
    <w:rsid w:val="00F73D1F"/>
    <w:rsid w:val="00F746EA"/>
    <w:rsid w:val="00F80C26"/>
    <w:rsid w:val="00F84F7B"/>
    <w:rsid w:val="00F85CB4"/>
    <w:rsid w:val="00F86586"/>
    <w:rsid w:val="00F90D45"/>
    <w:rsid w:val="00F91DB9"/>
    <w:rsid w:val="00F958FB"/>
    <w:rsid w:val="00F964BE"/>
    <w:rsid w:val="00FA0AFD"/>
    <w:rsid w:val="00FA1915"/>
    <w:rsid w:val="00FA5098"/>
    <w:rsid w:val="00FA5190"/>
    <w:rsid w:val="00FA6F70"/>
    <w:rsid w:val="00FB336B"/>
    <w:rsid w:val="00FB66EF"/>
    <w:rsid w:val="00FB6749"/>
    <w:rsid w:val="00FC0576"/>
    <w:rsid w:val="00FC59F6"/>
    <w:rsid w:val="00FC795B"/>
    <w:rsid w:val="00FD22B3"/>
    <w:rsid w:val="00FD3394"/>
    <w:rsid w:val="00FD3EB5"/>
    <w:rsid w:val="00FD5269"/>
    <w:rsid w:val="00FE0509"/>
    <w:rsid w:val="00FE182E"/>
    <w:rsid w:val="00FE27C1"/>
    <w:rsid w:val="00FE317D"/>
    <w:rsid w:val="00FE49C2"/>
    <w:rsid w:val="00FE547B"/>
    <w:rsid w:val="00FE5F42"/>
    <w:rsid w:val="00FF1094"/>
    <w:rsid w:val="00FF473A"/>
    <w:rsid w:val="00FF781E"/>
    <w:rsid w:val="02315E4A"/>
    <w:rsid w:val="02457B96"/>
    <w:rsid w:val="038F3CD9"/>
    <w:rsid w:val="03AB781E"/>
    <w:rsid w:val="03FB258C"/>
    <w:rsid w:val="058F1065"/>
    <w:rsid w:val="065F2A1D"/>
    <w:rsid w:val="06F22694"/>
    <w:rsid w:val="07787854"/>
    <w:rsid w:val="07976DDA"/>
    <w:rsid w:val="08351C6F"/>
    <w:rsid w:val="09045E8D"/>
    <w:rsid w:val="095B4EC9"/>
    <w:rsid w:val="09934D3A"/>
    <w:rsid w:val="0A9542E4"/>
    <w:rsid w:val="0AF60B68"/>
    <w:rsid w:val="0C2027DD"/>
    <w:rsid w:val="0D477751"/>
    <w:rsid w:val="0D4B4B17"/>
    <w:rsid w:val="0D7A1E73"/>
    <w:rsid w:val="0D9A0977"/>
    <w:rsid w:val="0DAE6959"/>
    <w:rsid w:val="0E957779"/>
    <w:rsid w:val="0F0160EF"/>
    <w:rsid w:val="103C4E4C"/>
    <w:rsid w:val="104F19EA"/>
    <w:rsid w:val="10A639DE"/>
    <w:rsid w:val="10EC647E"/>
    <w:rsid w:val="10F13F8F"/>
    <w:rsid w:val="129F04C2"/>
    <w:rsid w:val="13216559"/>
    <w:rsid w:val="13593EAD"/>
    <w:rsid w:val="139A10C2"/>
    <w:rsid w:val="13C85980"/>
    <w:rsid w:val="13DE2EA1"/>
    <w:rsid w:val="146604DD"/>
    <w:rsid w:val="14C33266"/>
    <w:rsid w:val="150544BC"/>
    <w:rsid w:val="167D189F"/>
    <w:rsid w:val="17F6097B"/>
    <w:rsid w:val="18257A08"/>
    <w:rsid w:val="19204015"/>
    <w:rsid w:val="19404597"/>
    <w:rsid w:val="1A552982"/>
    <w:rsid w:val="1BA547F4"/>
    <w:rsid w:val="1BF5362C"/>
    <w:rsid w:val="1D3133FB"/>
    <w:rsid w:val="1E9E6D19"/>
    <w:rsid w:val="1ED41661"/>
    <w:rsid w:val="2038774B"/>
    <w:rsid w:val="21692493"/>
    <w:rsid w:val="2287093F"/>
    <w:rsid w:val="22896D2E"/>
    <w:rsid w:val="239E3810"/>
    <w:rsid w:val="24BD7E39"/>
    <w:rsid w:val="24DE77E3"/>
    <w:rsid w:val="25F974EC"/>
    <w:rsid w:val="26915951"/>
    <w:rsid w:val="279D6DB8"/>
    <w:rsid w:val="27BE0B31"/>
    <w:rsid w:val="27C43342"/>
    <w:rsid w:val="27D31783"/>
    <w:rsid w:val="29E452D6"/>
    <w:rsid w:val="2A7904E6"/>
    <w:rsid w:val="2A8E0BF9"/>
    <w:rsid w:val="2B085CE3"/>
    <w:rsid w:val="2B1349AF"/>
    <w:rsid w:val="2B677ED4"/>
    <w:rsid w:val="2C717613"/>
    <w:rsid w:val="2D4F275A"/>
    <w:rsid w:val="2D57360B"/>
    <w:rsid w:val="2DF87E31"/>
    <w:rsid w:val="2E192FE4"/>
    <w:rsid w:val="309554D0"/>
    <w:rsid w:val="319E5C6E"/>
    <w:rsid w:val="32005602"/>
    <w:rsid w:val="32BC6D24"/>
    <w:rsid w:val="33317C30"/>
    <w:rsid w:val="341047CB"/>
    <w:rsid w:val="34426F3F"/>
    <w:rsid w:val="34997DED"/>
    <w:rsid w:val="34D56B52"/>
    <w:rsid w:val="35D66414"/>
    <w:rsid w:val="35E25613"/>
    <w:rsid w:val="384F0050"/>
    <w:rsid w:val="39500581"/>
    <w:rsid w:val="3A126518"/>
    <w:rsid w:val="3A9779EB"/>
    <w:rsid w:val="3AFD30D7"/>
    <w:rsid w:val="3B7F22EB"/>
    <w:rsid w:val="3C9E681E"/>
    <w:rsid w:val="3D02270C"/>
    <w:rsid w:val="3DB869E8"/>
    <w:rsid w:val="3E2A51F0"/>
    <w:rsid w:val="3E555792"/>
    <w:rsid w:val="3F050F23"/>
    <w:rsid w:val="40B24624"/>
    <w:rsid w:val="41D0766B"/>
    <w:rsid w:val="4222018D"/>
    <w:rsid w:val="426F3662"/>
    <w:rsid w:val="434B0295"/>
    <w:rsid w:val="434E4C33"/>
    <w:rsid w:val="45A71B94"/>
    <w:rsid w:val="45CD4627"/>
    <w:rsid w:val="45D1757F"/>
    <w:rsid w:val="45D757EE"/>
    <w:rsid w:val="460907CF"/>
    <w:rsid w:val="464C4127"/>
    <w:rsid w:val="47343101"/>
    <w:rsid w:val="475630B3"/>
    <w:rsid w:val="477459D5"/>
    <w:rsid w:val="47965A0F"/>
    <w:rsid w:val="49F67EE6"/>
    <w:rsid w:val="4B4F6A6B"/>
    <w:rsid w:val="4C437D5F"/>
    <w:rsid w:val="4CA114A1"/>
    <w:rsid w:val="4D1C7A42"/>
    <w:rsid w:val="4D324379"/>
    <w:rsid w:val="4D4F2180"/>
    <w:rsid w:val="4D6D7A68"/>
    <w:rsid w:val="4EC12526"/>
    <w:rsid w:val="507B2BDF"/>
    <w:rsid w:val="510163EA"/>
    <w:rsid w:val="51355481"/>
    <w:rsid w:val="53052414"/>
    <w:rsid w:val="53646C9A"/>
    <w:rsid w:val="542C2651"/>
    <w:rsid w:val="54D553CE"/>
    <w:rsid w:val="54FC409C"/>
    <w:rsid w:val="56BE51F9"/>
    <w:rsid w:val="56E038E4"/>
    <w:rsid w:val="578F3080"/>
    <w:rsid w:val="579C3F54"/>
    <w:rsid w:val="57CF764B"/>
    <w:rsid w:val="58C42DA5"/>
    <w:rsid w:val="59BD4349"/>
    <w:rsid w:val="59F22C5F"/>
    <w:rsid w:val="5AAA2F36"/>
    <w:rsid w:val="5AE854C6"/>
    <w:rsid w:val="5AF41BD4"/>
    <w:rsid w:val="5BCF4055"/>
    <w:rsid w:val="5C14604E"/>
    <w:rsid w:val="5C3D018E"/>
    <w:rsid w:val="5C980C65"/>
    <w:rsid w:val="5C9C3760"/>
    <w:rsid w:val="5DCE5305"/>
    <w:rsid w:val="5F596B66"/>
    <w:rsid w:val="5F637808"/>
    <w:rsid w:val="5FAB3444"/>
    <w:rsid w:val="5FAE48BE"/>
    <w:rsid w:val="5FF55D7D"/>
    <w:rsid w:val="603B1118"/>
    <w:rsid w:val="61C06D06"/>
    <w:rsid w:val="61EC46D1"/>
    <w:rsid w:val="627A370B"/>
    <w:rsid w:val="63E943D6"/>
    <w:rsid w:val="650B6EA0"/>
    <w:rsid w:val="6522367B"/>
    <w:rsid w:val="66771157"/>
    <w:rsid w:val="66A453F7"/>
    <w:rsid w:val="66B02688"/>
    <w:rsid w:val="67912C3F"/>
    <w:rsid w:val="683744EC"/>
    <w:rsid w:val="69096AA7"/>
    <w:rsid w:val="693D49EA"/>
    <w:rsid w:val="6AAA4AD1"/>
    <w:rsid w:val="6AE23171"/>
    <w:rsid w:val="6BD276B7"/>
    <w:rsid w:val="6BE6596C"/>
    <w:rsid w:val="6C631816"/>
    <w:rsid w:val="6C7F0805"/>
    <w:rsid w:val="6D6D067D"/>
    <w:rsid w:val="6D791040"/>
    <w:rsid w:val="6D8C099C"/>
    <w:rsid w:val="6DD325A8"/>
    <w:rsid w:val="6E1431CD"/>
    <w:rsid w:val="6EF22262"/>
    <w:rsid w:val="70274BC7"/>
    <w:rsid w:val="70C50728"/>
    <w:rsid w:val="71BA5843"/>
    <w:rsid w:val="72904DBD"/>
    <w:rsid w:val="72AD3BDB"/>
    <w:rsid w:val="72C53F0F"/>
    <w:rsid w:val="73776276"/>
    <w:rsid w:val="73B81E22"/>
    <w:rsid w:val="75677631"/>
    <w:rsid w:val="757B4B77"/>
    <w:rsid w:val="75F16AB5"/>
    <w:rsid w:val="766536F0"/>
    <w:rsid w:val="780905C4"/>
    <w:rsid w:val="7811502E"/>
    <w:rsid w:val="786B7751"/>
    <w:rsid w:val="79635BED"/>
    <w:rsid w:val="79FC2FE5"/>
    <w:rsid w:val="7A4D4A06"/>
    <w:rsid w:val="7AA05B9D"/>
    <w:rsid w:val="7B6E2EEB"/>
    <w:rsid w:val="7CDF5763"/>
    <w:rsid w:val="7F63023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semiHidden="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nhideWhenUsed="0" w:uiPriority="99" w:semiHidden="0" w:name="FollowedHyperlink"/>
    <w:lsdException w:qFormat="1" w:unhideWhenUsed="0" w:uiPriority="0" w:semiHidden="0" w:name="Strong"/>
    <w:lsdException w:qFormat="1" w:unhideWhenUsed="0" w:uiPriority="99"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link w:val="20"/>
    <w:qFormat/>
    <w:uiPriority w:val="9"/>
    <w:pPr>
      <w:spacing w:beforeAutospacing="1" w:afterAutospacing="1"/>
      <w:jc w:val="left"/>
      <w:outlineLvl w:val="0"/>
    </w:pPr>
    <w:rPr>
      <w:b/>
      <w:bCs/>
      <w:kern w:val="44"/>
      <w:sz w:val="44"/>
      <w:szCs w:val="44"/>
    </w:rPr>
  </w:style>
  <w:style w:type="character" w:default="1" w:styleId="10">
    <w:name w:val="Default Paragraph Font"/>
    <w:semiHidden/>
    <w:unhideWhenUsed/>
    <w:uiPriority w:val="1"/>
  </w:style>
  <w:style w:type="table" w:default="1" w:styleId="9">
    <w:name w:val="Normal Table"/>
    <w:semiHidden/>
    <w:unhideWhenUsed/>
    <w:qFormat/>
    <w:uiPriority w:val="99"/>
    <w:tblPr>
      <w:tblLayout w:type="fixed"/>
      <w:tblCellMar>
        <w:top w:w="0" w:type="dxa"/>
        <w:left w:w="108" w:type="dxa"/>
        <w:bottom w:w="0" w:type="dxa"/>
        <w:right w:w="108" w:type="dxa"/>
      </w:tblCellMar>
    </w:tblPr>
  </w:style>
  <w:style w:type="paragraph" w:styleId="3">
    <w:name w:val="caption"/>
    <w:basedOn w:val="1"/>
    <w:next w:val="1"/>
    <w:unhideWhenUsed/>
    <w:qFormat/>
    <w:locked/>
    <w:uiPriority w:val="0"/>
    <w:rPr>
      <w:rFonts w:eastAsia="黑体" w:asciiTheme="majorHAnsi" w:hAnsiTheme="majorHAnsi" w:cstheme="majorBidi"/>
      <w:sz w:val="20"/>
      <w:szCs w:val="20"/>
    </w:rPr>
  </w:style>
  <w:style w:type="paragraph" w:styleId="4">
    <w:name w:val="Date"/>
    <w:basedOn w:val="1"/>
    <w:next w:val="1"/>
    <w:link w:val="22"/>
    <w:semiHidden/>
    <w:unhideWhenUsed/>
    <w:qFormat/>
    <w:uiPriority w:val="99"/>
    <w:pPr>
      <w:ind w:left="100" w:leftChars="2500"/>
    </w:pPr>
  </w:style>
  <w:style w:type="paragraph" w:styleId="5">
    <w:name w:val="Balloon Text"/>
    <w:basedOn w:val="1"/>
    <w:link w:val="17"/>
    <w:qFormat/>
    <w:uiPriority w:val="99"/>
    <w:rPr>
      <w:sz w:val="18"/>
      <w:szCs w:val="18"/>
    </w:rPr>
  </w:style>
  <w:style w:type="paragraph" w:styleId="6">
    <w:name w:val="footer"/>
    <w:basedOn w:val="1"/>
    <w:link w:val="18"/>
    <w:qFormat/>
    <w:uiPriority w:val="99"/>
    <w:pPr>
      <w:tabs>
        <w:tab w:val="center" w:pos="4153"/>
        <w:tab w:val="right" w:pos="8306"/>
      </w:tabs>
      <w:snapToGrid w:val="0"/>
      <w:jc w:val="left"/>
    </w:pPr>
    <w:rPr>
      <w:sz w:val="18"/>
      <w:szCs w:val="18"/>
    </w:rPr>
  </w:style>
  <w:style w:type="paragraph" w:styleId="7">
    <w:name w:val="header"/>
    <w:basedOn w:val="1"/>
    <w:link w:val="19"/>
    <w:qFormat/>
    <w:uiPriority w:val="99"/>
    <w:pPr>
      <w:pBdr>
        <w:bottom w:val="single" w:color="auto" w:sz="6" w:space="6"/>
      </w:pBdr>
      <w:tabs>
        <w:tab w:val="center" w:pos="4153"/>
        <w:tab w:val="right" w:pos="8306"/>
      </w:tabs>
      <w:snapToGrid w:val="0"/>
      <w:jc w:val="left"/>
    </w:pPr>
    <w:rPr>
      <w:sz w:val="15"/>
      <w:szCs w:val="18"/>
    </w:rPr>
  </w:style>
  <w:style w:type="paragraph" w:styleId="8">
    <w:name w:val="Normal (Web)"/>
    <w:basedOn w:val="1"/>
    <w:qFormat/>
    <w:uiPriority w:val="0"/>
    <w:pPr>
      <w:widowControl/>
      <w:spacing w:before="100" w:beforeAutospacing="1" w:after="100" w:afterAutospacing="1"/>
      <w:jc w:val="left"/>
    </w:pPr>
    <w:rPr>
      <w:rFonts w:ascii="宋体" w:hAnsi="宋体" w:cs="宋体"/>
      <w:kern w:val="0"/>
      <w:sz w:val="24"/>
    </w:rPr>
  </w:style>
  <w:style w:type="character" w:styleId="11">
    <w:name w:val="Strong"/>
    <w:qFormat/>
    <w:uiPriority w:val="0"/>
    <w:rPr>
      <w:rFonts w:cs="Times New Roman"/>
      <w:b/>
    </w:rPr>
  </w:style>
  <w:style w:type="character" w:styleId="12">
    <w:name w:val="Emphasis"/>
    <w:qFormat/>
    <w:uiPriority w:val="99"/>
    <w:rPr>
      <w:rFonts w:cs="Times New Roman"/>
      <w:i/>
    </w:rPr>
  </w:style>
  <w:style w:type="character" w:styleId="13">
    <w:name w:val="Hyperlink"/>
    <w:qFormat/>
    <w:uiPriority w:val="99"/>
    <w:rPr>
      <w:rFonts w:ascii="宋体" w:hAnsi="宋体" w:eastAsia="宋体" w:cs="宋体"/>
      <w:color w:val="3D3D3D"/>
      <w:u w:val="none"/>
    </w:rPr>
  </w:style>
  <w:style w:type="character" w:customStyle="1" w:styleId="14">
    <w:name w:val="访问过的超链接1"/>
    <w:qFormat/>
    <w:uiPriority w:val="99"/>
    <w:rPr>
      <w:rFonts w:ascii="宋体" w:hAnsi="宋体" w:eastAsia="宋体" w:cs="宋体"/>
      <w:color w:val="3D3D3D"/>
      <w:u w:val="none"/>
    </w:rPr>
  </w:style>
  <w:style w:type="character" w:customStyle="1" w:styleId="15">
    <w:name w:val="无间隔 Char"/>
    <w:link w:val="16"/>
    <w:qFormat/>
    <w:uiPriority w:val="1"/>
    <w:rPr>
      <w:rFonts w:ascii="Goudy Old Style" w:hAnsi="Goudy Old Style"/>
      <w:sz w:val="22"/>
      <w:szCs w:val="22"/>
      <w:lang w:val="en-US" w:eastAsia="zh-CN" w:bidi="ar-SA"/>
    </w:rPr>
  </w:style>
  <w:style w:type="paragraph" w:styleId="16">
    <w:name w:val="No Spacing"/>
    <w:link w:val="15"/>
    <w:qFormat/>
    <w:uiPriority w:val="1"/>
    <w:rPr>
      <w:rFonts w:ascii="Goudy Old Style" w:hAnsi="Goudy Old Style" w:eastAsia="宋体" w:cs="Times New Roman"/>
      <w:sz w:val="22"/>
      <w:szCs w:val="22"/>
      <w:lang w:val="en-US" w:eastAsia="zh-CN" w:bidi="ar-SA"/>
    </w:rPr>
  </w:style>
  <w:style w:type="character" w:customStyle="1" w:styleId="17">
    <w:name w:val="批注框文本 Char"/>
    <w:link w:val="5"/>
    <w:qFormat/>
    <w:locked/>
    <w:uiPriority w:val="99"/>
    <w:rPr>
      <w:rFonts w:ascii="Calibri" w:hAnsi="Calibri" w:eastAsia="宋体" w:cs="Times New Roman"/>
      <w:kern w:val="2"/>
      <w:sz w:val="18"/>
      <w:szCs w:val="18"/>
    </w:rPr>
  </w:style>
  <w:style w:type="character" w:customStyle="1" w:styleId="18">
    <w:name w:val="页脚 Char"/>
    <w:link w:val="6"/>
    <w:qFormat/>
    <w:locked/>
    <w:uiPriority w:val="99"/>
    <w:rPr>
      <w:rFonts w:ascii="Calibri" w:hAnsi="Calibri" w:eastAsia="宋体" w:cs="Times New Roman"/>
      <w:kern w:val="2"/>
      <w:sz w:val="18"/>
      <w:szCs w:val="18"/>
    </w:rPr>
  </w:style>
  <w:style w:type="character" w:customStyle="1" w:styleId="19">
    <w:name w:val="页眉 Char"/>
    <w:link w:val="7"/>
    <w:qFormat/>
    <w:locked/>
    <w:uiPriority w:val="99"/>
    <w:rPr>
      <w:rFonts w:ascii="Calibri" w:hAnsi="Calibri"/>
      <w:kern w:val="2"/>
      <w:sz w:val="15"/>
      <w:szCs w:val="18"/>
    </w:rPr>
  </w:style>
  <w:style w:type="character" w:customStyle="1" w:styleId="20">
    <w:name w:val="标题 1 Char"/>
    <w:link w:val="2"/>
    <w:qFormat/>
    <w:uiPriority w:val="9"/>
    <w:rPr>
      <w:rFonts w:ascii="Calibri" w:hAnsi="Calibri"/>
      <w:b/>
      <w:bCs/>
      <w:kern w:val="44"/>
      <w:sz w:val="44"/>
      <w:szCs w:val="44"/>
    </w:rPr>
  </w:style>
  <w:style w:type="paragraph" w:styleId="21">
    <w:name w:val="List Paragraph"/>
    <w:basedOn w:val="1"/>
    <w:qFormat/>
    <w:uiPriority w:val="99"/>
    <w:pPr>
      <w:ind w:firstLine="420" w:firstLineChars="200"/>
    </w:pPr>
  </w:style>
  <w:style w:type="character" w:customStyle="1" w:styleId="22">
    <w:name w:val="日期 Char"/>
    <w:basedOn w:val="10"/>
    <w:link w:val="4"/>
    <w:semiHidden/>
    <w:qFormat/>
    <w:uiPriority w:val="99"/>
    <w:rPr>
      <w:rFonts w:ascii="Calibri" w:hAnsi="Calibri"/>
      <w:kern w:val="2"/>
      <w:sz w:val="21"/>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5" Type="http://schemas.openxmlformats.org/officeDocument/2006/relationships/fontTable" Target="fontTable.xml"/><Relationship Id="rId34" Type="http://schemas.openxmlformats.org/officeDocument/2006/relationships/customXml" Target="../customXml/item2.xml"/><Relationship Id="rId33" Type="http://schemas.openxmlformats.org/officeDocument/2006/relationships/numbering" Target="numbering.xml"/><Relationship Id="rId32" Type="http://schemas.openxmlformats.org/officeDocument/2006/relationships/customXml" Target="../customXml/item1.xml"/><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A485A82-811F-4ED4-A691-B2052A919683}">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20</Pages>
  <Words>5415</Words>
  <Characters>5641</Characters>
  <Lines>45</Lines>
  <Paragraphs>12</Paragraphs>
  <TotalTime>5</TotalTime>
  <ScaleCrop>false</ScaleCrop>
  <LinksUpToDate>false</LinksUpToDate>
  <CharactersWithSpaces>5957</CharactersWithSpaces>
  <Application>WPS Office_11.1.0.8696_F1E327BC-269C-435d-A152-05C5408002CA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2019-06-03T06:14:00Z</dcterms:created>
  <dc:creator>Administrator</dc:creator>
  <cp:lastModifiedBy>闻道</cp:lastModifiedBy>
  <cp:lastPrinted>2019-03-26T01:30:00Z</cp:lastPrinted>
  <dcterms:modified xsi:type="dcterms:W3CDTF">2019-06-03T06:37:49Z</dcterms:modified>
  <dc:title>淄博市2016年政务公开情况报告</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2052-11.1.0.8696</vt:lpwstr>
  </property>
</Properties>
</file>