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sz w:val="32"/>
          <w:szCs w:val="32"/>
        </w:rPr>
        <w:t>附件1</w:t>
      </w:r>
    </w:p>
    <w:p>
      <w:pPr>
        <w:spacing w:line="560" w:lineRule="exact"/>
        <w:rPr>
          <w:rFonts w:ascii="黑体" w:hAnsi="宋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2017年度政府信息公开工作情况统计表</w:t>
      </w:r>
    </w:p>
    <w:p>
      <w:pPr>
        <w:spacing w:line="560" w:lineRule="exact"/>
        <w:jc w:val="center"/>
        <w:rPr>
          <w:rFonts w:ascii="宋体" w:hAnsi="宋体" w:eastAsia="宋体"/>
          <w:b/>
          <w:sz w:val="28"/>
          <w:szCs w:val="28"/>
        </w:rPr>
      </w:pPr>
    </w:p>
    <w:tbl>
      <w:tblPr>
        <w:tblStyle w:val="7"/>
        <w:tblW w:w="9450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tblHeader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beforeAutospacing="0" w:after="0" w:afterAutospacing="0" w:line="420" w:lineRule="atLeas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/>
                <w:color w:val="000000"/>
                <w:sz w:val="28"/>
                <w:szCs w:val="28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/>
                <w:color w:val="000000"/>
                <w:sz w:val="28"/>
                <w:szCs w:val="28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楷体_GB2312" w:hAnsi="宋体" w:eastAsia="楷体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（一）主动公开政府信息数（不同渠道和方式公开相同信息计1条）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</w:t>
            </w: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73</w:t>
            </w: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1.政府公报公开政府信息数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3.政务微博公开政府信息数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4.政务微信公开政府信息数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5.其他方式公开政府信息数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beforeAutospacing="0" w:after="0" w:afterAutospacing="0" w:line="420" w:lineRule="atLeast"/>
              <w:ind w:firstLine="685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beforeAutospacing="0" w:after="0" w:afterAutospacing="0" w:line="420" w:lineRule="atLeast"/>
              <w:ind w:firstLine="402" w:firstLineChars="200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 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 其中：主要负责同志参加政府网站在线访谈次数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beforeAutospacing="0" w:after="0" w:afterAutospacing="0" w:line="420" w:lineRule="atLeast"/>
              <w:ind w:firstLine="685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 xml:space="preserve">          5.其他形式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 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 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 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 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 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楷体_GB2312" w:hAnsi="宋体" w:eastAsia="楷体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七、向图书馆、档案馆等查阅场所报送信息数</w:t>
            </w:r>
          </w:p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（一）纸质文件数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（一）区县政府及其部门门户网站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2" w:firstLineChars="20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（二）乡镇政府（街道办事处）门户网站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九、政府公报发行量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1004" w:firstLineChars="50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2" w:firstLineChars="20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（一）公报发行期数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1004" w:firstLineChars="50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2" w:firstLineChars="20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（二）公报发行总份数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1004" w:firstLineChars="50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十、设置政府信息查阅点数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2" w:firstLineChars="20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（一）区县政府及其部门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2" w:firstLineChars="20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（二）乡镇政府（街道办事处）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十一、查阅点接待人数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2" w:firstLineChars="20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（一）区县政府及其部门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2" w:firstLineChars="20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（二）乡镇政府（街道办事处）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十二、机构建设和保障经费情况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（一）政府信息公开工作专门机构数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（三）政府信息公开专项经费（不包括政府公报编辑管理及政府网站建设）</w:t>
            </w: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十三、政府信息公开会议和培训情况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20</w:t>
            </w:r>
          </w:p>
        </w:tc>
      </w:tr>
    </w:tbl>
    <w:p>
      <w:pPr>
        <w:shd w:val="clear" w:color="auto" w:fill="FFFFFF"/>
        <w:spacing w:line="20" w:lineRule="exact"/>
        <w:rPr>
          <w:rFonts w:ascii="仿宋_GB2312" w:eastAsia="仿宋_GB2312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88" w:bottom="1701" w:left="1588" w:header="851" w:footer="1418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附件2</w:t>
      </w:r>
    </w:p>
    <w:p>
      <w:pPr>
        <w:widowControl/>
        <w:spacing w:line="560" w:lineRule="exact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2017年度政府信息公开工作情况统计表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（县政府各部门、各有关单位）</w:t>
      </w:r>
    </w:p>
    <w:p>
      <w:pPr>
        <w:spacing w:line="4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7"/>
        <w:tblW w:w="9450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5"/>
        <w:gridCol w:w="1020"/>
        <w:gridCol w:w="85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tblHeader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beforeAutospacing="0" w:after="0" w:afterAutospacing="0" w:line="420" w:lineRule="atLeas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/>
                <w:color w:val="000000"/>
                <w:sz w:val="28"/>
                <w:szCs w:val="28"/>
              </w:rPr>
              <w:t>统　计　指　标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/>
                <w:color w:val="000000"/>
                <w:sz w:val="28"/>
                <w:szCs w:val="28"/>
              </w:rPr>
              <w:t>统计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楷体_GB2312" w:hAnsi="宋体" w:eastAsia="楷体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（一）主动公开政府信息数（不同渠道和方式公开相同信息计1条）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其中：主动公开规范性文件数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制发规范性文件总数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1.政府网站公开政府信息数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2.政务微博公开政府信息数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3.政务微信公开政府信息数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4.其他方式公开政府信息数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beforeAutospacing="0" w:after="0" w:afterAutospacing="0" w:line="420" w:lineRule="atLeast"/>
              <w:ind w:firstLine="685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2" w:firstLineChars="200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（一）回应公众关注热点或重大舆情数（不同方式回应同一热点或舆情计1次）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1.参加或举办新闻发布会总次数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 其中：主要负责同志参加新闻发布会次数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2.政府网站在线访谈次数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 其中：主要负责同志参加政府网站在线访谈次数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3.政策解读稿件发布数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篇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4.微博微信回应事件数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5.其他方式回应事件数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0" w:beforeAutospacing="0" w:after="0" w:afterAutospacing="0" w:line="420" w:lineRule="atLeast"/>
              <w:ind w:firstLine="685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（一）收到申请数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1.当面申请数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2.传真申请数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3.网络申请数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4.信函申请数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 xml:space="preserve">          5.其他形式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（二）申请办结数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1.按时办结数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2.延期办结数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（三）申请答复数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1.属于已主动公开范围数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2.同意公开答复数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3.同意部分公开答复数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4.不同意公开答复数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 　其中：涉及国家秘密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 涉及商业秘密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 涉及个人隐私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 不是《条例》所指政府信息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　　　　 法律法规规定的其他情形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5.不属于本行政机关公开数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6.申请信息不存在数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7.告知作出更改补充数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8.告知通过其他途径办理数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六、被举报投诉数量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（二）被纠错数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楷体_GB2312" w:hAnsi="宋体" w:eastAsia="楷体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七、向图书馆、档案馆等查阅场所报送信息数</w:t>
            </w:r>
          </w:p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（一）纸质文件数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（二）电子文件数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八、机构建设和保障经费情况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（一）政府信息公开工作专门机构数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（二）设置政府信息公开查阅点数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 xml:space="preserve">    （三）查阅点接待人数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（四）从事政府信息公开工作人员数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2.兼职人员数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（五）政府信息公开专项经费（不包括政府公报编辑管理及政府网站建设）</w:t>
            </w: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　　　护等方面的经费）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502" w:firstLineChars="250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（二）举办各类培训班数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　　（三）接受培训人员数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　</w:t>
            </w:r>
          </w:p>
        </w:tc>
      </w:tr>
    </w:tbl>
    <w:p>
      <w:pPr>
        <w:rPr>
          <w:rFonts w:ascii="仿宋_GB2312" w:eastAsia="仿宋_GB2312"/>
          <w:b/>
        </w:rPr>
      </w:pP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jc w:val="left"/>
        <w:rPr>
          <w:rFonts w:hint="eastAsia" w:eastAsia="仿宋_GB2312"/>
          <w:b/>
          <w:sz w:val="32"/>
          <w:szCs w:val="32"/>
        </w:rPr>
      </w:pPr>
    </w:p>
    <w:p>
      <w:pPr>
        <w:jc w:val="left"/>
        <w:rPr>
          <w:rFonts w:hint="eastAsia" w:eastAsia="仿宋_GB2312"/>
          <w:b/>
          <w:sz w:val="32"/>
          <w:szCs w:val="32"/>
        </w:rPr>
      </w:pPr>
    </w:p>
    <w:p>
      <w:pPr>
        <w:jc w:val="left"/>
        <w:rPr>
          <w:rFonts w:hint="eastAsia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tabs>
          <w:tab w:val="left" w:pos="7119"/>
        </w:tabs>
        <w:jc w:val="left"/>
        <w:rPr>
          <w:lang w:val="en-US" w:eastAsia="zh-CN"/>
        </w:rPr>
      </w:pPr>
    </w:p>
    <w:bookmarkEnd w:id="0"/>
    <w:sectPr>
      <w:footerReference r:id="rId5" w:type="default"/>
      <w:footerReference r:id="rId6" w:type="even"/>
      <w:pgSz w:w="11906" w:h="16838"/>
      <w:pgMar w:top="1985" w:right="1588" w:bottom="170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9789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9788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9789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9788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B29"/>
    <w:rsid w:val="00016A8A"/>
    <w:rsid w:val="00093762"/>
    <w:rsid w:val="000E56DB"/>
    <w:rsid w:val="00137431"/>
    <w:rsid w:val="00150F8A"/>
    <w:rsid w:val="00196D6B"/>
    <w:rsid w:val="001A7B29"/>
    <w:rsid w:val="001B3D50"/>
    <w:rsid w:val="00201727"/>
    <w:rsid w:val="002063C4"/>
    <w:rsid w:val="00275AC1"/>
    <w:rsid w:val="00283E83"/>
    <w:rsid w:val="0028563B"/>
    <w:rsid w:val="002C3F9D"/>
    <w:rsid w:val="002D377F"/>
    <w:rsid w:val="002F26FD"/>
    <w:rsid w:val="00371094"/>
    <w:rsid w:val="00406A3F"/>
    <w:rsid w:val="004A4D52"/>
    <w:rsid w:val="004E35C8"/>
    <w:rsid w:val="004F4367"/>
    <w:rsid w:val="005B1D08"/>
    <w:rsid w:val="005C0938"/>
    <w:rsid w:val="005E74DF"/>
    <w:rsid w:val="00616A3B"/>
    <w:rsid w:val="006612EA"/>
    <w:rsid w:val="006B357D"/>
    <w:rsid w:val="006F0006"/>
    <w:rsid w:val="00706D19"/>
    <w:rsid w:val="00742F80"/>
    <w:rsid w:val="007A4AC8"/>
    <w:rsid w:val="007B3284"/>
    <w:rsid w:val="007B6D1C"/>
    <w:rsid w:val="007E44AA"/>
    <w:rsid w:val="00823A14"/>
    <w:rsid w:val="008314FD"/>
    <w:rsid w:val="00844971"/>
    <w:rsid w:val="00855F46"/>
    <w:rsid w:val="008B2469"/>
    <w:rsid w:val="008F75BD"/>
    <w:rsid w:val="00980E46"/>
    <w:rsid w:val="009A6D07"/>
    <w:rsid w:val="009C12FA"/>
    <w:rsid w:val="009C29AF"/>
    <w:rsid w:val="009E7087"/>
    <w:rsid w:val="00A00ABC"/>
    <w:rsid w:val="00A0545E"/>
    <w:rsid w:val="00AF78A7"/>
    <w:rsid w:val="00B338B1"/>
    <w:rsid w:val="00B43611"/>
    <w:rsid w:val="00B9280B"/>
    <w:rsid w:val="00C20F71"/>
    <w:rsid w:val="00CA04A8"/>
    <w:rsid w:val="00CA44B3"/>
    <w:rsid w:val="00D302D5"/>
    <w:rsid w:val="00DB38E5"/>
    <w:rsid w:val="00DF2897"/>
    <w:rsid w:val="00E154F9"/>
    <w:rsid w:val="00E63D10"/>
    <w:rsid w:val="00EE6099"/>
    <w:rsid w:val="00F120BE"/>
    <w:rsid w:val="00F67713"/>
    <w:rsid w:val="00F7471E"/>
    <w:rsid w:val="00F8474B"/>
    <w:rsid w:val="00F94C10"/>
    <w:rsid w:val="00F95598"/>
    <w:rsid w:val="00FA29D1"/>
    <w:rsid w:val="00FC0EE4"/>
    <w:rsid w:val="00FF40ED"/>
    <w:rsid w:val="00FF797C"/>
    <w:rsid w:val="21BB3404"/>
    <w:rsid w:val="561F01FE"/>
    <w:rsid w:val="5B6B5291"/>
    <w:rsid w:val="67510397"/>
    <w:rsid w:val="68A0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708</Words>
  <Characters>4042</Characters>
  <Lines>33</Lines>
  <Paragraphs>9</Paragraphs>
  <TotalTime>0</TotalTime>
  <ScaleCrop>false</ScaleCrop>
  <LinksUpToDate>false</LinksUpToDate>
  <CharactersWithSpaces>4741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2018-01-25T01:45:00Z</dcterms:created>
  <dc:creator>Administrator</dc:creator>
  <cp:lastModifiedBy>王先进</cp:lastModifiedBy>
  <dcterms:modified xsi:type="dcterms:W3CDTF">2018-12-22T08:21:48Z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