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07" w:leftChars="-337" w:hanging="1"/>
        <w:rPr>
          <w:rFonts w:hint="eastAsia" w:ascii="黑体" w:hAnsi="黑体" w:eastAsia="黑体"/>
          <w:b/>
          <w:color w:val="000000"/>
          <w:sz w:val="32"/>
          <w:szCs w:val="32"/>
        </w:rPr>
      </w:pPr>
      <w:r>
        <w:rPr>
          <w:rFonts w:hint="eastAsia" w:ascii="黑体" w:hAnsi="黑体" w:eastAsia="黑体"/>
          <w:b/>
          <w:color w:val="000000"/>
          <w:sz w:val="32"/>
          <w:szCs w:val="32"/>
        </w:rPr>
        <w:t>附件2</w:t>
      </w:r>
    </w:p>
    <w:p>
      <w:pPr>
        <w:ind w:left="-707" w:leftChars="-337" w:hanging="1"/>
        <w:jc w:val="center"/>
        <w:rPr>
          <w:rFonts w:hint="eastAsia" w:ascii="黑体" w:hAnsi="黑体" w:eastAsia="黑体"/>
          <w:b/>
          <w:color w:val="000000"/>
          <w:sz w:val="32"/>
          <w:szCs w:val="32"/>
        </w:rPr>
      </w:pPr>
      <w:r>
        <w:rPr>
          <w:rFonts w:hint="eastAsia" w:ascii="方正小标宋简体" w:hAnsi="宋体" w:eastAsia="方正小标宋简体" w:cs="宋体"/>
          <w:b/>
          <w:bCs/>
          <w:color w:val="000000"/>
          <w:kern w:val="0"/>
          <w:sz w:val="44"/>
          <w:szCs w:val="44"/>
        </w:rPr>
        <w:t>沂源县节水型社会达标建设责任分工一览表</w:t>
      </w:r>
    </w:p>
    <w:tbl>
      <w:tblPr>
        <w:tblStyle w:val="4"/>
        <w:tblW w:w="15031" w:type="dxa"/>
        <w:jc w:val="center"/>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40"/>
        <w:gridCol w:w="500"/>
        <w:gridCol w:w="2805"/>
        <w:gridCol w:w="520"/>
        <w:gridCol w:w="3840"/>
        <w:gridCol w:w="4060"/>
        <w:gridCol w:w="1373"/>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65" w:hRule="atLeast"/>
          <w:jc w:val="center"/>
        </w:trPr>
        <w:tc>
          <w:tcPr>
            <w:tcW w:w="740"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类型</w:t>
            </w:r>
          </w:p>
        </w:tc>
        <w:tc>
          <w:tcPr>
            <w:tcW w:w="500"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序号</w:t>
            </w:r>
          </w:p>
        </w:tc>
        <w:tc>
          <w:tcPr>
            <w:tcW w:w="2805"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评价内容</w:t>
            </w:r>
          </w:p>
        </w:tc>
        <w:tc>
          <w:tcPr>
            <w:tcW w:w="520"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分值</w:t>
            </w:r>
          </w:p>
        </w:tc>
        <w:tc>
          <w:tcPr>
            <w:tcW w:w="3840"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评价标准</w:t>
            </w:r>
          </w:p>
        </w:tc>
        <w:tc>
          <w:tcPr>
            <w:tcW w:w="4060"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主要工作任务</w:t>
            </w:r>
          </w:p>
        </w:tc>
        <w:tc>
          <w:tcPr>
            <w:tcW w:w="1373"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牵头部门</w:t>
            </w:r>
          </w:p>
        </w:tc>
        <w:tc>
          <w:tcPr>
            <w:tcW w:w="1193"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70" w:hRule="atLeast"/>
          <w:jc w:val="center"/>
        </w:trPr>
        <w:tc>
          <w:tcPr>
            <w:tcW w:w="740" w:type="dxa"/>
            <w:vMerge w:val="restart"/>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必备条件</w:t>
            </w:r>
          </w:p>
        </w:tc>
        <w:tc>
          <w:tcPr>
            <w:tcW w:w="500"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1</w:t>
            </w:r>
          </w:p>
        </w:tc>
        <w:tc>
          <w:tcPr>
            <w:tcW w:w="2805"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br w:type="textWrapping"/>
            </w:r>
            <w:r>
              <w:rPr>
                <w:rFonts w:hint="eastAsia" w:ascii="仿宋_GB2312" w:hAnsi="宋体" w:eastAsia="仿宋_GB2312" w:cs="宋体"/>
                <w:b/>
                <w:color w:val="000000"/>
                <w:kern w:val="0"/>
                <w:sz w:val="24"/>
                <w:szCs w:val="24"/>
              </w:rPr>
              <w:t>最严格水资源管理制度、水资源消耗总量和强度双控行动控制指标达标情况</w:t>
            </w:r>
          </w:p>
        </w:tc>
        <w:tc>
          <w:tcPr>
            <w:tcW w:w="520"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宋体" w:hAnsi="宋体" w:cs="宋体"/>
                <w:b/>
                <w:color w:val="000000"/>
                <w:kern w:val="0"/>
                <w:sz w:val="24"/>
                <w:szCs w:val="24"/>
              </w:rPr>
              <w:t>╲</w:t>
            </w:r>
            <w:r>
              <w:rPr>
                <w:rFonts w:hint="eastAsia" w:ascii="仿宋_GB2312" w:hAnsi="宋体" w:eastAsia="仿宋_GB2312" w:cs="宋体"/>
                <w:b/>
                <w:color w:val="000000"/>
                <w:kern w:val="0"/>
                <w:sz w:val="24"/>
                <w:szCs w:val="24"/>
              </w:rPr>
              <w:t>　</w:t>
            </w: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最严格水资源管理制度、水资源消耗总量和强度双控行动确定的控制指标全部达到年度目标要求</w:t>
            </w:r>
          </w:p>
        </w:tc>
        <w:tc>
          <w:tcPr>
            <w:tcW w:w="406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收集和完善城市节水、供水、排水、非常规水利用、地下水管理等方面的法规和规范性文件,完成最严格水资源管理制度、水资源消耗总量和强度双控行动确定的控制指标</w:t>
            </w:r>
          </w:p>
        </w:tc>
        <w:tc>
          <w:tcPr>
            <w:tcW w:w="1373"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县水务局</w:t>
            </w:r>
          </w:p>
        </w:tc>
        <w:tc>
          <w:tcPr>
            <w:tcW w:w="1193"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县法制办、县统计局、县水资办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5" w:hRule="atLeast"/>
          <w:jc w:val="center"/>
        </w:trPr>
        <w:tc>
          <w:tcPr>
            <w:tcW w:w="740" w:type="dxa"/>
            <w:vMerge w:val="continue"/>
            <w:shd w:val="clear" w:color="auto" w:fill="auto"/>
            <w:vAlign w:val="center"/>
          </w:tcPr>
          <w:p>
            <w:pPr>
              <w:widowControl/>
              <w:jc w:val="center"/>
              <w:rPr>
                <w:rFonts w:ascii="仿宋_GB2312" w:hAnsi="宋体" w:eastAsia="仿宋_GB2312" w:cs="宋体"/>
                <w:b/>
                <w:color w:val="000000"/>
                <w:kern w:val="0"/>
                <w:sz w:val="24"/>
                <w:szCs w:val="24"/>
              </w:rPr>
            </w:pPr>
          </w:p>
        </w:tc>
        <w:tc>
          <w:tcPr>
            <w:tcW w:w="500"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2</w:t>
            </w:r>
          </w:p>
        </w:tc>
        <w:tc>
          <w:tcPr>
            <w:tcW w:w="2805"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最严格水资源管理制度考核情况</w:t>
            </w:r>
          </w:p>
        </w:tc>
        <w:tc>
          <w:tcPr>
            <w:tcW w:w="520"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宋体" w:hAnsi="宋体" w:cs="宋体"/>
                <w:b/>
                <w:color w:val="000000"/>
                <w:kern w:val="0"/>
                <w:sz w:val="24"/>
                <w:szCs w:val="24"/>
              </w:rPr>
              <w:t>╲</w:t>
            </w:r>
            <w:r>
              <w:rPr>
                <w:rFonts w:hint="eastAsia" w:ascii="仿宋_GB2312" w:hAnsi="宋体" w:eastAsia="仿宋_GB2312" w:cs="宋体"/>
                <w:b/>
                <w:color w:val="000000"/>
                <w:kern w:val="0"/>
                <w:sz w:val="24"/>
                <w:szCs w:val="24"/>
              </w:rPr>
              <w:t>　</w:t>
            </w: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近两年实行最严格水资源管理制度考核结果为良好及以上</w:t>
            </w:r>
          </w:p>
        </w:tc>
        <w:tc>
          <w:tcPr>
            <w:tcW w:w="406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近两年实行最严格水资源管理制度考核结果证明材料</w:t>
            </w:r>
          </w:p>
        </w:tc>
        <w:tc>
          <w:tcPr>
            <w:tcW w:w="1373"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县水务局</w:t>
            </w:r>
          </w:p>
        </w:tc>
        <w:tc>
          <w:tcPr>
            <w:tcW w:w="1193"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县水资办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70" w:hRule="atLeast"/>
          <w:jc w:val="center"/>
        </w:trPr>
        <w:tc>
          <w:tcPr>
            <w:tcW w:w="740" w:type="dxa"/>
            <w:vMerge w:val="continue"/>
            <w:shd w:val="clear" w:color="auto" w:fill="auto"/>
            <w:vAlign w:val="center"/>
          </w:tcPr>
          <w:p>
            <w:pPr>
              <w:widowControl/>
              <w:jc w:val="center"/>
              <w:rPr>
                <w:rFonts w:ascii="仿宋_GB2312" w:hAnsi="宋体" w:eastAsia="仿宋_GB2312" w:cs="宋体"/>
                <w:b/>
                <w:color w:val="000000"/>
                <w:kern w:val="0"/>
                <w:sz w:val="24"/>
                <w:szCs w:val="24"/>
              </w:rPr>
            </w:pPr>
          </w:p>
        </w:tc>
        <w:tc>
          <w:tcPr>
            <w:tcW w:w="500"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w:t>
            </w:r>
          </w:p>
        </w:tc>
        <w:tc>
          <w:tcPr>
            <w:tcW w:w="2805"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节水管理机构建设情况</w:t>
            </w:r>
          </w:p>
        </w:tc>
        <w:tc>
          <w:tcPr>
            <w:tcW w:w="520"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宋体" w:hAnsi="宋体" w:cs="宋体"/>
                <w:b/>
                <w:color w:val="000000"/>
                <w:kern w:val="0"/>
                <w:sz w:val="24"/>
                <w:szCs w:val="24"/>
              </w:rPr>
              <w:t>╲</w:t>
            </w:r>
            <w:r>
              <w:rPr>
                <w:rFonts w:hint="eastAsia" w:ascii="仿宋_GB2312" w:hAnsi="宋体" w:eastAsia="仿宋_GB2312" w:cs="宋体"/>
                <w:b/>
                <w:color w:val="000000"/>
                <w:kern w:val="0"/>
                <w:sz w:val="24"/>
                <w:szCs w:val="24"/>
              </w:rPr>
              <w:t>　</w:t>
            </w: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节水管理机构健全,职责明确,人员齐备</w:t>
            </w:r>
          </w:p>
        </w:tc>
        <w:tc>
          <w:tcPr>
            <w:tcW w:w="406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提供节水管理机构“三定方案”等证明材料</w:t>
            </w:r>
          </w:p>
        </w:tc>
        <w:tc>
          <w:tcPr>
            <w:tcW w:w="1373"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县水务局</w:t>
            </w:r>
          </w:p>
        </w:tc>
        <w:tc>
          <w:tcPr>
            <w:tcW w:w="1193" w:type="dxa"/>
            <w:shd w:val="clear" w:color="auto" w:fill="auto"/>
            <w:vAlign w:val="center"/>
          </w:tcPr>
          <w:p>
            <w:pPr>
              <w:widowControl/>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县编办、</w:t>
            </w:r>
          </w:p>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县水资办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50" w:hRule="atLeast"/>
          <w:jc w:val="center"/>
        </w:trPr>
        <w:tc>
          <w:tcPr>
            <w:tcW w:w="740" w:type="dxa"/>
            <w:vMerge w:val="restart"/>
            <w:shd w:val="clear" w:color="auto" w:fill="auto"/>
            <w:vAlign w:val="center"/>
          </w:tcPr>
          <w:p>
            <w:pPr>
              <w:jc w:val="center"/>
              <w:rPr>
                <w:rFonts w:hint="eastAsia" w:ascii="仿宋_GB2312" w:eastAsia="仿宋_GB2312"/>
                <w:b/>
                <w:color w:val="000000"/>
                <w:sz w:val="24"/>
                <w:szCs w:val="24"/>
              </w:rPr>
            </w:pPr>
            <w:r>
              <w:rPr>
                <w:rFonts w:hint="eastAsia" w:ascii="仿宋_GB2312" w:eastAsia="仿宋_GB2312"/>
                <w:b/>
                <w:color w:val="000000"/>
                <w:sz w:val="24"/>
                <w:szCs w:val="24"/>
              </w:rPr>
              <w:t>基础条件</w:t>
            </w:r>
          </w:p>
        </w:tc>
        <w:tc>
          <w:tcPr>
            <w:tcW w:w="500"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4</w:t>
            </w:r>
          </w:p>
        </w:tc>
        <w:tc>
          <w:tcPr>
            <w:tcW w:w="2805"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用水定额管理</w:t>
            </w:r>
          </w:p>
        </w:tc>
        <w:tc>
          <w:tcPr>
            <w:tcW w:w="520"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8</w:t>
            </w: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在水资源论证、取水许可、节水载体认定等工作中严格执行用水定额</w:t>
            </w:r>
          </w:p>
        </w:tc>
        <w:tc>
          <w:tcPr>
            <w:tcW w:w="406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提供水资源论证、取水许可、节水载体认定相关报告资料等证明材料</w:t>
            </w:r>
          </w:p>
        </w:tc>
        <w:tc>
          <w:tcPr>
            <w:tcW w:w="1373"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县水务局</w:t>
            </w:r>
          </w:p>
        </w:tc>
        <w:tc>
          <w:tcPr>
            <w:tcW w:w="1193"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县发改局、县水资办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75" w:hRule="atLeast"/>
          <w:jc w:val="center"/>
        </w:trPr>
        <w:tc>
          <w:tcPr>
            <w:tcW w:w="740" w:type="dxa"/>
            <w:vMerge w:val="continue"/>
            <w:shd w:val="clear" w:color="auto" w:fill="auto"/>
            <w:vAlign w:val="center"/>
          </w:tcPr>
          <w:p>
            <w:pPr>
              <w:widowControl/>
              <w:jc w:val="center"/>
              <w:rPr>
                <w:rFonts w:ascii="仿宋_GB2312" w:hAnsi="宋体" w:eastAsia="仿宋_GB2312" w:cs="宋体"/>
                <w:b/>
                <w:color w:val="000000"/>
                <w:kern w:val="0"/>
                <w:sz w:val="24"/>
                <w:szCs w:val="24"/>
              </w:rPr>
            </w:pPr>
          </w:p>
        </w:tc>
        <w:tc>
          <w:tcPr>
            <w:tcW w:w="500"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5</w:t>
            </w:r>
          </w:p>
        </w:tc>
        <w:tc>
          <w:tcPr>
            <w:tcW w:w="2805"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计划用水管理</w:t>
            </w:r>
          </w:p>
        </w:tc>
        <w:tc>
          <w:tcPr>
            <w:tcW w:w="520"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10</w:t>
            </w: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纳入计划用水管理的城镇非居民用水单位数量占应纳入计划用水管理的非居民用水单位的比例达100%,得10分；每低3%,扣1分</w:t>
            </w:r>
          </w:p>
        </w:tc>
        <w:tc>
          <w:tcPr>
            <w:tcW w:w="406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提供应纳入计划用水管理的非居民用水单位和纳入计划用水管理的城镇非居民用水单位数量(县自来水公司提供2017年用水6000立方米以上非居民用水单位名单）</w:t>
            </w:r>
          </w:p>
        </w:tc>
        <w:tc>
          <w:tcPr>
            <w:tcW w:w="1373"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县水务局</w:t>
            </w:r>
          </w:p>
        </w:tc>
        <w:tc>
          <w:tcPr>
            <w:tcW w:w="1193" w:type="dxa"/>
            <w:shd w:val="clear" w:color="auto" w:fill="auto"/>
            <w:vAlign w:val="center"/>
          </w:tcPr>
          <w:p>
            <w:pPr>
              <w:widowControl/>
              <w:rPr>
                <w:rFonts w:ascii="仿宋_GB2312" w:hAnsi="宋体" w:eastAsia="仿宋_GB2312" w:cs="宋体"/>
                <w:b/>
                <w:color w:val="000000"/>
                <w:spacing w:val="-16"/>
                <w:kern w:val="0"/>
                <w:sz w:val="24"/>
                <w:szCs w:val="24"/>
              </w:rPr>
            </w:pPr>
            <w:r>
              <w:rPr>
                <w:rFonts w:hint="eastAsia" w:ascii="仿宋_GB2312" w:hAnsi="宋体" w:eastAsia="仿宋_GB2312" w:cs="宋体"/>
                <w:b/>
                <w:color w:val="000000"/>
                <w:kern w:val="0"/>
                <w:sz w:val="24"/>
                <w:szCs w:val="24"/>
              </w:rPr>
              <w:t>县水资办、</w:t>
            </w:r>
            <w:r>
              <w:rPr>
                <w:rFonts w:hint="eastAsia" w:ascii="仿宋_GB2312" w:hAnsi="宋体" w:eastAsia="仿宋_GB2312" w:cs="宋体"/>
                <w:b/>
                <w:color w:val="000000"/>
                <w:spacing w:val="-16"/>
                <w:kern w:val="0"/>
                <w:sz w:val="24"/>
                <w:szCs w:val="24"/>
              </w:rPr>
              <w:t>县自来水公司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8" w:hRule="atLeast"/>
          <w:jc w:val="center"/>
        </w:trPr>
        <w:tc>
          <w:tcPr>
            <w:tcW w:w="740"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类型</w:t>
            </w:r>
          </w:p>
        </w:tc>
        <w:tc>
          <w:tcPr>
            <w:tcW w:w="500"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序号</w:t>
            </w:r>
          </w:p>
        </w:tc>
        <w:tc>
          <w:tcPr>
            <w:tcW w:w="2805"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评价内容</w:t>
            </w:r>
          </w:p>
        </w:tc>
        <w:tc>
          <w:tcPr>
            <w:tcW w:w="520"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分值</w:t>
            </w:r>
          </w:p>
        </w:tc>
        <w:tc>
          <w:tcPr>
            <w:tcW w:w="3840"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评价标准</w:t>
            </w:r>
          </w:p>
        </w:tc>
        <w:tc>
          <w:tcPr>
            <w:tcW w:w="4060"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主要工作任务</w:t>
            </w:r>
          </w:p>
        </w:tc>
        <w:tc>
          <w:tcPr>
            <w:tcW w:w="1373"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牵头部门</w:t>
            </w:r>
          </w:p>
        </w:tc>
        <w:tc>
          <w:tcPr>
            <w:tcW w:w="1193"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8" w:hRule="atLeast"/>
          <w:jc w:val="center"/>
        </w:trPr>
        <w:tc>
          <w:tcPr>
            <w:tcW w:w="740" w:type="dxa"/>
            <w:vMerge w:val="restart"/>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eastAsia="仿宋_GB2312"/>
                <w:b/>
                <w:color w:val="000000"/>
                <w:sz w:val="24"/>
                <w:szCs w:val="24"/>
              </w:rPr>
              <w:t>基础条件</w:t>
            </w:r>
          </w:p>
        </w:tc>
        <w:tc>
          <w:tcPr>
            <w:tcW w:w="500" w:type="dxa"/>
            <w:vMerge w:val="restart"/>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6</w:t>
            </w:r>
          </w:p>
        </w:tc>
        <w:tc>
          <w:tcPr>
            <w:tcW w:w="2805" w:type="dxa"/>
            <w:vMerge w:val="restart"/>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用水计量</w:t>
            </w:r>
          </w:p>
        </w:tc>
        <w:tc>
          <w:tcPr>
            <w:tcW w:w="520" w:type="dxa"/>
            <w:vMerge w:val="restart"/>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10</w:t>
            </w: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农业灌溉计量率80%,得5分;每低4%,扣1分</w:t>
            </w:r>
          </w:p>
        </w:tc>
        <w:tc>
          <w:tcPr>
            <w:tcW w:w="406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提供农业灌溉用水计量水量、农业灌溉用水总量等数据</w:t>
            </w:r>
          </w:p>
        </w:tc>
        <w:tc>
          <w:tcPr>
            <w:tcW w:w="1373"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县水务局</w:t>
            </w:r>
          </w:p>
        </w:tc>
        <w:tc>
          <w:tcPr>
            <w:tcW w:w="1193"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县统计局、县农业局、</w:t>
            </w:r>
            <w:r>
              <w:rPr>
                <w:rFonts w:hint="eastAsia" w:ascii="仿宋_GB2312" w:hAnsi="宋体" w:eastAsia="仿宋_GB2312" w:cs="宋体"/>
                <w:b/>
                <w:color w:val="000000"/>
                <w:spacing w:val="-8"/>
                <w:kern w:val="0"/>
                <w:sz w:val="24"/>
                <w:szCs w:val="24"/>
              </w:rPr>
              <w:t>县蔬菜产销服务中心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20" w:hRule="atLeast"/>
          <w:jc w:val="center"/>
        </w:trPr>
        <w:tc>
          <w:tcPr>
            <w:tcW w:w="74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50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2805"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52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工业用水计量率为100%，得5分；每低3%,扣1分。规模以上工业企业用水计量率必须达到100%</w:t>
            </w:r>
          </w:p>
        </w:tc>
        <w:tc>
          <w:tcPr>
            <w:tcW w:w="406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提供规模以上企业名单，工业用水计量水量、工业用水总量等数据</w:t>
            </w:r>
          </w:p>
        </w:tc>
        <w:tc>
          <w:tcPr>
            <w:tcW w:w="1373"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县水务局</w:t>
            </w:r>
          </w:p>
        </w:tc>
        <w:tc>
          <w:tcPr>
            <w:tcW w:w="1193" w:type="dxa"/>
            <w:shd w:val="clear" w:color="auto" w:fill="auto"/>
            <w:vAlign w:val="center"/>
          </w:tcPr>
          <w:p>
            <w:pPr>
              <w:widowControl/>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县财政局、</w:t>
            </w:r>
          </w:p>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县统计局、县水资办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95" w:hRule="atLeast"/>
          <w:jc w:val="center"/>
        </w:trPr>
        <w:tc>
          <w:tcPr>
            <w:tcW w:w="74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500" w:type="dxa"/>
            <w:vMerge w:val="restart"/>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7</w:t>
            </w:r>
          </w:p>
        </w:tc>
        <w:tc>
          <w:tcPr>
            <w:tcW w:w="2805" w:type="dxa"/>
            <w:vMerge w:val="restart"/>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水价机制</w:t>
            </w:r>
          </w:p>
        </w:tc>
        <w:tc>
          <w:tcPr>
            <w:tcW w:w="520" w:type="dxa"/>
            <w:vMerge w:val="restart"/>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16</w:t>
            </w: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农业水价综合改革实际实施面积占计划实施面积比例达到100%，得2分；每低2%扣0.1分。实际执行水价加精准补贴(补贴工程运行维护费部分)占运行维护成本比达到100%,得2分；每低2%，扣0.1分</w:t>
            </w:r>
          </w:p>
        </w:tc>
        <w:tc>
          <w:tcPr>
            <w:tcW w:w="406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提供农业水价综合改革实施面积、计划实施面积、执行水价加精准补贴(补贴工程运行维护费部分)与运行维护成本相关资料和数据</w:t>
            </w:r>
          </w:p>
        </w:tc>
        <w:tc>
          <w:tcPr>
            <w:tcW w:w="1373" w:type="dxa"/>
            <w:vMerge w:val="restart"/>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县物价局</w:t>
            </w:r>
          </w:p>
        </w:tc>
        <w:tc>
          <w:tcPr>
            <w:tcW w:w="1193" w:type="dxa"/>
            <w:vMerge w:val="restart"/>
            <w:shd w:val="clear" w:color="auto" w:fill="auto"/>
            <w:vAlign w:val="center"/>
          </w:tcPr>
          <w:p>
            <w:pPr>
              <w:widowControl/>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县财政局、</w:t>
            </w:r>
          </w:p>
          <w:p>
            <w:pPr>
              <w:widowControl/>
              <w:rPr>
                <w:rFonts w:ascii="仿宋_GB2312" w:hAnsi="宋体" w:eastAsia="仿宋_GB2312" w:cs="宋体"/>
                <w:b/>
                <w:color w:val="000000"/>
                <w:spacing w:val="-20"/>
                <w:kern w:val="0"/>
                <w:sz w:val="24"/>
                <w:szCs w:val="24"/>
              </w:rPr>
            </w:pPr>
            <w:r>
              <w:rPr>
                <w:rFonts w:hint="eastAsia" w:ascii="仿宋_GB2312" w:hAnsi="宋体" w:eastAsia="仿宋_GB2312" w:cs="宋体"/>
                <w:b/>
                <w:color w:val="000000"/>
                <w:kern w:val="0"/>
                <w:sz w:val="24"/>
                <w:szCs w:val="24"/>
              </w:rPr>
              <w:t>县水务局、县水资办、</w:t>
            </w:r>
            <w:r>
              <w:rPr>
                <w:rFonts w:hint="eastAsia" w:ascii="仿宋_GB2312" w:hAnsi="宋体" w:eastAsia="仿宋_GB2312" w:cs="宋体"/>
                <w:b/>
                <w:color w:val="000000"/>
                <w:spacing w:val="-20"/>
                <w:kern w:val="0"/>
                <w:sz w:val="24"/>
                <w:szCs w:val="24"/>
              </w:rPr>
              <w:t xml:space="preserve">县自来水公司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1" w:hRule="atLeast"/>
          <w:jc w:val="center"/>
        </w:trPr>
        <w:tc>
          <w:tcPr>
            <w:tcW w:w="74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50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2805"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52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城镇居民生活用水实行阶梯水价制度,得4分;未实行,得0分</w:t>
            </w:r>
          </w:p>
        </w:tc>
        <w:tc>
          <w:tcPr>
            <w:tcW w:w="406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城镇居民生活用水实行阶梯水价制度的文件以及相关资料</w:t>
            </w:r>
          </w:p>
        </w:tc>
        <w:tc>
          <w:tcPr>
            <w:tcW w:w="1373" w:type="dxa"/>
            <w:vMerge w:val="continue"/>
            <w:vAlign w:val="center"/>
          </w:tcPr>
          <w:p>
            <w:pPr>
              <w:widowControl/>
              <w:jc w:val="left"/>
              <w:rPr>
                <w:rFonts w:ascii="仿宋_GB2312" w:hAnsi="宋体" w:eastAsia="仿宋_GB2312" w:cs="宋体"/>
                <w:b/>
                <w:color w:val="000000"/>
                <w:kern w:val="0"/>
                <w:sz w:val="24"/>
                <w:szCs w:val="24"/>
              </w:rPr>
            </w:pPr>
          </w:p>
        </w:tc>
        <w:tc>
          <w:tcPr>
            <w:tcW w:w="1193" w:type="dxa"/>
            <w:vMerge w:val="continue"/>
            <w:vAlign w:val="center"/>
          </w:tcPr>
          <w:p>
            <w:pPr>
              <w:widowControl/>
              <w:jc w:val="left"/>
              <w:rPr>
                <w:rFonts w:ascii="仿宋_GB2312" w:hAnsi="宋体" w:eastAsia="仿宋_GB2312" w:cs="宋体"/>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7" w:hRule="atLeast"/>
          <w:jc w:val="center"/>
        </w:trPr>
        <w:tc>
          <w:tcPr>
            <w:tcW w:w="74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50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2805"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52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非居民用水实行超计划超定额累进加价制度,得4分;未实行,得0分</w:t>
            </w:r>
          </w:p>
        </w:tc>
        <w:tc>
          <w:tcPr>
            <w:tcW w:w="406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非居民用水实行超计划超定额累进加价制度的文件以及相关资料</w:t>
            </w:r>
          </w:p>
        </w:tc>
        <w:tc>
          <w:tcPr>
            <w:tcW w:w="1373" w:type="dxa"/>
            <w:vMerge w:val="continue"/>
            <w:vAlign w:val="center"/>
          </w:tcPr>
          <w:p>
            <w:pPr>
              <w:widowControl/>
              <w:jc w:val="left"/>
              <w:rPr>
                <w:rFonts w:ascii="仿宋_GB2312" w:hAnsi="宋体" w:eastAsia="仿宋_GB2312" w:cs="宋体"/>
                <w:b/>
                <w:color w:val="000000"/>
                <w:kern w:val="0"/>
                <w:sz w:val="24"/>
                <w:szCs w:val="24"/>
              </w:rPr>
            </w:pPr>
          </w:p>
        </w:tc>
        <w:tc>
          <w:tcPr>
            <w:tcW w:w="1193" w:type="dxa"/>
            <w:vMerge w:val="continue"/>
            <w:vAlign w:val="center"/>
          </w:tcPr>
          <w:p>
            <w:pPr>
              <w:widowControl/>
              <w:jc w:val="left"/>
              <w:rPr>
                <w:rFonts w:ascii="仿宋_GB2312" w:hAnsi="宋体" w:eastAsia="仿宋_GB2312" w:cs="宋体"/>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618" w:hRule="atLeast"/>
          <w:jc w:val="center"/>
        </w:trPr>
        <w:tc>
          <w:tcPr>
            <w:tcW w:w="74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50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2805"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52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按标准足额征缴水资源费,得4分；在近两年上级部门水资源管理监督检查中,发现1例未足额征缴的扣1分</w:t>
            </w:r>
          </w:p>
        </w:tc>
        <w:tc>
          <w:tcPr>
            <w:tcW w:w="406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水资源费征缴的相关文件以及资料</w:t>
            </w:r>
          </w:p>
        </w:tc>
        <w:tc>
          <w:tcPr>
            <w:tcW w:w="1373" w:type="dxa"/>
            <w:vMerge w:val="continue"/>
            <w:vAlign w:val="center"/>
          </w:tcPr>
          <w:p>
            <w:pPr>
              <w:widowControl/>
              <w:jc w:val="left"/>
              <w:rPr>
                <w:rFonts w:ascii="仿宋_GB2312" w:hAnsi="宋体" w:eastAsia="仿宋_GB2312" w:cs="宋体"/>
                <w:b/>
                <w:color w:val="000000"/>
                <w:kern w:val="0"/>
                <w:sz w:val="24"/>
                <w:szCs w:val="24"/>
              </w:rPr>
            </w:pPr>
          </w:p>
        </w:tc>
        <w:tc>
          <w:tcPr>
            <w:tcW w:w="1193" w:type="dxa"/>
            <w:vMerge w:val="continue"/>
            <w:vAlign w:val="center"/>
          </w:tcPr>
          <w:p>
            <w:pPr>
              <w:widowControl/>
              <w:jc w:val="left"/>
              <w:rPr>
                <w:rFonts w:ascii="仿宋_GB2312" w:hAnsi="宋体" w:eastAsia="仿宋_GB2312" w:cs="宋体"/>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30" w:hRule="atLeast"/>
          <w:jc w:val="center"/>
        </w:trPr>
        <w:tc>
          <w:tcPr>
            <w:tcW w:w="740"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类型</w:t>
            </w:r>
          </w:p>
        </w:tc>
        <w:tc>
          <w:tcPr>
            <w:tcW w:w="500"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序号</w:t>
            </w:r>
          </w:p>
        </w:tc>
        <w:tc>
          <w:tcPr>
            <w:tcW w:w="2805"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评价内容</w:t>
            </w:r>
          </w:p>
        </w:tc>
        <w:tc>
          <w:tcPr>
            <w:tcW w:w="520"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分值</w:t>
            </w:r>
          </w:p>
        </w:tc>
        <w:tc>
          <w:tcPr>
            <w:tcW w:w="3840"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评价标准</w:t>
            </w:r>
          </w:p>
        </w:tc>
        <w:tc>
          <w:tcPr>
            <w:tcW w:w="4060"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主要工作任务</w:t>
            </w:r>
          </w:p>
        </w:tc>
        <w:tc>
          <w:tcPr>
            <w:tcW w:w="1373"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牵头部门</w:t>
            </w:r>
          </w:p>
        </w:tc>
        <w:tc>
          <w:tcPr>
            <w:tcW w:w="1193"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97" w:hRule="atLeast"/>
          <w:jc w:val="center"/>
        </w:trPr>
        <w:tc>
          <w:tcPr>
            <w:tcW w:w="740" w:type="dxa"/>
            <w:vMerge w:val="restart"/>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eastAsia="仿宋_GB2312"/>
                <w:b/>
                <w:color w:val="000000"/>
                <w:sz w:val="24"/>
                <w:szCs w:val="24"/>
              </w:rPr>
              <w:t>基础条件</w:t>
            </w:r>
          </w:p>
        </w:tc>
        <w:tc>
          <w:tcPr>
            <w:tcW w:w="500"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8</w:t>
            </w:r>
          </w:p>
        </w:tc>
        <w:tc>
          <w:tcPr>
            <w:tcW w:w="2805"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节水“三同时”管理</w:t>
            </w:r>
          </w:p>
        </w:tc>
        <w:tc>
          <w:tcPr>
            <w:tcW w:w="520"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6</w:t>
            </w: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新(改、扩)建建设项目全部执行节水“三同时”管理制度,得6分;在近两年上级部门监督检查中,发现1例未落实节水“三同时”制度的,扣1分</w:t>
            </w:r>
          </w:p>
        </w:tc>
        <w:tc>
          <w:tcPr>
            <w:tcW w:w="406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 xml:space="preserve">提供近两年节水“三同时”管理制度相关文件 </w:t>
            </w:r>
          </w:p>
        </w:tc>
        <w:tc>
          <w:tcPr>
            <w:tcW w:w="1373"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县水务局</w:t>
            </w:r>
          </w:p>
        </w:tc>
        <w:tc>
          <w:tcPr>
            <w:tcW w:w="1193"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县发改局、县住建局、县规划局、县水资办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56" w:hRule="atLeast"/>
          <w:jc w:val="center"/>
        </w:trPr>
        <w:tc>
          <w:tcPr>
            <w:tcW w:w="74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500" w:type="dxa"/>
            <w:vMerge w:val="restart"/>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9</w:t>
            </w:r>
          </w:p>
        </w:tc>
        <w:tc>
          <w:tcPr>
            <w:tcW w:w="2805" w:type="dxa"/>
            <w:vMerge w:val="restart"/>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节水载体建设</w:t>
            </w:r>
          </w:p>
        </w:tc>
        <w:tc>
          <w:tcPr>
            <w:tcW w:w="520" w:type="dxa"/>
            <w:vMerge w:val="restart"/>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18</w:t>
            </w: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节水型企业建成率≥50%,得6分;每低3%,扣1分</w:t>
            </w:r>
          </w:p>
        </w:tc>
        <w:tc>
          <w:tcPr>
            <w:tcW w:w="4060" w:type="dxa"/>
            <w:shd w:val="clear" w:color="auto" w:fill="auto"/>
            <w:vAlign w:val="center"/>
          </w:tcPr>
          <w:p>
            <w:pPr>
              <w:widowControl/>
              <w:spacing w:after="240"/>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提供重点用水行业节水型企业数量与重点用水行业企业总数</w:t>
            </w:r>
          </w:p>
        </w:tc>
        <w:tc>
          <w:tcPr>
            <w:tcW w:w="1373" w:type="dxa"/>
            <w:vMerge w:val="restart"/>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县水务局</w:t>
            </w:r>
          </w:p>
        </w:tc>
        <w:tc>
          <w:tcPr>
            <w:tcW w:w="1193" w:type="dxa"/>
            <w:vMerge w:val="restart"/>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县文明办、县直机关工委、县经信局、县房管局、县水资办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63" w:hRule="atLeast"/>
          <w:jc w:val="center"/>
        </w:trPr>
        <w:tc>
          <w:tcPr>
            <w:tcW w:w="74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50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2805"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52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公共机构节水型单位建成率≥50%,得6分；每低3%,扣1分</w:t>
            </w:r>
          </w:p>
        </w:tc>
        <w:tc>
          <w:tcPr>
            <w:tcW w:w="406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提供公共机构节水型单位数、公共机构数量</w:t>
            </w:r>
          </w:p>
        </w:tc>
        <w:tc>
          <w:tcPr>
            <w:tcW w:w="1373" w:type="dxa"/>
            <w:vMerge w:val="continue"/>
            <w:vAlign w:val="center"/>
          </w:tcPr>
          <w:p>
            <w:pPr>
              <w:widowControl/>
              <w:jc w:val="left"/>
              <w:rPr>
                <w:rFonts w:ascii="仿宋_GB2312" w:hAnsi="宋体" w:eastAsia="仿宋_GB2312" w:cs="宋体"/>
                <w:b/>
                <w:color w:val="000000"/>
                <w:kern w:val="0"/>
                <w:sz w:val="24"/>
                <w:szCs w:val="24"/>
              </w:rPr>
            </w:pPr>
          </w:p>
        </w:tc>
        <w:tc>
          <w:tcPr>
            <w:tcW w:w="1193" w:type="dxa"/>
            <w:vMerge w:val="continue"/>
            <w:vAlign w:val="center"/>
          </w:tcPr>
          <w:p>
            <w:pPr>
              <w:widowControl/>
              <w:jc w:val="left"/>
              <w:rPr>
                <w:rFonts w:ascii="仿宋_GB2312" w:hAnsi="宋体" w:eastAsia="仿宋_GB2312" w:cs="宋体"/>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4" w:hRule="atLeast"/>
          <w:jc w:val="center"/>
        </w:trPr>
        <w:tc>
          <w:tcPr>
            <w:tcW w:w="74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50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2805"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52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节水型居民小区建成率≥20%,得6分;每低1%,扣2分</w:t>
            </w:r>
          </w:p>
        </w:tc>
        <w:tc>
          <w:tcPr>
            <w:tcW w:w="406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提供节水型居民小区数、居民小区数量</w:t>
            </w:r>
          </w:p>
        </w:tc>
        <w:tc>
          <w:tcPr>
            <w:tcW w:w="1373" w:type="dxa"/>
            <w:vMerge w:val="continue"/>
            <w:vAlign w:val="center"/>
          </w:tcPr>
          <w:p>
            <w:pPr>
              <w:widowControl/>
              <w:jc w:val="left"/>
              <w:rPr>
                <w:rFonts w:ascii="仿宋_GB2312" w:hAnsi="宋体" w:eastAsia="仿宋_GB2312" w:cs="宋体"/>
                <w:b/>
                <w:color w:val="000000"/>
                <w:kern w:val="0"/>
                <w:sz w:val="24"/>
                <w:szCs w:val="24"/>
              </w:rPr>
            </w:pPr>
          </w:p>
        </w:tc>
        <w:tc>
          <w:tcPr>
            <w:tcW w:w="1193" w:type="dxa"/>
            <w:vMerge w:val="continue"/>
            <w:vAlign w:val="center"/>
          </w:tcPr>
          <w:p>
            <w:pPr>
              <w:widowControl/>
              <w:jc w:val="left"/>
              <w:rPr>
                <w:rFonts w:ascii="仿宋_GB2312" w:hAnsi="宋体" w:eastAsia="仿宋_GB2312" w:cs="宋体"/>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2" w:hRule="atLeast"/>
          <w:jc w:val="center"/>
        </w:trPr>
        <w:tc>
          <w:tcPr>
            <w:tcW w:w="74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500"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10</w:t>
            </w:r>
          </w:p>
        </w:tc>
        <w:tc>
          <w:tcPr>
            <w:tcW w:w="2805"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供水管网漏损控制</w:t>
            </w:r>
          </w:p>
        </w:tc>
        <w:tc>
          <w:tcPr>
            <w:tcW w:w="520"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8</w:t>
            </w: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公共供水管网漏损率≤10%,得8分;每高1%,扣1分</w:t>
            </w:r>
          </w:p>
        </w:tc>
        <w:tc>
          <w:tcPr>
            <w:tcW w:w="406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提供城镇公共供水总量、有效供水量等相关资料</w:t>
            </w:r>
          </w:p>
        </w:tc>
        <w:tc>
          <w:tcPr>
            <w:tcW w:w="1373"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县水务局</w:t>
            </w:r>
          </w:p>
        </w:tc>
        <w:tc>
          <w:tcPr>
            <w:tcW w:w="1193" w:type="dxa"/>
            <w:shd w:val="clear" w:color="auto" w:fill="auto"/>
            <w:vAlign w:val="center"/>
          </w:tcPr>
          <w:p>
            <w:pPr>
              <w:widowControl/>
              <w:jc w:val="center"/>
              <w:rPr>
                <w:rFonts w:hint="eastAsia" w:ascii="仿宋_GB2312" w:hAnsi="宋体" w:eastAsia="仿宋_GB2312" w:cs="宋体"/>
                <w:b/>
                <w:color w:val="000000"/>
                <w:spacing w:val="-20"/>
                <w:kern w:val="0"/>
                <w:sz w:val="24"/>
                <w:szCs w:val="24"/>
              </w:rPr>
            </w:pPr>
            <w:r>
              <w:rPr>
                <w:rFonts w:hint="eastAsia" w:ascii="仿宋_GB2312" w:hAnsi="宋体" w:eastAsia="仿宋_GB2312" w:cs="宋体"/>
                <w:b/>
                <w:color w:val="000000"/>
                <w:spacing w:val="-20"/>
                <w:kern w:val="0"/>
                <w:sz w:val="24"/>
                <w:szCs w:val="24"/>
              </w:rPr>
              <w:t>县自来水</w:t>
            </w:r>
          </w:p>
          <w:p>
            <w:pPr>
              <w:widowControl/>
              <w:jc w:val="center"/>
              <w:rPr>
                <w:rFonts w:ascii="仿宋_GB2312" w:hAnsi="宋体" w:eastAsia="仿宋_GB2312" w:cs="宋体"/>
                <w:b/>
                <w:color w:val="000000"/>
                <w:spacing w:val="-20"/>
                <w:kern w:val="0"/>
                <w:sz w:val="24"/>
                <w:szCs w:val="24"/>
              </w:rPr>
            </w:pPr>
            <w:r>
              <w:rPr>
                <w:rFonts w:hint="eastAsia" w:ascii="仿宋_GB2312" w:hAnsi="宋体" w:eastAsia="仿宋_GB2312" w:cs="宋体"/>
                <w:b/>
                <w:color w:val="000000"/>
                <w:spacing w:val="-20"/>
                <w:kern w:val="0"/>
                <w:sz w:val="24"/>
                <w:szCs w:val="24"/>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25" w:hRule="atLeast"/>
          <w:jc w:val="center"/>
        </w:trPr>
        <w:tc>
          <w:tcPr>
            <w:tcW w:w="74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500"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11</w:t>
            </w:r>
          </w:p>
        </w:tc>
        <w:tc>
          <w:tcPr>
            <w:tcW w:w="2805"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生活节水器具推广</w:t>
            </w:r>
          </w:p>
        </w:tc>
        <w:tc>
          <w:tcPr>
            <w:tcW w:w="520"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8</w:t>
            </w: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公共场所和新建小区居民家庭全部使用生活节水器具,得8分;发现1例未使用,扣1分</w:t>
            </w:r>
          </w:p>
        </w:tc>
        <w:tc>
          <w:tcPr>
            <w:tcW w:w="406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提供公共场所和居民家庭全部使用生活节水器具证明材料</w:t>
            </w:r>
          </w:p>
        </w:tc>
        <w:tc>
          <w:tcPr>
            <w:tcW w:w="1373"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县住建局</w:t>
            </w:r>
          </w:p>
        </w:tc>
        <w:tc>
          <w:tcPr>
            <w:tcW w:w="1193" w:type="dxa"/>
            <w:shd w:val="clear" w:color="auto" w:fill="auto"/>
            <w:vAlign w:val="center"/>
          </w:tcPr>
          <w:p>
            <w:pPr>
              <w:widowControl/>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县经信局、县房管局、</w:t>
            </w:r>
          </w:p>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县水资办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23" w:hRule="atLeast"/>
          <w:jc w:val="center"/>
        </w:trPr>
        <w:tc>
          <w:tcPr>
            <w:tcW w:w="74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500"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12</w:t>
            </w:r>
          </w:p>
        </w:tc>
        <w:tc>
          <w:tcPr>
            <w:tcW w:w="2805"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再生水利用</w:t>
            </w:r>
          </w:p>
        </w:tc>
        <w:tc>
          <w:tcPr>
            <w:tcW w:w="520"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8</w:t>
            </w: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再生水利用率≥20%,得8分;每低1%,扣1分</w:t>
            </w:r>
          </w:p>
        </w:tc>
        <w:tc>
          <w:tcPr>
            <w:tcW w:w="406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提供再生水建设、利用的相关材料数据</w:t>
            </w:r>
          </w:p>
        </w:tc>
        <w:tc>
          <w:tcPr>
            <w:tcW w:w="1373" w:type="dxa"/>
            <w:shd w:val="clear" w:color="auto" w:fill="auto"/>
            <w:vAlign w:val="center"/>
          </w:tcPr>
          <w:p>
            <w:pPr>
              <w:widowControl/>
              <w:jc w:val="center"/>
              <w:rPr>
                <w:rFonts w:ascii="仿宋_GB2312" w:hAnsi="宋体" w:eastAsia="仿宋_GB2312" w:cs="宋体"/>
                <w:b/>
                <w:color w:val="000000"/>
                <w:spacing w:val="-20"/>
                <w:kern w:val="0"/>
                <w:sz w:val="24"/>
                <w:szCs w:val="24"/>
              </w:rPr>
            </w:pPr>
            <w:r>
              <w:rPr>
                <w:rFonts w:hint="eastAsia" w:ascii="仿宋_GB2312" w:hAnsi="宋体" w:eastAsia="仿宋_GB2312" w:cs="宋体"/>
                <w:b/>
                <w:color w:val="000000"/>
                <w:spacing w:val="-20"/>
                <w:kern w:val="0"/>
                <w:sz w:val="24"/>
                <w:szCs w:val="24"/>
              </w:rPr>
              <w:t>县综合执法局</w:t>
            </w:r>
          </w:p>
        </w:tc>
        <w:tc>
          <w:tcPr>
            <w:tcW w:w="1193" w:type="dxa"/>
            <w:shd w:val="clear" w:color="auto" w:fill="auto"/>
            <w:vAlign w:val="center"/>
          </w:tcPr>
          <w:p>
            <w:pPr>
              <w:widowControl/>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县环保局、</w:t>
            </w:r>
          </w:p>
          <w:p>
            <w:pPr>
              <w:widowControl/>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县财政局、县水务局、县水资办、</w:t>
            </w:r>
          </w:p>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23" w:hRule="atLeast"/>
          <w:jc w:val="center"/>
        </w:trPr>
        <w:tc>
          <w:tcPr>
            <w:tcW w:w="740"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类型</w:t>
            </w:r>
          </w:p>
        </w:tc>
        <w:tc>
          <w:tcPr>
            <w:tcW w:w="500"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序号</w:t>
            </w:r>
          </w:p>
        </w:tc>
        <w:tc>
          <w:tcPr>
            <w:tcW w:w="2805"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评价内容</w:t>
            </w:r>
          </w:p>
        </w:tc>
        <w:tc>
          <w:tcPr>
            <w:tcW w:w="520"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分值</w:t>
            </w:r>
          </w:p>
        </w:tc>
        <w:tc>
          <w:tcPr>
            <w:tcW w:w="3840"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评价标准</w:t>
            </w:r>
          </w:p>
        </w:tc>
        <w:tc>
          <w:tcPr>
            <w:tcW w:w="4060"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主要工作任务</w:t>
            </w:r>
          </w:p>
        </w:tc>
        <w:tc>
          <w:tcPr>
            <w:tcW w:w="1373"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牵头部门</w:t>
            </w:r>
          </w:p>
        </w:tc>
        <w:tc>
          <w:tcPr>
            <w:tcW w:w="1193" w:type="dxa"/>
            <w:shd w:val="clear" w:color="auto" w:fill="auto"/>
            <w:vAlign w:val="center"/>
          </w:tcPr>
          <w:p>
            <w:pPr>
              <w:widowControl/>
              <w:spacing w:line="3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5" w:hRule="atLeast"/>
          <w:jc w:val="center"/>
        </w:trPr>
        <w:tc>
          <w:tcPr>
            <w:tcW w:w="740" w:type="dxa"/>
            <w:vMerge w:val="restart"/>
            <w:shd w:val="clear" w:color="auto" w:fill="auto"/>
            <w:vAlign w:val="center"/>
          </w:tcPr>
          <w:p>
            <w:pPr>
              <w:jc w:val="center"/>
              <w:rPr>
                <w:rFonts w:ascii="仿宋_GB2312" w:hAnsi="宋体" w:eastAsia="仿宋_GB2312" w:cs="宋体"/>
                <w:b/>
                <w:color w:val="000000"/>
                <w:kern w:val="0"/>
                <w:sz w:val="24"/>
                <w:szCs w:val="24"/>
              </w:rPr>
            </w:pPr>
            <w:r>
              <w:rPr>
                <w:rFonts w:hint="eastAsia" w:ascii="仿宋_GB2312" w:eastAsia="仿宋_GB2312"/>
                <w:b/>
                <w:color w:val="000000"/>
                <w:sz w:val="24"/>
                <w:szCs w:val="24"/>
              </w:rPr>
              <w:t>基础条件</w:t>
            </w:r>
          </w:p>
        </w:tc>
        <w:tc>
          <w:tcPr>
            <w:tcW w:w="500" w:type="dxa"/>
            <w:vMerge w:val="restart"/>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13</w:t>
            </w:r>
          </w:p>
        </w:tc>
        <w:tc>
          <w:tcPr>
            <w:tcW w:w="2805" w:type="dxa"/>
            <w:vMerge w:val="restart"/>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社会节水意识</w:t>
            </w:r>
          </w:p>
        </w:tc>
        <w:tc>
          <w:tcPr>
            <w:tcW w:w="520" w:type="dxa"/>
            <w:vMerge w:val="restart"/>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8</w:t>
            </w: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经常性开展节水公益宣传活动,普及水情知识和节水知识,得4分；未开展,得0分</w:t>
            </w:r>
          </w:p>
        </w:tc>
        <w:tc>
          <w:tcPr>
            <w:tcW w:w="406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提供经常性开展节水公益宣传活动、普及水情知识和节水知识相关材料</w:t>
            </w:r>
          </w:p>
        </w:tc>
        <w:tc>
          <w:tcPr>
            <w:tcW w:w="1373" w:type="dxa"/>
            <w:vMerge w:val="restart"/>
            <w:shd w:val="clear" w:color="auto" w:fill="auto"/>
            <w:vAlign w:val="center"/>
          </w:tcPr>
          <w:p>
            <w:pPr>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县文明办</w:t>
            </w:r>
          </w:p>
        </w:tc>
        <w:tc>
          <w:tcPr>
            <w:tcW w:w="1193" w:type="dxa"/>
            <w:vMerge w:val="restart"/>
            <w:shd w:val="clear" w:color="auto" w:fill="auto"/>
            <w:vAlign w:val="center"/>
          </w:tcPr>
          <w:p>
            <w:pP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团县委、县教体局、</w:t>
            </w:r>
            <w:r>
              <w:rPr>
                <w:rFonts w:hint="eastAsia" w:ascii="仿宋_GB2312" w:hAnsi="宋体" w:eastAsia="仿宋_GB2312" w:cs="宋体"/>
                <w:b/>
                <w:color w:val="000000"/>
                <w:spacing w:val="-18"/>
                <w:kern w:val="0"/>
                <w:sz w:val="24"/>
                <w:szCs w:val="24"/>
              </w:rPr>
              <w:t>县广播电视局</w:t>
            </w:r>
            <w:r>
              <w:rPr>
                <w:rFonts w:hint="eastAsia" w:ascii="仿宋_GB2312" w:hAnsi="宋体" w:eastAsia="仿宋_GB2312" w:cs="宋体"/>
                <w:b/>
                <w:color w:val="000000"/>
                <w:kern w:val="0"/>
                <w:sz w:val="24"/>
                <w:szCs w:val="24"/>
              </w:rPr>
              <w:t>、县水资办、县自来水公司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40" w:hRule="atLeast"/>
          <w:jc w:val="center"/>
        </w:trPr>
        <w:tc>
          <w:tcPr>
            <w:tcW w:w="740" w:type="dxa"/>
            <w:vMerge w:val="continue"/>
            <w:shd w:val="clear" w:color="auto" w:fill="auto"/>
            <w:vAlign w:val="center"/>
          </w:tcPr>
          <w:p>
            <w:pPr>
              <w:rPr>
                <w:rFonts w:ascii="仿宋_GB2312" w:hAnsi="宋体" w:eastAsia="仿宋_GB2312" w:cs="宋体"/>
                <w:b/>
                <w:color w:val="000000"/>
                <w:kern w:val="0"/>
                <w:sz w:val="24"/>
                <w:szCs w:val="24"/>
              </w:rPr>
            </w:pPr>
          </w:p>
        </w:tc>
        <w:tc>
          <w:tcPr>
            <w:tcW w:w="50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2805"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52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通过电话、网络等方式进行公众节水意识调查,70%以上的调查对象具有明显的节水意识,得4分；每低5%,扣1分</w:t>
            </w:r>
          </w:p>
        </w:tc>
        <w:tc>
          <w:tcPr>
            <w:tcW w:w="406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　</w:t>
            </w:r>
          </w:p>
        </w:tc>
        <w:tc>
          <w:tcPr>
            <w:tcW w:w="1373" w:type="dxa"/>
            <w:vMerge w:val="continue"/>
            <w:shd w:val="clear" w:color="auto" w:fill="auto"/>
            <w:vAlign w:val="center"/>
          </w:tcPr>
          <w:p>
            <w:pPr>
              <w:widowControl/>
              <w:jc w:val="center"/>
              <w:rPr>
                <w:rFonts w:ascii="仿宋_GB2312" w:hAnsi="宋体" w:eastAsia="仿宋_GB2312" w:cs="宋体"/>
                <w:b/>
                <w:color w:val="000000"/>
                <w:kern w:val="0"/>
                <w:sz w:val="24"/>
                <w:szCs w:val="24"/>
              </w:rPr>
            </w:pPr>
          </w:p>
        </w:tc>
        <w:tc>
          <w:tcPr>
            <w:tcW w:w="1193" w:type="dxa"/>
            <w:vMerge w:val="continue"/>
            <w:shd w:val="clear" w:color="auto" w:fill="auto"/>
            <w:vAlign w:val="center"/>
          </w:tcPr>
          <w:p>
            <w:pPr>
              <w:widowControl/>
              <w:rPr>
                <w:rFonts w:ascii="仿宋_GB2312" w:hAnsi="宋体" w:eastAsia="仿宋_GB2312" w:cs="宋体"/>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90" w:hRule="atLeast"/>
          <w:jc w:val="center"/>
        </w:trPr>
        <w:tc>
          <w:tcPr>
            <w:tcW w:w="740" w:type="dxa"/>
            <w:vMerge w:val="continue"/>
            <w:shd w:val="clear" w:color="auto" w:fill="auto"/>
            <w:vAlign w:val="center"/>
          </w:tcPr>
          <w:p>
            <w:pPr>
              <w:widowControl/>
              <w:rPr>
                <w:rFonts w:ascii="仿宋_GB2312" w:hAnsi="宋体" w:eastAsia="仿宋_GB2312" w:cs="宋体"/>
                <w:b/>
                <w:color w:val="000000"/>
                <w:kern w:val="0"/>
                <w:sz w:val="24"/>
                <w:szCs w:val="24"/>
              </w:rPr>
            </w:pPr>
          </w:p>
        </w:tc>
        <w:tc>
          <w:tcPr>
            <w:tcW w:w="500" w:type="dxa"/>
            <w:vMerge w:val="restart"/>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14</w:t>
            </w:r>
          </w:p>
        </w:tc>
        <w:tc>
          <w:tcPr>
            <w:tcW w:w="2805" w:type="dxa"/>
            <w:vMerge w:val="restart"/>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加分项</w:t>
            </w:r>
          </w:p>
        </w:tc>
        <w:tc>
          <w:tcPr>
            <w:tcW w:w="520"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w:t>
            </w: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区域内有企业、公共机构、产品灌区被评为国家级或省级水效领跑者或节水标杆单位(企业),加3分</w:t>
            </w:r>
          </w:p>
        </w:tc>
        <w:tc>
          <w:tcPr>
            <w:tcW w:w="406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提供区域内企业、公共机构、产品、灌区被评为国家级或省级水效领跑者或节水标杆单位(企业)名单和证明材料</w:t>
            </w:r>
          </w:p>
        </w:tc>
        <w:tc>
          <w:tcPr>
            <w:tcW w:w="1373"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县经信局</w:t>
            </w:r>
          </w:p>
        </w:tc>
        <w:tc>
          <w:tcPr>
            <w:tcW w:w="1193"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县住建局、县水资办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0" w:hRule="atLeast"/>
          <w:jc w:val="center"/>
        </w:trPr>
        <w:tc>
          <w:tcPr>
            <w:tcW w:w="74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50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2805"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520"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4</w:t>
            </w: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本级财政对节水项目建设、节水术推广等实行补贴或其他优惠等激励政策,加4分</w:t>
            </w:r>
          </w:p>
        </w:tc>
        <w:tc>
          <w:tcPr>
            <w:tcW w:w="406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提供本级财政对节水项目建设、节水技术推广等实行补贴或其他优惠等激励政策</w:t>
            </w:r>
          </w:p>
        </w:tc>
        <w:tc>
          <w:tcPr>
            <w:tcW w:w="1373"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县财政局</w:t>
            </w:r>
          </w:p>
        </w:tc>
        <w:tc>
          <w:tcPr>
            <w:tcW w:w="1193"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县水务局、县水资办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680" w:hRule="atLeast"/>
          <w:jc w:val="center"/>
        </w:trPr>
        <w:tc>
          <w:tcPr>
            <w:tcW w:w="74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500"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2805" w:type="dxa"/>
            <w:vMerge w:val="continue"/>
            <w:shd w:val="clear" w:color="auto" w:fill="auto"/>
            <w:vAlign w:val="center"/>
          </w:tcPr>
          <w:p>
            <w:pPr>
              <w:widowControl/>
              <w:jc w:val="left"/>
              <w:rPr>
                <w:rFonts w:ascii="仿宋_GB2312" w:hAnsi="宋体" w:eastAsia="仿宋_GB2312" w:cs="宋体"/>
                <w:b/>
                <w:color w:val="000000"/>
                <w:kern w:val="0"/>
                <w:sz w:val="24"/>
                <w:szCs w:val="24"/>
              </w:rPr>
            </w:pPr>
          </w:p>
        </w:tc>
        <w:tc>
          <w:tcPr>
            <w:tcW w:w="520"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w:t>
            </w:r>
          </w:p>
        </w:tc>
        <w:tc>
          <w:tcPr>
            <w:tcW w:w="384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高效节水灌溉率≥40%，加3分</w:t>
            </w:r>
          </w:p>
        </w:tc>
        <w:tc>
          <w:tcPr>
            <w:tcW w:w="4060"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提供高效节水灌溉率相关证明材料和数据</w:t>
            </w:r>
          </w:p>
        </w:tc>
        <w:tc>
          <w:tcPr>
            <w:tcW w:w="1373" w:type="dxa"/>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县水务局</w:t>
            </w:r>
          </w:p>
        </w:tc>
        <w:tc>
          <w:tcPr>
            <w:tcW w:w="1193" w:type="dxa"/>
            <w:shd w:val="clear" w:color="auto" w:fill="auto"/>
            <w:vAlign w:val="center"/>
          </w:tcPr>
          <w:p>
            <w:pPr>
              <w:widowControl/>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县农业局、县蔬菜产销服务中心、县综合行政执法局、县农发办</w:t>
            </w:r>
          </w:p>
        </w:tc>
      </w:tr>
    </w:tbl>
    <w:p>
      <w:pPr>
        <w:rPr>
          <w:color w:val="000000"/>
        </w:rPr>
      </w:pPr>
    </w:p>
    <w:p>
      <w:bookmarkStart w:id="0" w:name="_GoBack"/>
      <w:bookmarkEnd w:id="0"/>
    </w:p>
    <w:sectPr>
      <w:pgSz w:w="16840" w:h="11907" w:orient="landscape"/>
      <w:pgMar w:top="1588" w:right="1588" w:bottom="1588" w:left="1588" w:header="851" w:footer="1418"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00022"/>
    <w:rsid w:val="26F0002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2018-11-05T02:30:00Z</dcterms:created>
  <dc:creator>Administrator</dc:creator>
  <cp:lastModifiedBy>Administrator</cp:lastModifiedBy>
  <dcterms:modified xsi:type="dcterms:W3CDTF">2018-11-05T02:30:45Z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