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AC8" w:rsidRPr="00F257A2" w:rsidRDefault="00B16AC8" w:rsidP="00B16AC8">
      <w:pPr>
        <w:adjustRightInd w:val="0"/>
        <w:snapToGrid w:val="0"/>
        <w:spacing w:line="560" w:lineRule="exact"/>
        <w:jc w:val="left"/>
        <w:rPr>
          <w:rFonts w:ascii="黑体" w:eastAsia="黑体" w:hAnsi="黑体"/>
          <w:color w:val="000000"/>
          <w:sz w:val="32"/>
          <w:szCs w:val="32"/>
        </w:rPr>
      </w:pPr>
      <w:r w:rsidRPr="00F257A2">
        <w:rPr>
          <w:rFonts w:ascii="黑体" w:eastAsia="黑体" w:hAnsi="黑体"/>
          <w:color w:val="000000"/>
          <w:sz w:val="32"/>
          <w:szCs w:val="32"/>
        </w:rPr>
        <w:t>附件2</w:t>
      </w:r>
    </w:p>
    <w:p w:rsidR="00B16AC8" w:rsidRPr="00F257A2" w:rsidRDefault="00B16AC8" w:rsidP="00B16AC8">
      <w:pPr>
        <w:widowControl/>
        <w:adjustRightInd w:val="0"/>
        <w:snapToGrid w:val="0"/>
        <w:spacing w:line="560" w:lineRule="exact"/>
        <w:jc w:val="center"/>
        <w:rPr>
          <w:rFonts w:ascii="Times New Roman" w:eastAsia="方正小标宋简体" w:hAnsi="Times New Roman" w:hint="eastAsia"/>
          <w:sz w:val="44"/>
          <w:szCs w:val="44"/>
        </w:rPr>
      </w:pPr>
      <w:r w:rsidRPr="00F257A2">
        <w:rPr>
          <w:rFonts w:ascii="Times New Roman" w:eastAsia="方正小标宋简体" w:hAnsi="Times New Roman" w:hint="eastAsia"/>
          <w:sz w:val="44"/>
          <w:szCs w:val="44"/>
        </w:rPr>
        <w:t>沂源县</w:t>
      </w:r>
      <w:r w:rsidRPr="00F257A2">
        <w:rPr>
          <w:rFonts w:ascii="Times New Roman" w:eastAsia="方正小标宋简体" w:hAnsi="Times New Roman" w:hint="eastAsia"/>
          <w:sz w:val="44"/>
          <w:szCs w:val="44"/>
        </w:rPr>
        <w:t>2018-2019</w:t>
      </w:r>
      <w:r w:rsidRPr="00F257A2">
        <w:rPr>
          <w:rFonts w:ascii="Times New Roman" w:eastAsia="方正小标宋简体" w:hAnsi="Times New Roman" w:hint="eastAsia"/>
          <w:sz w:val="44"/>
          <w:szCs w:val="44"/>
        </w:rPr>
        <w:t>年秋冬季大气污染综合治理</w:t>
      </w:r>
    </w:p>
    <w:p w:rsidR="00B16AC8" w:rsidRPr="00F257A2" w:rsidRDefault="00B16AC8" w:rsidP="00B16AC8">
      <w:pPr>
        <w:widowControl/>
        <w:adjustRightInd w:val="0"/>
        <w:snapToGrid w:val="0"/>
        <w:spacing w:afterLines="50" w:line="560" w:lineRule="exact"/>
        <w:jc w:val="center"/>
        <w:rPr>
          <w:rFonts w:ascii="Times New Roman" w:eastAsia="方正小标宋简体" w:hAnsi="Times New Roman"/>
          <w:sz w:val="44"/>
          <w:szCs w:val="44"/>
        </w:rPr>
      </w:pPr>
      <w:r w:rsidRPr="00F257A2">
        <w:rPr>
          <w:rFonts w:ascii="Times New Roman" w:eastAsia="方正小标宋简体" w:hAnsi="Times New Roman" w:hint="eastAsia"/>
          <w:sz w:val="44"/>
          <w:szCs w:val="44"/>
        </w:rPr>
        <w:t>攻坚行动方案主要任务及工程措施</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tblPr>
      <w:tblGrid>
        <w:gridCol w:w="938"/>
        <w:gridCol w:w="1134"/>
        <w:gridCol w:w="1559"/>
        <w:gridCol w:w="1843"/>
        <w:gridCol w:w="8821"/>
      </w:tblGrid>
      <w:tr w:rsidR="00B16AC8" w:rsidRPr="00F257A2" w:rsidTr="00B719AD">
        <w:trPr>
          <w:trHeight w:val="567"/>
          <w:tblHeader/>
          <w:jc w:val="center"/>
        </w:trPr>
        <w:tc>
          <w:tcPr>
            <w:tcW w:w="938" w:type="dxa"/>
            <w:vAlign w:val="center"/>
          </w:tcPr>
          <w:p w:rsidR="00B16AC8" w:rsidRPr="00F257A2" w:rsidRDefault="00B16AC8" w:rsidP="00B719AD">
            <w:pPr>
              <w:adjustRightInd w:val="0"/>
              <w:snapToGrid w:val="0"/>
              <w:jc w:val="center"/>
              <w:rPr>
                <w:rFonts w:ascii="Times New Roman" w:eastAsia="黑体" w:hAnsi="Times New Roman"/>
                <w:szCs w:val="21"/>
              </w:rPr>
            </w:pPr>
            <w:r w:rsidRPr="00F257A2">
              <w:rPr>
                <w:rFonts w:ascii="Times New Roman" w:eastAsia="黑体" w:hAnsi="Times New Roman"/>
                <w:szCs w:val="21"/>
              </w:rPr>
              <w:t>类别</w:t>
            </w:r>
          </w:p>
        </w:tc>
        <w:tc>
          <w:tcPr>
            <w:tcW w:w="1134" w:type="dxa"/>
            <w:vAlign w:val="center"/>
          </w:tcPr>
          <w:p w:rsidR="00B16AC8" w:rsidRPr="00F257A2" w:rsidRDefault="00B16AC8" w:rsidP="00B719AD">
            <w:pPr>
              <w:adjustRightInd w:val="0"/>
              <w:snapToGrid w:val="0"/>
              <w:jc w:val="center"/>
              <w:rPr>
                <w:rFonts w:ascii="Times New Roman" w:eastAsia="黑体" w:hAnsi="Times New Roman"/>
                <w:szCs w:val="21"/>
              </w:rPr>
            </w:pPr>
            <w:r w:rsidRPr="00F257A2">
              <w:rPr>
                <w:rFonts w:ascii="Times New Roman" w:eastAsia="黑体" w:hAnsi="Times New Roman"/>
                <w:szCs w:val="21"/>
              </w:rPr>
              <w:t>重点工作</w:t>
            </w:r>
          </w:p>
        </w:tc>
        <w:tc>
          <w:tcPr>
            <w:tcW w:w="1559" w:type="dxa"/>
            <w:vAlign w:val="center"/>
          </w:tcPr>
          <w:p w:rsidR="00B16AC8" w:rsidRPr="00F257A2" w:rsidRDefault="00B16AC8" w:rsidP="00B719AD">
            <w:pPr>
              <w:adjustRightInd w:val="0"/>
              <w:snapToGrid w:val="0"/>
              <w:jc w:val="center"/>
              <w:rPr>
                <w:rFonts w:ascii="Times New Roman" w:eastAsia="黑体" w:hAnsi="Times New Roman"/>
                <w:szCs w:val="21"/>
              </w:rPr>
            </w:pPr>
            <w:r w:rsidRPr="00F257A2">
              <w:rPr>
                <w:rFonts w:ascii="Times New Roman" w:eastAsia="黑体" w:hAnsi="Times New Roman"/>
                <w:szCs w:val="21"/>
              </w:rPr>
              <w:t>主要任务</w:t>
            </w:r>
          </w:p>
        </w:tc>
        <w:tc>
          <w:tcPr>
            <w:tcW w:w="1843" w:type="dxa"/>
            <w:vAlign w:val="center"/>
          </w:tcPr>
          <w:p w:rsidR="00B16AC8" w:rsidRPr="00F257A2" w:rsidRDefault="00B16AC8" w:rsidP="00B719AD">
            <w:pPr>
              <w:adjustRightInd w:val="0"/>
              <w:snapToGrid w:val="0"/>
              <w:jc w:val="center"/>
              <w:rPr>
                <w:rFonts w:ascii="Times New Roman" w:eastAsia="黑体" w:hAnsi="Times New Roman"/>
                <w:szCs w:val="21"/>
              </w:rPr>
            </w:pPr>
            <w:r w:rsidRPr="00F257A2">
              <w:rPr>
                <w:rFonts w:ascii="Times New Roman" w:eastAsia="黑体" w:hAnsi="Times New Roman"/>
                <w:szCs w:val="21"/>
              </w:rPr>
              <w:t>完成时限</w:t>
            </w:r>
          </w:p>
        </w:tc>
        <w:tc>
          <w:tcPr>
            <w:tcW w:w="8821" w:type="dxa"/>
            <w:vAlign w:val="center"/>
          </w:tcPr>
          <w:p w:rsidR="00B16AC8" w:rsidRPr="00F257A2" w:rsidRDefault="00B16AC8" w:rsidP="00B719AD">
            <w:pPr>
              <w:adjustRightInd w:val="0"/>
              <w:snapToGrid w:val="0"/>
              <w:jc w:val="center"/>
              <w:rPr>
                <w:rFonts w:ascii="Times New Roman" w:eastAsia="黑体" w:hAnsi="Times New Roman"/>
                <w:szCs w:val="21"/>
              </w:rPr>
            </w:pPr>
            <w:r w:rsidRPr="00F257A2">
              <w:rPr>
                <w:rFonts w:ascii="Times New Roman" w:eastAsia="黑体" w:hAnsi="Times New Roman"/>
                <w:szCs w:val="21"/>
              </w:rPr>
              <w:t>工</w:t>
            </w:r>
            <w:r w:rsidRPr="00F257A2">
              <w:rPr>
                <w:rFonts w:ascii="Times New Roman" w:eastAsia="黑体" w:hAnsi="Times New Roman"/>
                <w:szCs w:val="21"/>
              </w:rPr>
              <w:t xml:space="preserve">  </w:t>
            </w:r>
            <w:r w:rsidRPr="00F257A2">
              <w:rPr>
                <w:rFonts w:ascii="Times New Roman" w:eastAsia="黑体" w:hAnsi="Times New Roman"/>
                <w:szCs w:val="21"/>
              </w:rPr>
              <w:t>程</w:t>
            </w:r>
            <w:r w:rsidRPr="00F257A2">
              <w:rPr>
                <w:rFonts w:ascii="Times New Roman" w:eastAsia="黑体" w:hAnsi="Times New Roman"/>
                <w:szCs w:val="21"/>
              </w:rPr>
              <w:t xml:space="preserve">  </w:t>
            </w:r>
            <w:proofErr w:type="gramStart"/>
            <w:r w:rsidRPr="00F257A2">
              <w:rPr>
                <w:rFonts w:ascii="Times New Roman" w:eastAsia="黑体" w:hAnsi="Times New Roman"/>
                <w:szCs w:val="21"/>
              </w:rPr>
              <w:t>措</w:t>
            </w:r>
            <w:proofErr w:type="gramEnd"/>
            <w:r w:rsidRPr="00F257A2">
              <w:rPr>
                <w:rFonts w:ascii="Times New Roman" w:eastAsia="黑体" w:hAnsi="Times New Roman"/>
                <w:szCs w:val="21"/>
              </w:rPr>
              <w:t xml:space="preserve">  </w:t>
            </w:r>
            <w:r w:rsidRPr="00F257A2">
              <w:rPr>
                <w:rFonts w:ascii="Times New Roman" w:eastAsia="黑体" w:hAnsi="Times New Roman"/>
                <w:szCs w:val="21"/>
              </w:rPr>
              <w:t>施</w:t>
            </w:r>
          </w:p>
        </w:tc>
      </w:tr>
      <w:tr w:rsidR="00B16AC8" w:rsidRPr="00F257A2" w:rsidTr="00B719AD">
        <w:trPr>
          <w:trHeight w:val="56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产业结构调整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产业布局调整</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“三线一单”编制</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配合上级完成生态保护红线清单编制工作，推进环境质量底线、资源利用上线、环境准入清单编制工作。</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建成区重污染企业搬迁</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制定搬迁方案，加快城市建成区重污染企业搬迁改造或关闭退出。</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工业园区整治</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制定化工园区整治方案，明确化工园区整合提升改造任务。加快沂源县化工产业园管理机构建设。</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“散乱污”企业综合整治</w:t>
            </w: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开展“散乱污”企业及集群综合整治</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完成新一轮“散乱污”企业排查工作，建立动态管理机制。</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巩固“散乱污”企业整治工作成果，坚决杜绝已取缔的“散乱污”企业异地转移、死灰复燃。对新排查出的“散乱污”企业，按照“先停后治”的原则，责令立即停止生产，实施分类处置。</w:t>
            </w:r>
          </w:p>
        </w:tc>
      </w:tr>
      <w:tr w:rsidR="00B16AC8" w:rsidRPr="00F257A2" w:rsidTr="00B719AD">
        <w:trPr>
          <w:trHeight w:val="644"/>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工业源污染治理</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实施排污许可</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按国家、省、市统一安排完成排污许可证核发任务。</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无组织排放</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治理</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完成水泥粉磨站、建材、玻璃、砖瓦、燃煤锅炉、矿山等行业企业等物料（含废渣）运输、装卸、储存、转移、输送以及生产工艺过程等无组织排放的深度治理。</w:t>
            </w:r>
          </w:p>
        </w:tc>
      </w:tr>
      <w:tr w:rsidR="00B16AC8" w:rsidRPr="00F257A2" w:rsidTr="00B719AD">
        <w:trPr>
          <w:trHeight w:val="76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能源结构调整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清洁取暖</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清洁能源替代散煤</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完成农村地</w:t>
            </w:r>
            <w:proofErr w:type="gramStart"/>
            <w:r w:rsidRPr="00F257A2">
              <w:rPr>
                <w:rFonts w:ascii="仿宋_GB2312" w:eastAsia="仿宋_GB2312" w:hAnsi="Times New Roman" w:hint="eastAsia"/>
                <w:szCs w:val="21"/>
              </w:rPr>
              <w:t>区分户式</w:t>
            </w:r>
            <w:proofErr w:type="gramEnd"/>
            <w:r w:rsidRPr="00F257A2">
              <w:rPr>
                <w:rFonts w:ascii="仿宋_GB2312" w:eastAsia="仿宋_GB2312" w:hAnsi="Times New Roman" w:hint="eastAsia"/>
                <w:szCs w:val="21"/>
              </w:rPr>
              <w:t>气代煤电代煤2500户。</w:t>
            </w:r>
          </w:p>
        </w:tc>
      </w:tr>
      <w:tr w:rsidR="00B16AC8" w:rsidRPr="00F257A2" w:rsidTr="00B719AD">
        <w:trPr>
          <w:trHeight w:val="87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洁净煤替代</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散煤</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暂不具备清洁能源替代条件地区推广洁净煤替代散煤，替代10000户。</w:t>
            </w:r>
          </w:p>
        </w:tc>
      </w:tr>
      <w:tr w:rsidR="00B16AC8" w:rsidRPr="00F257A2" w:rsidTr="00B719AD">
        <w:trPr>
          <w:trHeight w:val="56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lastRenderedPageBreak/>
              <w:t>能源结构调整</w:t>
            </w: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清洁取暖</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煤质监管</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通过开展煤炭清洁利用联合执法，规范整顿煤炭经营秩序，严厉打击劣质散煤销售使用。同时加强日常监管，及时处理举报经营销售劣质散煤行为。科学制定煤质抽检计划，加大煤质抽检力度，加严执法处置措施，促进全县煤质的整体提升。</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煤炭消费总量控制</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煤炭消费总量削减</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完成国家和省、市下达的煤炭减量任务，确保煤炭消耗总量持续下降。</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锅炉综合整治</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淘汰燃煤锅炉</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持续开展供热、工业和商业燃煤锅炉治理，巩固2017年燃煤锅炉改燃关停整治成果，确保</w:t>
            </w:r>
            <w:proofErr w:type="gramStart"/>
            <w:r w:rsidRPr="00F257A2">
              <w:rPr>
                <w:rFonts w:ascii="仿宋_GB2312" w:eastAsia="仿宋_GB2312" w:hAnsi="Times New Roman" w:hint="eastAsia"/>
                <w:szCs w:val="21"/>
              </w:rPr>
              <w:t>不</w:t>
            </w:r>
            <w:proofErr w:type="gramEnd"/>
            <w:r w:rsidRPr="00F257A2">
              <w:rPr>
                <w:rFonts w:ascii="仿宋_GB2312" w:eastAsia="仿宋_GB2312" w:hAnsi="Times New Roman" w:hint="eastAsia"/>
                <w:szCs w:val="21"/>
              </w:rPr>
              <w:t>反弹。城市建成区内基本完成35蒸</w:t>
            </w:r>
            <w:proofErr w:type="gramStart"/>
            <w:r w:rsidRPr="00F257A2">
              <w:rPr>
                <w:rFonts w:ascii="仿宋_GB2312" w:eastAsia="仿宋_GB2312" w:hAnsi="Times New Roman" w:hint="eastAsia"/>
                <w:szCs w:val="21"/>
              </w:rPr>
              <w:t>吨以下</w:t>
            </w:r>
            <w:proofErr w:type="gramEnd"/>
            <w:r w:rsidRPr="00F257A2">
              <w:rPr>
                <w:rFonts w:ascii="仿宋_GB2312" w:eastAsia="仿宋_GB2312" w:hAnsi="Times New Roman" w:hint="eastAsia"/>
                <w:szCs w:val="21"/>
              </w:rPr>
              <w:t>燃煤锅炉淘汰工作。</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燃气锅炉</w:t>
            </w:r>
            <w:proofErr w:type="gramStart"/>
            <w:r w:rsidRPr="00F257A2">
              <w:rPr>
                <w:rFonts w:ascii="仿宋_GB2312" w:eastAsia="仿宋_GB2312" w:hAnsi="Times New Roman" w:hint="eastAsia"/>
                <w:szCs w:val="21"/>
              </w:rPr>
              <w:t>低氮改造</w:t>
            </w:r>
            <w:proofErr w:type="gramEnd"/>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启动燃气锅炉（65台）</w:t>
            </w:r>
            <w:proofErr w:type="gramStart"/>
            <w:r w:rsidRPr="00F257A2">
              <w:rPr>
                <w:rFonts w:ascii="仿宋_GB2312" w:eastAsia="仿宋_GB2312" w:hAnsi="Times New Roman" w:hint="eastAsia"/>
                <w:szCs w:val="21"/>
              </w:rPr>
              <w:t>低氮改造</w:t>
            </w:r>
            <w:proofErr w:type="gramEnd"/>
            <w:r w:rsidRPr="00F257A2">
              <w:rPr>
                <w:rFonts w:ascii="仿宋_GB2312" w:eastAsia="仿宋_GB2312" w:hAnsi="Times New Roman" w:hint="eastAsia"/>
                <w:szCs w:val="21"/>
              </w:rPr>
              <w:t>，力争2019年底前完成。</w:t>
            </w:r>
          </w:p>
        </w:tc>
      </w:tr>
      <w:tr w:rsidR="00B16AC8" w:rsidRPr="00F257A2" w:rsidTr="00B719AD">
        <w:trPr>
          <w:trHeight w:val="39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运输结构调整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车船结构升级</w:t>
            </w: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发展新能源车</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新增和更新25辆城市公交新能源或清洁能源汽车。</w:t>
            </w:r>
          </w:p>
        </w:tc>
      </w:tr>
      <w:tr w:rsidR="00B16AC8" w:rsidRPr="00F257A2" w:rsidTr="00B719AD">
        <w:trPr>
          <w:trHeight w:val="39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color w:val="FF0000"/>
                <w:szCs w:val="21"/>
                <w:u w:val="single"/>
              </w:rPr>
            </w:pPr>
            <w:r w:rsidRPr="00F257A2">
              <w:rPr>
                <w:rFonts w:ascii="仿宋_GB2312" w:eastAsia="仿宋_GB2312" w:hAnsi="Times New Roman" w:hint="eastAsia"/>
                <w:szCs w:val="21"/>
              </w:rPr>
              <w:t>新能源公交保有总量62辆，比例达到31%。</w:t>
            </w:r>
          </w:p>
        </w:tc>
      </w:tr>
      <w:tr w:rsidR="00B16AC8" w:rsidRPr="00F257A2" w:rsidTr="00B719AD">
        <w:trPr>
          <w:trHeight w:val="39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proofErr w:type="gramStart"/>
            <w:r w:rsidRPr="00F257A2">
              <w:rPr>
                <w:rFonts w:ascii="仿宋_GB2312" w:eastAsia="仿宋_GB2312" w:hAnsi="Times New Roman" w:hint="eastAsia"/>
                <w:szCs w:val="21"/>
              </w:rPr>
              <w:t>老旧车</w:t>
            </w:r>
            <w:proofErr w:type="gramEnd"/>
            <w:r w:rsidRPr="00F257A2">
              <w:rPr>
                <w:rFonts w:ascii="仿宋_GB2312" w:eastAsia="仿宋_GB2312" w:hAnsi="Times New Roman" w:hint="eastAsia"/>
                <w:szCs w:val="21"/>
              </w:rPr>
              <w:t>淘汰</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淘汰国三及以下营运中重型柴油货车44辆。加快淘汰老旧车。</w:t>
            </w:r>
          </w:p>
        </w:tc>
      </w:tr>
      <w:tr w:rsidR="00B16AC8" w:rsidRPr="00F257A2" w:rsidTr="00B719AD">
        <w:trPr>
          <w:trHeight w:val="39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推进淘汰采用稀薄燃烧技术（国V及以下、油改气燃气车）等老旧燃气车辆。</w:t>
            </w:r>
          </w:p>
        </w:tc>
      </w:tr>
      <w:tr w:rsidR="00B16AC8" w:rsidRPr="00F257A2" w:rsidTr="00B719AD">
        <w:trPr>
          <w:trHeight w:val="39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车船燃油品质改善</w:t>
            </w: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油品质量升级</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持续加强车用油品监管，实现车用柴油、普通柴油、部分船舶用油“三油并轨”。</w:t>
            </w:r>
          </w:p>
        </w:tc>
      </w:tr>
      <w:tr w:rsidR="00B16AC8" w:rsidRPr="00F257A2" w:rsidTr="00B719AD">
        <w:trPr>
          <w:trHeight w:val="680"/>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全年及秋冬季攻坚期间加大油品质量抽检力度，对在营加油站、油品仓储和批发企业，每年监督检测达到100%全覆盖。</w:t>
            </w:r>
          </w:p>
        </w:tc>
      </w:tr>
      <w:tr w:rsidR="00B16AC8" w:rsidRPr="00F257A2" w:rsidTr="00B719AD">
        <w:trPr>
          <w:trHeight w:val="680"/>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严厉打击黑加油站点，重点依法查处流动加油车售油违法违规行为。2018年9月底前开展打击黑加油站站点专项整治行动，严厉打击违法违规生产经营成品油行为。</w:t>
            </w:r>
          </w:p>
        </w:tc>
      </w:tr>
      <w:tr w:rsidR="00B16AC8" w:rsidRPr="00F257A2" w:rsidTr="00B719AD">
        <w:trPr>
          <w:trHeight w:val="680"/>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加强车用尿素质量监管</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县内高速公路、国省公路沿线加油站点持续全面销售符合产品质量要求的车用尿素，保证柴油车辆尾气处理系统的尿素需求。</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秋冬季攻坚期间对高速公路、国道和省道沿线加油站（点）销售车用尿素情况监督检查100%全覆盖。对销售车用尿素的产品质量高速公路、国道和省道沿线加油站（点）抽检比例不少于30%。</w:t>
            </w:r>
          </w:p>
        </w:tc>
      </w:tr>
      <w:tr w:rsidR="00B16AC8" w:rsidRPr="00F257A2" w:rsidTr="00B719AD">
        <w:trPr>
          <w:trHeight w:val="704"/>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lastRenderedPageBreak/>
              <w:t>运输结构调整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强化移动源污染</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防治</w:t>
            </w: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新车环保监督管理</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对新注册登记柴油车逐车开展上线排放检测、环保信息随车清单核验、OBD等污染控制装置查验工作，确保实现全覆盖。</w:t>
            </w:r>
          </w:p>
        </w:tc>
      </w:tr>
      <w:tr w:rsidR="00B16AC8" w:rsidRPr="00F257A2" w:rsidTr="00B719AD">
        <w:trPr>
          <w:trHeight w:val="684"/>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按照省级生态环境部门安排部署做好本行政区内新生产、销售机动车及非道路移动机械企业的监督抽查工作。</w:t>
            </w:r>
          </w:p>
        </w:tc>
      </w:tr>
      <w:tr w:rsidR="00B16AC8" w:rsidRPr="00F257A2" w:rsidTr="00B719AD">
        <w:trPr>
          <w:trHeight w:val="54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proofErr w:type="gramStart"/>
            <w:r w:rsidRPr="00F257A2">
              <w:rPr>
                <w:rFonts w:ascii="仿宋_GB2312" w:eastAsia="仿宋_GB2312" w:hAnsi="Times New Roman" w:hint="eastAsia"/>
                <w:szCs w:val="21"/>
              </w:rPr>
              <w:t>老旧车治理</w:t>
            </w:r>
            <w:proofErr w:type="gramEnd"/>
            <w:r w:rsidRPr="00F257A2">
              <w:rPr>
                <w:rFonts w:ascii="仿宋_GB2312" w:eastAsia="仿宋_GB2312" w:hAnsi="Times New Roman" w:hint="eastAsia"/>
                <w:szCs w:val="21"/>
              </w:rPr>
              <w:t>和改造</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按照省、市要求</w:t>
            </w:r>
            <w:proofErr w:type="gramStart"/>
            <w:r w:rsidRPr="00F257A2">
              <w:rPr>
                <w:rFonts w:ascii="仿宋_GB2312" w:eastAsia="仿宋_GB2312" w:hAnsi="Times New Roman" w:hint="eastAsia"/>
                <w:szCs w:val="21"/>
              </w:rPr>
              <w:t>做好国</w:t>
            </w:r>
            <w:proofErr w:type="gramEnd"/>
            <w:r w:rsidRPr="00F257A2">
              <w:rPr>
                <w:rFonts w:ascii="仿宋_GB2312" w:eastAsia="仿宋_GB2312" w:hAnsi="Times New Roman" w:hint="eastAsia"/>
                <w:szCs w:val="21"/>
              </w:rPr>
              <w:t>Ⅲ重型柴油营运货车加装DPF，并与有关部门联网工作。</w:t>
            </w:r>
          </w:p>
        </w:tc>
      </w:tr>
      <w:tr w:rsidR="00B16AC8" w:rsidRPr="00F257A2" w:rsidTr="00B719AD">
        <w:trPr>
          <w:trHeight w:val="53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积极宣传推广出租车更换三元催化装置。</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在用车执法</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监管</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bookmarkStart w:id="0" w:name="RANGE!E39"/>
            <w:r w:rsidRPr="00F257A2">
              <w:rPr>
                <w:rFonts w:ascii="仿宋_GB2312" w:eastAsia="仿宋_GB2312" w:hAnsi="Times New Roman" w:hint="eastAsia"/>
                <w:szCs w:val="21"/>
              </w:rPr>
              <w:t>健全完善“路检以交警部门为责任主体、停放地抽检以环保部门为责任主体”的长效工作机制。</w:t>
            </w:r>
            <w:bookmarkEnd w:id="0"/>
          </w:p>
        </w:tc>
      </w:tr>
      <w:tr w:rsidR="00B16AC8" w:rsidRPr="00F257A2" w:rsidTr="00B719AD">
        <w:trPr>
          <w:trHeight w:val="52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开展在用车排放检测与强制维护（I/M）建设工作。</w:t>
            </w:r>
          </w:p>
        </w:tc>
      </w:tr>
      <w:tr w:rsidR="00B16AC8" w:rsidRPr="00F257A2" w:rsidTr="00B719AD">
        <w:trPr>
          <w:trHeight w:val="689"/>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对初检或日常监督抽测发现的超标车、异地车辆、注册5年以上的营运柴油车进行过程数据、视频图像和检测报告复核。</w:t>
            </w:r>
          </w:p>
        </w:tc>
      </w:tr>
      <w:tr w:rsidR="00B16AC8" w:rsidRPr="00F257A2" w:rsidTr="00B719AD">
        <w:trPr>
          <w:trHeight w:val="904"/>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按照全市统一要求，试点在排放检验机构企业官方网站和办事业务大厅建设显示屏，通过高清视频实时公开柴油车排放</w:t>
            </w:r>
            <w:proofErr w:type="gramStart"/>
            <w:r w:rsidRPr="00F257A2">
              <w:rPr>
                <w:rFonts w:ascii="仿宋_GB2312" w:eastAsia="仿宋_GB2312" w:hAnsi="Times New Roman" w:hint="eastAsia"/>
                <w:szCs w:val="21"/>
              </w:rPr>
              <w:t>检验全</w:t>
            </w:r>
            <w:proofErr w:type="gramEnd"/>
            <w:r w:rsidRPr="00F257A2">
              <w:rPr>
                <w:rFonts w:ascii="仿宋_GB2312" w:eastAsia="仿宋_GB2312" w:hAnsi="Times New Roman" w:hint="eastAsia"/>
                <w:szCs w:val="21"/>
              </w:rPr>
              <w:t>过程及检验结果。</w:t>
            </w:r>
          </w:p>
        </w:tc>
      </w:tr>
      <w:tr w:rsidR="00B16AC8" w:rsidRPr="00F257A2" w:rsidTr="00B719AD">
        <w:trPr>
          <w:trHeight w:val="94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通过随机抽检、远程监控等方式加强监管，2018年12月底前做到对排放检验机构监督检查100%全覆盖。对于伪造检验结果、出具虚假报告的排放检验机构，公开曝光并依法依规予以处罚，情节严重的撤销资质认定（计量认证）证书。</w:t>
            </w:r>
          </w:p>
        </w:tc>
      </w:tr>
      <w:tr w:rsidR="00B16AC8" w:rsidRPr="00F257A2" w:rsidTr="00B719AD">
        <w:trPr>
          <w:trHeight w:val="92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加强非道路</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移动机械污染防治</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开展非道路移动机械摸底调查和非道路移动机械低排放控制区划定工作，开展区域内工程机械检查。</w:t>
            </w:r>
          </w:p>
        </w:tc>
      </w:tr>
      <w:tr w:rsidR="00B16AC8" w:rsidRPr="00F257A2" w:rsidTr="00B719AD">
        <w:trPr>
          <w:trHeight w:val="699"/>
          <w:jc w:val="center"/>
        </w:trPr>
        <w:tc>
          <w:tcPr>
            <w:tcW w:w="938"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lastRenderedPageBreak/>
              <w:t>用地结构调整</w:t>
            </w: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矿山综合整治</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强化露天矿山综合治理</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巩固露天矿山整治成果，确保达到相关要求。</w:t>
            </w:r>
          </w:p>
        </w:tc>
      </w:tr>
      <w:tr w:rsidR="00B16AC8" w:rsidRPr="00F257A2" w:rsidTr="00B719AD">
        <w:trPr>
          <w:trHeight w:val="412"/>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用地结构调整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扬尘综合治理</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建筑扬尘治理</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全面严格落实施工工地“六个百分之百”要求。</w:t>
            </w:r>
          </w:p>
        </w:tc>
      </w:tr>
      <w:tr w:rsidR="00B16AC8" w:rsidRPr="00F257A2" w:rsidTr="00B719AD">
        <w:trPr>
          <w:trHeight w:val="554"/>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施工扬尘管理清单</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建立各类施工工地扬尘管理清单，并定期动态更新。</w:t>
            </w:r>
          </w:p>
        </w:tc>
      </w:tr>
      <w:tr w:rsidR="00B16AC8" w:rsidRPr="00F257A2" w:rsidTr="00B719AD">
        <w:trPr>
          <w:trHeight w:val="42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施工扬尘监管</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5000平方米及以上的土石方建筑工地安装在线监测和视频监控，并与当地行业主管部门联网。</w:t>
            </w:r>
          </w:p>
        </w:tc>
      </w:tr>
      <w:tr w:rsidR="00B16AC8" w:rsidRPr="00F257A2" w:rsidTr="00B719AD">
        <w:trPr>
          <w:trHeight w:val="629"/>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道路扬尘综合整治</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县城快速路、主次干道的车行道机械化清扫率达到90%以上，支路、慢车道、人行道机械化清扫率达到40%以上。</w:t>
            </w:r>
          </w:p>
        </w:tc>
      </w:tr>
      <w:tr w:rsidR="00B16AC8" w:rsidRPr="00F257A2" w:rsidTr="00B719AD">
        <w:trPr>
          <w:trHeight w:val="78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用地结构调整</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秸秆综合利用</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加强秸秆焚烧管控</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按照“属地管理、分级负责、全面覆盖、责任到人”的原则，强化各级政府对本行政区域秸秆禁烧工作的领导责任，逐级签订秸秆禁烧责任状，层层落实禁烧责任，在秋收阶段开展秸秆禁烧专项巡查。</w:t>
            </w:r>
          </w:p>
        </w:tc>
      </w:tr>
      <w:tr w:rsidR="00B16AC8" w:rsidRPr="00F257A2" w:rsidTr="00B719AD">
        <w:trPr>
          <w:trHeight w:val="52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加强秸秆综合利用</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秸秆综合利用率达到91%。</w:t>
            </w:r>
          </w:p>
        </w:tc>
      </w:tr>
      <w:tr w:rsidR="00B16AC8" w:rsidRPr="00F257A2" w:rsidTr="00B719AD">
        <w:trPr>
          <w:trHeight w:val="32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控制农业氨排放</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种植业</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有机肥使用比例稳步提升。</w:t>
            </w:r>
          </w:p>
        </w:tc>
      </w:tr>
      <w:tr w:rsidR="00B16AC8" w:rsidRPr="00F257A2" w:rsidTr="00B719AD">
        <w:trPr>
          <w:trHeight w:val="39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畜禽养殖业</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全年</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到2018年底，畜禽粪污资源化利用率由2017年的77%增加到78%。</w:t>
            </w:r>
          </w:p>
        </w:tc>
      </w:tr>
      <w:tr w:rsidR="00B16AC8" w:rsidRPr="00F257A2" w:rsidTr="00B719AD">
        <w:trPr>
          <w:trHeight w:val="392"/>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工业炉窑专项整治</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工业炉窑治理</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工业炉窑排查</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开展拉网式排查，建立各类工业炉窑管理清单，组织制定工业炉窑综合整治实施方案。</w:t>
            </w:r>
          </w:p>
        </w:tc>
      </w:tr>
      <w:tr w:rsidR="00B16AC8" w:rsidRPr="00F257A2" w:rsidTr="00B719AD">
        <w:trPr>
          <w:trHeight w:val="4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工业炉窑治理</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加大工业炉窑治理力度，确保稳定达标排放。</w:t>
            </w:r>
          </w:p>
        </w:tc>
      </w:tr>
      <w:tr w:rsidR="00B16AC8" w:rsidRPr="00F257A2" w:rsidTr="00B719AD">
        <w:trPr>
          <w:trHeight w:val="549"/>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煤气发生炉淘汰</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开展煤气发生炉整治或淘汰工作。</w:t>
            </w:r>
          </w:p>
        </w:tc>
      </w:tr>
      <w:tr w:rsidR="00B16AC8" w:rsidRPr="00F257A2" w:rsidTr="00B719AD">
        <w:trPr>
          <w:trHeight w:val="512"/>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VOCs专项整治</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重点行业VOCs治理</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开展源头防控</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对包装印刷、表面喷涂等行业企业开展源头更换水性漆、水性墨、水性涂料。</w:t>
            </w:r>
          </w:p>
        </w:tc>
      </w:tr>
      <w:tr w:rsidR="00B16AC8" w:rsidRPr="00F257A2" w:rsidTr="00B719AD">
        <w:trPr>
          <w:trHeight w:val="59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开展过程管控</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严格执行市里出台的重点行业LDAR检测指南，明确检测及修复频次、标准、规范等，建立LDAR管控平台。</w:t>
            </w:r>
          </w:p>
        </w:tc>
      </w:tr>
      <w:tr w:rsidR="00B16AC8" w:rsidRPr="00F257A2" w:rsidTr="00B719AD">
        <w:trPr>
          <w:trHeight w:val="51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安装在线设施</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明确VOCs在线监测设施安装重点企业名录，12月底前全部安装到位。</w:t>
            </w:r>
          </w:p>
        </w:tc>
      </w:tr>
      <w:tr w:rsidR="00B16AC8" w:rsidRPr="00F257A2" w:rsidTr="00B719AD">
        <w:trPr>
          <w:trHeight w:val="522"/>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专项执法</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VOCs专项执法</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长期坚持</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严厉打击违法排污行为。</w:t>
            </w:r>
          </w:p>
        </w:tc>
      </w:tr>
      <w:tr w:rsidR="00B16AC8" w:rsidRPr="00F257A2" w:rsidTr="00B719AD">
        <w:trPr>
          <w:trHeight w:val="56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重污染天气</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应对</w:t>
            </w: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错峰生产</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重点行业错峰生产</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制定建材、铸造、化工等行业错峰生产方案。</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修订完善应急预案及减排</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清单</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完善预警分级标准体系</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统一应急预警标准，严格落实区域应急联动。</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夯实应急减排措施</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配合上级有关部门完成应急预案减排措施清单编制。</w:t>
            </w:r>
          </w:p>
        </w:tc>
      </w:tr>
      <w:tr w:rsidR="00B16AC8" w:rsidRPr="00F257A2" w:rsidTr="00B719AD">
        <w:trPr>
          <w:trHeight w:val="567"/>
          <w:jc w:val="center"/>
        </w:trPr>
        <w:tc>
          <w:tcPr>
            <w:tcW w:w="938"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能力</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建设</w:t>
            </w:r>
          </w:p>
        </w:tc>
        <w:tc>
          <w:tcPr>
            <w:tcW w:w="1134"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完善环境监测监控网络</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环境空气VOCs监测</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按照上级要求完成环境空气VOCs监测站点建设。</w:t>
            </w:r>
          </w:p>
        </w:tc>
      </w:tr>
      <w:tr w:rsidR="00B16AC8" w:rsidRPr="00F257A2" w:rsidTr="00B719AD">
        <w:trPr>
          <w:trHeight w:val="628"/>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restart"/>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遥感监测系统平台建设</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2018年11月底前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按照上级统一要求建设遥感监测设备。</w:t>
            </w:r>
          </w:p>
        </w:tc>
      </w:tr>
      <w:tr w:rsidR="00B16AC8" w:rsidRPr="00F257A2" w:rsidTr="00B719AD">
        <w:trPr>
          <w:trHeight w:val="628"/>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kern w:val="0"/>
                <w:szCs w:val="21"/>
              </w:rPr>
              <w:t>2018年10月底前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配合上级有关部门建成机动车遥感监测系统国家、省、市三级联网平台，并稳定传输数据。</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镇办空气质量监测系统建设</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rPr>
                <w:rFonts w:ascii="仿宋_GB2312" w:eastAsia="仿宋_GB2312" w:hAnsi="Times New Roman" w:hint="eastAsia"/>
                <w:szCs w:val="21"/>
              </w:rPr>
            </w:pPr>
            <w:r w:rsidRPr="00F257A2">
              <w:rPr>
                <w:rFonts w:ascii="仿宋_GB2312" w:eastAsia="仿宋_GB2312" w:hAnsi="Times New Roman" w:hint="eastAsia"/>
                <w:szCs w:val="21"/>
              </w:rPr>
              <w:t>所有镇</w:t>
            </w:r>
            <w:proofErr w:type="gramStart"/>
            <w:r w:rsidRPr="00F257A2">
              <w:rPr>
                <w:rFonts w:ascii="仿宋_GB2312" w:eastAsia="仿宋_GB2312" w:hAnsi="Times New Roman" w:hint="eastAsia"/>
                <w:szCs w:val="21"/>
              </w:rPr>
              <w:t>办全部</w:t>
            </w:r>
            <w:proofErr w:type="gramEnd"/>
            <w:r w:rsidRPr="00F257A2">
              <w:rPr>
                <w:rFonts w:ascii="仿宋_GB2312" w:eastAsia="仿宋_GB2312" w:hAnsi="Times New Roman" w:hint="eastAsia"/>
                <w:szCs w:val="21"/>
              </w:rPr>
              <w:t>安装符合国家标准的空气质量自动监测站点，并建立监控平台和每月定期通报制度，对镇办实施考核排名。</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工程机械排放监控平台建设</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启动工程机械安装实时定位和排放监控装置。</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重型柴油车</w:t>
            </w:r>
          </w:p>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车载诊断系统远程监控系统建设</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2018年12月底前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启动重型柴油车车载诊断系统远程监控。</w:t>
            </w:r>
          </w:p>
        </w:tc>
      </w:tr>
      <w:tr w:rsidR="00B16AC8" w:rsidRPr="00F257A2" w:rsidTr="00B719AD">
        <w:trPr>
          <w:trHeight w:val="567"/>
          <w:jc w:val="center"/>
        </w:trPr>
        <w:tc>
          <w:tcPr>
            <w:tcW w:w="938" w:type="dxa"/>
            <w:vMerge/>
            <w:vAlign w:val="center"/>
          </w:tcPr>
          <w:p w:rsidR="00B16AC8" w:rsidRPr="00F257A2" w:rsidRDefault="00B16AC8" w:rsidP="00B719AD">
            <w:pPr>
              <w:adjustRightInd w:val="0"/>
              <w:snapToGrid w:val="0"/>
              <w:jc w:val="center"/>
              <w:rPr>
                <w:rFonts w:ascii="仿宋_GB2312" w:eastAsia="仿宋_GB2312" w:hAnsi="Times New Roman" w:hint="eastAsia"/>
                <w:szCs w:val="21"/>
              </w:rPr>
            </w:pPr>
          </w:p>
        </w:tc>
        <w:tc>
          <w:tcPr>
            <w:tcW w:w="1134"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源排放清单编制</w:t>
            </w:r>
          </w:p>
        </w:tc>
        <w:tc>
          <w:tcPr>
            <w:tcW w:w="1559"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编制大气污染源排放清单</w:t>
            </w:r>
          </w:p>
        </w:tc>
        <w:tc>
          <w:tcPr>
            <w:tcW w:w="1843" w:type="dxa"/>
            <w:vAlign w:val="center"/>
          </w:tcPr>
          <w:p w:rsidR="00B16AC8" w:rsidRPr="00F257A2" w:rsidRDefault="00B16AC8" w:rsidP="00B719AD">
            <w:pPr>
              <w:adjustRightInd w:val="0"/>
              <w:snapToGrid w:val="0"/>
              <w:jc w:val="center"/>
              <w:rPr>
                <w:rFonts w:ascii="仿宋_GB2312" w:eastAsia="仿宋_GB2312" w:hAnsi="Times New Roman" w:hint="eastAsia"/>
                <w:szCs w:val="21"/>
              </w:rPr>
            </w:pPr>
            <w:r w:rsidRPr="00F257A2">
              <w:rPr>
                <w:rFonts w:ascii="仿宋_GB2312" w:eastAsia="仿宋_GB2312" w:hAnsi="Times New Roman" w:hint="eastAsia"/>
                <w:szCs w:val="21"/>
              </w:rPr>
              <w:t>2018年9月底前</w:t>
            </w:r>
          </w:p>
        </w:tc>
        <w:tc>
          <w:tcPr>
            <w:tcW w:w="8821" w:type="dxa"/>
            <w:vAlign w:val="center"/>
          </w:tcPr>
          <w:p w:rsidR="00B16AC8" w:rsidRPr="00F257A2" w:rsidRDefault="00B16AC8" w:rsidP="00B719AD">
            <w:pPr>
              <w:adjustRightInd w:val="0"/>
              <w:snapToGrid w:val="0"/>
              <w:jc w:val="left"/>
              <w:rPr>
                <w:rFonts w:ascii="仿宋_GB2312" w:eastAsia="仿宋_GB2312" w:hAnsi="Times New Roman" w:hint="eastAsia"/>
                <w:szCs w:val="21"/>
              </w:rPr>
            </w:pPr>
            <w:r w:rsidRPr="00F257A2">
              <w:rPr>
                <w:rFonts w:ascii="仿宋_GB2312" w:eastAsia="仿宋_GB2312" w:hAnsi="Times New Roman" w:hint="eastAsia"/>
                <w:szCs w:val="21"/>
              </w:rPr>
              <w:t>配合上级有关部门完成2017年大气污染源排放清单动态更新。</w:t>
            </w:r>
          </w:p>
        </w:tc>
      </w:tr>
    </w:tbl>
    <w:p w:rsidR="0061016D" w:rsidRPr="00B16AC8" w:rsidRDefault="0061016D"/>
    <w:sectPr w:rsidR="0061016D" w:rsidRPr="00B16AC8" w:rsidSect="00B16AC8">
      <w:pgSz w:w="16838" w:h="11906" w:orient="landscape"/>
      <w:pgMar w:top="1800" w:right="1440" w:bottom="1800" w:left="144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16AC8"/>
    <w:rsid w:val="0061016D"/>
    <w:rsid w:val="00886196"/>
    <w:rsid w:val="00B16AC8"/>
    <w:rsid w:val="00C50F9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3"/>
    <w:qFormat/>
    <w:rsid w:val="00B16AC8"/>
    <w:pPr>
      <w:widowControl w:val="0"/>
      <w:jc w:val="both"/>
    </w:pPr>
    <w:rPr>
      <w:rFonts w:ascii="Calibri" w:eastAsia="宋体" w:hAnsi="Calibri" w:cs="Times New Roman"/>
    </w:rPr>
  </w:style>
  <w:style w:type="paragraph" w:styleId="3">
    <w:name w:val="heading 3"/>
    <w:basedOn w:val="a"/>
    <w:next w:val="a"/>
    <w:link w:val="3Char"/>
    <w:uiPriority w:val="9"/>
    <w:semiHidden/>
    <w:unhideWhenUsed/>
    <w:qFormat/>
    <w:rsid w:val="00B16AC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semiHidden/>
    <w:rsid w:val="00B16AC8"/>
    <w:rPr>
      <w:rFonts w:ascii="Calibri" w:eastAsia="宋体" w:hAnsi="Calibri" w:cs="Times New Roman"/>
      <w:b/>
      <w:bCs/>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556</Words>
  <Characters>3174</Characters>
  <Application>Microsoft Office Word</Application>
  <DocSecurity>0</DocSecurity>
  <Lines>26</Lines>
  <Paragraphs>7</Paragraphs>
  <ScaleCrop>false</ScaleCrop>
  <Company>China</Company>
  <LinksUpToDate>false</LinksUpToDate>
  <CharactersWithSpaces>3723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2019-01-29T00:55:00Z</dcterms:created>
  <dcterms:modified xsi:type="dcterms:W3CDTF">2019-01-29T00:55:00Z</dcterms:modified>
</cp:coreProperties>
</file>