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仿宋" w:cs="Times New Roman"/>
          <w:b/>
          <w:color w:val="000000"/>
          <w:sz w:val="44"/>
          <w:szCs w:val="44"/>
        </w:rPr>
      </w:pPr>
      <w:r>
        <w:rPr>
          <w:rFonts w:ascii="Times New Roman" w:hAnsi="Times New Roman" w:eastAsia="黑体" w:cs="Times New Roman"/>
          <w:b/>
          <w:color w:val="000000"/>
          <w:sz w:val="32"/>
          <w:szCs w:val="32"/>
        </w:rPr>
        <w:t>附件</w:t>
      </w:r>
      <w:bookmarkStart w:id="0" w:name="_GoBack"/>
      <w:bookmarkEnd w:id="0"/>
    </w:p>
    <w:p>
      <w:pPr>
        <w:jc w:val="center"/>
        <w:rPr>
          <w:rFonts w:ascii="Times New Roman" w:hAnsi="Times New Roman" w:eastAsia="方正小标宋简体" w:cs="Times New Roman"/>
          <w:b/>
          <w:sz w:val="44"/>
          <w:szCs w:val="44"/>
        </w:rPr>
      </w:pPr>
      <w:r>
        <w:rPr>
          <w:rFonts w:ascii="Times New Roman" w:hAnsi="Times New Roman" w:eastAsia="方正小标宋简体" w:cs="Times New Roman"/>
          <w:b/>
          <w:color w:val="000000"/>
          <w:sz w:val="44"/>
          <w:szCs w:val="44"/>
        </w:rPr>
        <w:t>沂源县营商环境评价指标体系</w:t>
      </w:r>
    </w:p>
    <w:p>
      <w:pPr>
        <w:rPr>
          <w:rFonts w:ascii="Times New Roman" w:hAnsi="Times New Roman" w:eastAsia="仿宋" w:cs="Times New Roman"/>
          <w:b/>
        </w:rPr>
      </w:pPr>
    </w:p>
    <w:tbl>
      <w:tblPr>
        <w:tblStyle w:val="3"/>
        <w:tblW w:w="949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3120"/>
        <w:gridCol w:w="5410"/>
        <w:gridCol w:w="9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72" w:hRule="atLeast"/>
          <w:jc w:val="center"/>
        </w:trPr>
        <w:tc>
          <w:tcPr>
            <w:tcW w:w="312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8"/>
                <w:szCs w:val="32"/>
              </w:rPr>
            </w:pPr>
            <w:r>
              <w:rPr>
                <w:rFonts w:ascii="Times New Roman" w:hAnsi="Times New Roman" w:eastAsia="黑体" w:cs="Times New Roman"/>
                <w:b/>
                <w:sz w:val="28"/>
                <w:szCs w:val="32"/>
              </w:rPr>
              <w:t>一级指标</w:t>
            </w:r>
          </w:p>
        </w:tc>
        <w:tc>
          <w:tcPr>
            <w:tcW w:w="541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8"/>
                <w:szCs w:val="32"/>
              </w:rPr>
            </w:pPr>
            <w:r>
              <w:rPr>
                <w:rFonts w:ascii="Times New Roman" w:hAnsi="Times New Roman" w:eastAsia="黑体" w:cs="Times New Roman"/>
                <w:b/>
                <w:sz w:val="28"/>
                <w:szCs w:val="32"/>
              </w:rPr>
              <w:t>二级指标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sz w:val="28"/>
                <w:szCs w:val="32"/>
              </w:rPr>
            </w:pPr>
            <w:r>
              <w:rPr>
                <w:rFonts w:ascii="Times New Roman" w:hAnsi="Times New Roman" w:eastAsia="黑体" w:cs="Times New Roman"/>
                <w:b/>
                <w:sz w:val="28"/>
                <w:szCs w:val="32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44" w:hRule="atLeast"/>
          <w:jc w:val="center"/>
        </w:trPr>
        <w:tc>
          <w:tcPr>
            <w:tcW w:w="3120" w:type="dxa"/>
            <w:vMerge w:val="restart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kern w:val="0"/>
                <w:sz w:val="28"/>
                <w:szCs w:val="28"/>
              </w:rPr>
              <w:t>1. 企业开办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8"/>
                <w:szCs w:val="28"/>
              </w:rPr>
              <w:t>（25分）</w:t>
            </w:r>
          </w:p>
        </w:tc>
        <w:tc>
          <w:tcPr>
            <w:tcW w:w="5410" w:type="dxa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1.1</w:t>
            </w:r>
            <w:r>
              <w:rPr>
                <w:rFonts w:hint="eastAsia" w:ascii="仿宋_GB2312" w:hAnsi="Times New Roman" w:eastAsia="仿宋_GB2312" w:cs="Times New Roman"/>
                <w:b/>
                <w:spacing w:val="-20"/>
                <w:kern w:val="0"/>
                <w:sz w:val="24"/>
                <w:szCs w:val="24"/>
              </w:rPr>
              <w:t>企业设立申请到发放营业执照所需的时间（工作日）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43" w:hRule="atLeast"/>
          <w:jc w:val="center"/>
        </w:trPr>
        <w:tc>
          <w:tcPr>
            <w:tcW w:w="3120" w:type="dxa"/>
            <w:vMerge w:val="continue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2"/>
                <w:szCs w:val="22"/>
              </w:rPr>
            </w:pPr>
          </w:p>
        </w:tc>
        <w:tc>
          <w:tcPr>
            <w:tcW w:w="5410" w:type="dxa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1.2公章刻制受理到办结所需的时间（工作日）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93" w:hRule="atLeast"/>
          <w:jc w:val="center"/>
        </w:trPr>
        <w:tc>
          <w:tcPr>
            <w:tcW w:w="3120" w:type="dxa"/>
            <w:vMerge w:val="continue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2"/>
                <w:szCs w:val="22"/>
              </w:rPr>
            </w:pPr>
          </w:p>
        </w:tc>
        <w:tc>
          <w:tcPr>
            <w:tcW w:w="5410" w:type="dxa"/>
            <w:vAlign w:val="center"/>
          </w:tcPr>
          <w:p>
            <w:pPr>
              <w:widowControl/>
              <w:spacing w:line="315" w:lineRule="atLeast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1.3涉税事项受理到办结所需的时间（工作日）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71" w:hRule="atLeast"/>
          <w:jc w:val="center"/>
        </w:trPr>
        <w:tc>
          <w:tcPr>
            <w:tcW w:w="3120" w:type="dxa"/>
            <w:vMerge w:val="continue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2"/>
                <w:szCs w:val="22"/>
              </w:rPr>
            </w:pPr>
          </w:p>
        </w:tc>
        <w:tc>
          <w:tcPr>
            <w:tcW w:w="5410" w:type="dxa"/>
            <w:vAlign w:val="center"/>
          </w:tcPr>
          <w:p>
            <w:pPr>
              <w:widowControl/>
              <w:spacing w:line="315" w:lineRule="atLeast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1.4银行开立账户受理到办结所需的时间（工作日）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33" w:hRule="atLeast"/>
          <w:jc w:val="center"/>
        </w:trPr>
        <w:tc>
          <w:tcPr>
            <w:tcW w:w="3120" w:type="dxa"/>
            <w:vMerge w:val="continue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2"/>
                <w:szCs w:val="22"/>
              </w:rPr>
            </w:pPr>
          </w:p>
        </w:tc>
        <w:tc>
          <w:tcPr>
            <w:tcW w:w="5410" w:type="dxa"/>
            <w:vAlign w:val="center"/>
          </w:tcPr>
          <w:p>
            <w:pPr>
              <w:widowControl/>
              <w:spacing w:line="315" w:lineRule="atLeast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1.5公章刻制受理到办结所需的费用（元）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24" w:hRule="atLeast"/>
          <w:jc w:val="center"/>
        </w:trPr>
        <w:tc>
          <w:tcPr>
            <w:tcW w:w="3120" w:type="dxa"/>
            <w:vMerge w:val="continue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2"/>
                <w:szCs w:val="22"/>
              </w:rPr>
            </w:pPr>
          </w:p>
        </w:tc>
        <w:tc>
          <w:tcPr>
            <w:tcW w:w="5410" w:type="dxa"/>
            <w:vAlign w:val="center"/>
          </w:tcPr>
          <w:p>
            <w:pPr>
              <w:widowControl/>
              <w:spacing w:line="315" w:lineRule="atLeast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1.6涉税事项受理到办结所需的费用（元）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29" w:hRule="atLeast"/>
          <w:jc w:val="center"/>
        </w:trPr>
        <w:tc>
          <w:tcPr>
            <w:tcW w:w="3120" w:type="dxa"/>
            <w:vMerge w:val="continue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2"/>
                <w:szCs w:val="22"/>
              </w:rPr>
            </w:pPr>
          </w:p>
        </w:tc>
        <w:tc>
          <w:tcPr>
            <w:tcW w:w="5410" w:type="dxa"/>
            <w:vAlign w:val="center"/>
          </w:tcPr>
          <w:p>
            <w:pPr>
              <w:widowControl/>
              <w:spacing w:line="315" w:lineRule="atLeast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1.7银行开立账户受理到办结所需的费用（元）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36" w:hRule="atLeast"/>
          <w:jc w:val="center"/>
        </w:trPr>
        <w:tc>
          <w:tcPr>
            <w:tcW w:w="3120" w:type="dxa"/>
            <w:vMerge w:val="restart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2"/>
                <w:szCs w:val="2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kern w:val="0"/>
                <w:sz w:val="28"/>
                <w:szCs w:val="28"/>
              </w:rPr>
              <w:t>2.办理施工许可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8"/>
                <w:szCs w:val="28"/>
              </w:rPr>
              <w:t>（25分）</w:t>
            </w:r>
          </w:p>
        </w:tc>
        <w:tc>
          <w:tcPr>
            <w:tcW w:w="5410" w:type="dxa"/>
            <w:vAlign w:val="center"/>
          </w:tcPr>
          <w:p>
            <w:pPr>
              <w:widowControl/>
              <w:spacing w:line="315" w:lineRule="atLeast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2.1完成所有环节所需要的时间（工作日）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120" w:type="dxa"/>
            <w:vMerge w:val="continue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2"/>
                <w:szCs w:val="22"/>
              </w:rPr>
            </w:pPr>
          </w:p>
        </w:tc>
        <w:tc>
          <w:tcPr>
            <w:tcW w:w="5410" w:type="dxa"/>
            <w:vAlign w:val="center"/>
          </w:tcPr>
          <w:p>
            <w:pPr>
              <w:widowControl/>
              <w:spacing w:line="315" w:lineRule="atLeast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2.2完成所有环节所需要的费用（万元）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77" w:hRule="atLeast"/>
          <w:jc w:val="center"/>
        </w:trPr>
        <w:tc>
          <w:tcPr>
            <w:tcW w:w="3120" w:type="dxa"/>
            <w:vMerge w:val="restart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kern w:val="0"/>
                <w:sz w:val="28"/>
                <w:szCs w:val="28"/>
              </w:rPr>
              <w:t>3.不动产登记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8"/>
                <w:szCs w:val="28"/>
              </w:rPr>
              <w:t>（10分）</w:t>
            </w:r>
          </w:p>
        </w:tc>
        <w:tc>
          <w:tcPr>
            <w:tcW w:w="5410" w:type="dxa"/>
            <w:vAlign w:val="center"/>
          </w:tcPr>
          <w:p>
            <w:pPr>
              <w:widowControl/>
              <w:spacing w:line="315" w:lineRule="atLeast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3.1完成不动产登记共花费的时间（工作日）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74" w:hRule="atLeast"/>
          <w:jc w:val="center"/>
        </w:trPr>
        <w:tc>
          <w:tcPr>
            <w:tcW w:w="3120" w:type="dxa"/>
            <w:vMerge w:val="continue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bCs/>
                <w:kern w:val="0"/>
                <w:sz w:val="32"/>
                <w:szCs w:val="32"/>
              </w:rPr>
            </w:pPr>
          </w:p>
        </w:tc>
        <w:tc>
          <w:tcPr>
            <w:tcW w:w="5410" w:type="dxa"/>
            <w:vAlign w:val="center"/>
          </w:tcPr>
          <w:p>
            <w:pPr>
              <w:widowControl/>
              <w:spacing w:line="315" w:lineRule="atLeast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3.2取得不动产登记证书共花费的费用（元）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49" w:hRule="atLeast"/>
          <w:jc w:val="center"/>
        </w:trPr>
        <w:tc>
          <w:tcPr>
            <w:tcW w:w="3120" w:type="dxa"/>
            <w:vMerge w:val="restart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kern w:val="0"/>
                <w:sz w:val="28"/>
                <w:szCs w:val="28"/>
              </w:rPr>
              <w:t>4.获得电力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8"/>
                <w:szCs w:val="28"/>
              </w:rPr>
              <w:t>（10分）</w:t>
            </w:r>
          </w:p>
        </w:tc>
        <w:tc>
          <w:tcPr>
            <w:tcW w:w="5410" w:type="dxa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4.1企业获得电力整个过程共花费的时间（工作日）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52" w:hRule="atLeast"/>
          <w:jc w:val="center"/>
        </w:trPr>
        <w:tc>
          <w:tcPr>
            <w:tcW w:w="3120" w:type="dxa"/>
            <w:vMerge w:val="continue"/>
            <w:vAlign w:val="center"/>
          </w:tcPr>
          <w:p>
            <w:pPr>
              <w:ind w:firstLine="422" w:firstLineChars="150"/>
              <w:rPr>
                <w:rFonts w:hint="eastAsia" w:ascii="仿宋_GB2312" w:hAnsi="Times New Roman" w:eastAsia="仿宋_GB2312" w:cs="Times New Roman"/>
                <w:b/>
                <w:kern w:val="0"/>
                <w:sz w:val="28"/>
                <w:szCs w:val="28"/>
              </w:rPr>
            </w:pPr>
          </w:p>
        </w:tc>
        <w:tc>
          <w:tcPr>
            <w:tcW w:w="5410" w:type="dxa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4.2企业获得电力整个过程共花费的费用（元）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21" w:hRule="atLeast"/>
          <w:jc w:val="center"/>
        </w:trPr>
        <w:tc>
          <w:tcPr>
            <w:tcW w:w="3120" w:type="dxa"/>
            <w:vMerge w:val="restart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kern w:val="0"/>
                <w:sz w:val="28"/>
                <w:szCs w:val="28"/>
              </w:rPr>
              <w:t>5.获得信贷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8"/>
                <w:szCs w:val="28"/>
              </w:rPr>
              <w:t>（20分）</w:t>
            </w:r>
          </w:p>
        </w:tc>
        <w:tc>
          <w:tcPr>
            <w:tcW w:w="5410" w:type="dxa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5.1贷款过程中共提交申请材料数量（件）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36" w:hRule="atLeast"/>
          <w:jc w:val="center"/>
        </w:trPr>
        <w:tc>
          <w:tcPr>
            <w:tcW w:w="3120" w:type="dxa"/>
            <w:vMerge w:val="continue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2"/>
                <w:szCs w:val="22"/>
              </w:rPr>
            </w:pPr>
          </w:p>
        </w:tc>
        <w:tc>
          <w:tcPr>
            <w:tcW w:w="5410" w:type="dxa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5.2企业融资总额中来自银行的比例（%）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36" w:hRule="atLeast"/>
          <w:jc w:val="center"/>
        </w:trPr>
        <w:tc>
          <w:tcPr>
            <w:tcW w:w="3120" w:type="dxa"/>
            <w:vMerge w:val="restart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2"/>
                <w:szCs w:val="2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kern w:val="0"/>
                <w:sz w:val="28"/>
                <w:szCs w:val="28"/>
              </w:rPr>
              <w:t>6.办理纳税</w:t>
            </w:r>
            <w:r>
              <w:rPr>
                <w:rFonts w:hint="eastAsia" w:ascii="仿宋_GB2312" w:hAnsi="Times New Roman" w:eastAsia="仿宋_GB2312" w:cs="Times New Roman"/>
                <w:b/>
                <w:sz w:val="28"/>
                <w:szCs w:val="28"/>
              </w:rPr>
              <w:t>（10分）</w:t>
            </w:r>
          </w:p>
        </w:tc>
        <w:tc>
          <w:tcPr>
            <w:tcW w:w="5410" w:type="dxa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6.１企业类纳税人网报开通率（%）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36" w:hRule="atLeast"/>
          <w:jc w:val="center"/>
        </w:trPr>
        <w:tc>
          <w:tcPr>
            <w:tcW w:w="3120" w:type="dxa"/>
            <w:vMerge w:val="continue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sz w:val="22"/>
                <w:szCs w:val="22"/>
              </w:rPr>
            </w:pPr>
          </w:p>
        </w:tc>
        <w:tc>
          <w:tcPr>
            <w:tcW w:w="5410" w:type="dxa"/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6.2纳税总额（不含非税缴纳）占同期经营收入的比率即综合税收负担率（%）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5</w:t>
            </w:r>
          </w:p>
        </w:tc>
      </w:tr>
    </w:tbl>
    <w:p>
      <w:pPr>
        <w:rPr>
          <w:rFonts w:hint="eastAsia" w:ascii="仿宋_GB2312" w:hAnsi="Times New Roman" w:eastAsia="仿宋_GB2312" w:cs="Times New Roman"/>
          <w:b/>
          <w:sz w:val="22"/>
          <w:szCs w:val="22"/>
        </w:rPr>
      </w:pPr>
    </w:p>
    <w:p>
      <w:pPr>
        <w:ind w:firstLine="442" w:firstLineChars="200"/>
        <w:rPr>
          <w:rFonts w:hint="eastAsia" w:ascii="仿宋_GB2312" w:hAnsi="Times New Roman" w:eastAsia="仿宋_GB2312" w:cs="Times New Roman"/>
          <w:b/>
          <w:sz w:val="22"/>
          <w:szCs w:val="22"/>
        </w:rPr>
      </w:pPr>
      <w:r>
        <w:rPr>
          <w:rFonts w:hint="eastAsia" w:ascii="仿宋_GB2312" w:hAnsi="Times New Roman" w:eastAsia="仿宋_GB2312" w:cs="Times New Roman"/>
          <w:b/>
          <w:sz w:val="22"/>
          <w:szCs w:val="22"/>
        </w:rPr>
        <w:t>注：电话调查、现场问卷调查和抽取案例计分方法为，有规定标准时间和费用的，以规定标准为满分，根据实际情况按标准加减得分；没有规定标准时间和费用的，以最优为满分，根据实际情况按一定标准加减得分。</w:t>
      </w:r>
    </w:p>
    <w:p>
      <w:pPr>
        <w:ind w:firstLine="442" w:firstLineChars="200"/>
        <w:rPr>
          <w:rFonts w:hint="eastAsia" w:ascii="仿宋_GB2312" w:hAnsi="Times New Roman" w:eastAsia="仿宋_GB2312" w:cs="Times New Roman"/>
          <w:b/>
          <w:sz w:val="22"/>
          <w:szCs w:val="2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B809B1"/>
    <w:rsid w:val="3FB809B1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2018-10-25T06:07:00Z</dcterms:created>
  <dc:creator>Administrator</dc:creator>
  <cp:lastModifiedBy>Administrator</cp:lastModifiedBy>
  <dcterms:modified xsi:type="dcterms:W3CDTF">2018-10-25T06:08:05Z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