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 w:cs="仿宋_GB2312"/>
          <w:b/>
          <w:bCs/>
          <w:sz w:val="32"/>
          <w:szCs w:val="32"/>
        </w:rPr>
        <w:t>附件</w:t>
      </w:r>
      <w:r>
        <w:rPr>
          <w:rFonts w:ascii="黑体" w:hAnsi="黑体" w:eastAsia="黑体"/>
          <w:b/>
          <w:bCs/>
          <w:sz w:val="32"/>
          <w:szCs w:val="32"/>
        </w:rPr>
        <w:t>1</w:t>
      </w:r>
    </w:p>
    <w:p>
      <w:pPr>
        <w:adjustRightInd w:val="0"/>
        <w:snapToGrid w:val="0"/>
        <w:spacing w:line="360" w:lineRule="auto"/>
        <w:ind w:firstLine="883" w:firstLineChars="200"/>
        <w:jc w:val="center"/>
        <w:rPr>
          <w:rFonts w:ascii="方正小标宋简体" w:eastAsia="方正小标宋简体"/>
          <w:b/>
          <w:sz w:val="44"/>
          <w:szCs w:val="44"/>
        </w:rPr>
      </w:pPr>
      <w:r>
        <w:rPr>
          <w:rFonts w:hint="eastAsia" w:ascii="方正小标宋简体" w:eastAsia="方正小标宋简体" w:cs="黑体"/>
          <w:b/>
          <w:sz w:val="44"/>
          <w:szCs w:val="44"/>
        </w:rPr>
        <w:t>行政审批环节一览表</w:t>
      </w:r>
    </w:p>
    <w:tbl>
      <w:tblPr>
        <w:tblStyle w:val="4"/>
        <w:tblW w:w="1385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5"/>
        <w:gridCol w:w="1095"/>
        <w:gridCol w:w="1215"/>
        <w:gridCol w:w="4050"/>
        <w:gridCol w:w="803"/>
        <w:gridCol w:w="983"/>
        <w:gridCol w:w="2624"/>
        <w:gridCol w:w="241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  <w:kern w:val="0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序号</w:t>
            </w:r>
          </w:p>
        </w:tc>
        <w:tc>
          <w:tcPr>
            <w:tcW w:w="10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  <w:kern w:val="0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环节名称</w:t>
            </w:r>
          </w:p>
        </w:tc>
        <w:tc>
          <w:tcPr>
            <w:tcW w:w="12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  <w:kern w:val="0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时限要求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  <w:kern w:val="0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（工作日）</w:t>
            </w:r>
          </w:p>
        </w:tc>
        <w:tc>
          <w:tcPr>
            <w:tcW w:w="4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  <w:kern w:val="0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办</w:t>
            </w:r>
            <w:r>
              <w:rPr>
                <w:rFonts w:ascii="黑体" w:hAnsi="黑体" w:eastAsia="黑体"/>
                <w:b/>
                <w:bCs/>
                <w:kern w:val="0"/>
              </w:rPr>
              <w:t xml:space="preserve">  </w:t>
            </w: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理</w:t>
            </w:r>
            <w:r>
              <w:rPr>
                <w:rFonts w:ascii="黑体" w:hAnsi="黑体" w:eastAsia="黑体"/>
                <w:b/>
                <w:bCs/>
                <w:kern w:val="0"/>
              </w:rPr>
              <w:t xml:space="preserve">  </w:t>
            </w: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成</w:t>
            </w:r>
            <w:r>
              <w:rPr>
                <w:rFonts w:ascii="黑体" w:hAnsi="黑体" w:eastAsia="黑体"/>
                <w:b/>
                <w:bCs/>
                <w:kern w:val="0"/>
              </w:rPr>
              <w:t xml:space="preserve">  </w:t>
            </w: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本</w:t>
            </w:r>
          </w:p>
        </w:tc>
        <w:tc>
          <w:tcPr>
            <w:tcW w:w="8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  <w:kern w:val="0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办理资料件数</w:t>
            </w:r>
          </w:p>
        </w:tc>
        <w:tc>
          <w:tcPr>
            <w:tcW w:w="9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  <w:kern w:val="0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是否并联办理</w:t>
            </w:r>
          </w:p>
        </w:tc>
        <w:tc>
          <w:tcPr>
            <w:tcW w:w="26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  <w:kern w:val="0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办理资料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  <w:kern w:val="0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法律、法规、政策依据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1</w:t>
            </w:r>
          </w:p>
        </w:tc>
        <w:tc>
          <w:tcPr>
            <w:tcW w:w="10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绿地占用审批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7</w:t>
            </w:r>
          </w:p>
        </w:tc>
        <w:tc>
          <w:tcPr>
            <w:tcW w:w="4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绿化迁移费标准：市场价协商决定</w:t>
            </w:r>
          </w:p>
        </w:tc>
        <w:tc>
          <w:tcPr>
            <w:tcW w:w="8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3</w:t>
            </w: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是</w:t>
            </w:r>
          </w:p>
        </w:tc>
        <w:tc>
          <w:tcPr>
            <w:tcW w:w="26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1.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行政申请表</w:t>
            </w:r>
          </w:p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2.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建设工程规划许可（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150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米以上需要）</w:t>
            </w:r>
          </w:p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3.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施工方案</w:t>
            </w:r>
          </w:p>
        </w:tc>
        <w:tc>
          <w:tcPr>
            <w:tcW w:w="241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1.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《城市绿化条例》</w:t>
            </w:r>
          </w:p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2.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《山东省城市绿化管理办法》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6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2</w:t>
            </w:r>
          </w:p>
        </w:tc>
        <w:tc>
          <w:tcPr>
            <w:tcW w:w="10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占路许可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7</w:t>
            </w:r>
          </w:p>
        </w:tc>
        <w:tc>
          <w:tcPr>
            <w:tcW w:w="4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3</w:t>
            </w: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是</w:t>
            </w:r>
          </w:p>
        </w:tc>
        <w:tc>
          <w:tcPr>
            <w:tcW w:w="26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1.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占路施工申请审批表</w:t>
            </w:r>
          </w:p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施工路段交通布控方案</w:t>
            </w:r>
          </w:p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交通安全责任承诺书</w:t>
            </w:r>
          </w:p>
        </w:tc>
        <w:tc>
          <w:tcPr>
            <w:tcW w:w="241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《中华人民共和国道路交通安全法》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  <w:jc w:val="center"/>
        </w:trPr>
        <w:tc>
          <w:tcPr>
            <w:tcW w:w="6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3</w:t>
            </w:r>
          </w:p>
        </w:tc>
        <w:tc>
          <w:tcPr>
            <w:tcW w:w="109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掘路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/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涉路许可</w:t>
            </w:r>
          </w:p>
        </w:tc>
        <w:tc>
          <w:tcPr>
            <w:tcW w:w="121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7</w:t>
            </w:r>
          </w:p>
        </w:tc>
        <w:tc>
          <w:tcPr>
            <w:tcW w:w="4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1.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涉路工程建设需要占用、挖掘公路、使公路改线或者对公路、公路附属设施造成损坏的，建设单位应当按照不低于原有的技术标准予以修复、改建或者按规定给予相应补偿。</w:t>
            </w:r>
          </w:p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2.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国有资产资源有偿使用收入。执收单位处置、租赁国有资产和国有资源，能够通过市场化方式进行的，应当采取招标、公开竞价等方式进行。</w:t>
            </w:r>
          </w:p>
        </w:tc>
        <w:tc>
          <w:tcPr>
            <w:tcW w:w="8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4</w:t>
            </w:r>
          </w:p>
        </w:tc>
        <w:tc>
          <w:tcPr>
            <w:tcW w:w="98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是</w:t>
            </w:r>
          </w:p>
        </w:tc>
        <w:tc>
          <w:tcPr>
            <w:tcW w:w="26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1.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建设单位许可申请书</w:t>
            </w:r>
          </w:p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2.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符合有关技术标准、规范要求的设计和施工方案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 xml:space="preserve">  </w:t>
            </w:r>
          </w:p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3.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保障公路、公路附属设施质量和安全的技术评价报告</w:t>
            </w:r>
          </w:p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color w:val="000000"/>
                <w:kern w:val="0"/>
                <w:sz w:val="18"/>
                <w:szCs w:val="18"/>
                <w:shd w:val="clear" w:color="auto" w:fill="FFFFFF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4.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处置施工险情和意外事故的应急预案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 xml:space="preserve">   </w:t>
            </w:r>
            <w:r>
              <w:rPr>
                <w:rFonts w:hint="eastAsia" w:ascii="仿宋_GB2312" w:eastAsia="仿宋_GB2312"/>
                <w:b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                 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1.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《中华人民共和国公路法》</w:t>
            </w:r>
          </w:p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2.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《公路安全保护条例》</w:t>
            </w:r>
          </w:p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3.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《山东省公路路政条例》</w:t>
            </w:r>
          </w:p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4.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《山东省国有资产资源有偿使用收入管理办法》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6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</w:p>
        </w:tc>
        <w:tc>
          <w:tcPr>
            <w:tcW w:w="109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</w:p>
        </w:tc>
        <w:tc>
          <w:tcPr>
            <w:tcW w:w="121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城市道路挖掘修复费标准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: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主次干路沥青路面（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560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元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/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平方米）；支路与非机动车道沥青路面（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450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元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/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平方米）；条（料）石路面（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500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元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/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平方米）；彩色沥青路面（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580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元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/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平方米）；水泥混凝土路面（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500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元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/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平方米）；彩色方砖（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240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元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/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平方米）；人行步道方砖（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220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元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/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平方米）；砂石路面（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100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元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/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平方米）；注：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1.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收费面积以实际挖掘面积为准。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2.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缘石、侧石按实际价格收费。</w:t>
            </w: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3.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表中未列入的其他材质人行道按实际价格收费。</w:t>
            </w:r>
          </w:p>
        </w:tc>
        <w:tc>
          <w:tcPr>
            <w:tcW w:w="8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4</w:t>
            </w:r>
          </w:p>
        </w:tc>
        <w:tc>
          <w:tcPr>
            <w:tcW w:w="98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</w:p>
        </w:tc>
        <w:tc>
          <w:tcPr>
            <w:tcW w:w="26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1.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挖掘城市道路申请表</w:t>
            </w:r>
          </w:p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2.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施工计划及方案</w:t>
            </w:r>
          </w:p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3.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经审查的施工图</w:t>
            </w:r>
          </w:p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4.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建设工程规划许可证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napToGrid w:val="0"/>
              <w:spacing w:line="200" w:lineRule="exac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1.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《城市道路管理条例》</w:t>
            </w:r>
            <w:r>
              <w:rPr>
                <w:rFonts w:hint="eastAsia" w:eastAsia="仿宋_GB2312"/>
                <w:b/>
                <w:kern w:val="0"/>
                <w:sz w:val="18"/>
                <w:szCs w:val="18"/>
              </w:rPr>
              <w:t> </w:t>
            </w:r>
          </w:p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2.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《山东省城市建设管理条例》</w:t>
            </w:r>
            <w:r>
              <w:rPr>
                <w:rFonts w:hint="eastAsia" w:eastAsia="仿宋_GB2312"/>
                <w:b/>
                <w:kern w:val="0"/>
                <w:sz w:val="18"/>
                <w:szCs w:val="18"/>
              </w:rPr>
              <w:t>  </w:t>
            </w:r>
          </w:p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3.</w:t>
            </w:r>
            <w:r>
              <w:rPr>
                <w:rFonts w:hint="eastAsia" w:ascii="仿宋_GB2312" w:eastAsia="仿宋_GB2312" w:cs="宋体"/>
                <w:b/>
                <w:sz w:val="18"/>
                <w:szCs w:val="18"/>
              </w:rPr>
              <w:t>山东省住房和城乡建设厅《关于调整城市道路挖掘修复费标准的通知》（鲁建城字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〔</w:t>
            </w:r>
            <w:r>
              <w:rPr>
                <w:rFonts w:hint="eastAsia" w:ascii="仿宋_GB2312" w:eastAsia="仿宋_GB2312"/>
                <w:b/>
                <w:sz w:val="18"/>
                <w:szCs w:val="18"/>
              </w:rPr>
              <w:t>2015</w:t>
            </w:r>
            <w:r>
              <w:rPr>
                <w:rFonts w:hint="eastAsia" w:ascii="仿宋_GB2312" w:eastAsia="仿宋_GB2312" w:cs="宋体"/>
                <w:b/>
                <w:kern w:val="0"/>
                <w:sz w:val="18"/>
                <w:szCs w:val="18"/>
              </w:rPr>
              <w:t>〕</w:t>
            </w:r>
            <w:r>
              <w:rPr>
                <w:rFonts w:hint="eastAsia" w:ascii="仿宋_GB2312" w:eastAsia="仿宋_GB2312"/>
                <w:b/>
                <w:sz w:val="18"/>
                <w:szCs w:val="18"/>
              </w:rPr>
              <w:t>32</w:t>
            </w:r>
            <w:r>
              <w:rPr>
                <w:rFonts w:hint="eastAsia" w:ascii="仿宋_GB2312" w:eastAsia="仿宋_GB2312" w:cs="宋体"/>
                <w:b/>
                <w:sz w:val="18"/>
                <w:szCs w:val="18"/>
              </w:rPr>
              <w:t>号）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黑体" w:hAnsi="黑体" w:eastAsia="黑体"/>
                <w:b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b/>
                <w:kern w:val="0"/>
                <w:sz w:val="18"/>
                <w:szCs w:val="18"/>
              </w:rPr>
              <w:t>并联后合计</w:t>
            </w:r>
          </w:p>
        </w:tc>
        <w:tc>
          <w:tcPr>
            <w:tcW w:w="12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7</w:t>
            </w:r>
          </w:p>
        </w:tc>
        <w:tc>
          <w:tcPr>
            <w:tcW w:w="4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/>
                <w:b/>
                <w:kern w:val="0"/>
                <w:sz w:val="18"/>
                <w:szCs w:val="18"/>
              </w:rPr>
              <w:t>14</w:t>
            </w:r>
          </w:p>
        </w:tc>
        <w:tc>
          <w:tcPr>
            <w:tcW w:w="9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</w:p>
        </w:tc>
        <w:tc>
          <w:tcPr>
            <w:tcW w:w="26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仿宋_GB2312" w:eastAsia="仿宋_GB2312"/>
                <w:b/>
                <w:kern w:val="0"/>
                <w:sz w:val="18"/>
                <w:szCs w:val="18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A56C4"/>
    <w:multiLevelType w:val="singleLevel"/>
    <w:tmpl w:val="5B6A56C4"/>
    <w:lvl w:ilvl="0" w:tentative="0">
      <w:start w:val="2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C3051F"/>
    <w:rsid w:val="1BC3051F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2018-10-25T06:45:00Z</dcterms:created>
  <dc:creator>Administrator</dc:creator>
  <cp:lastModifiedBy>Administrator</cp:lastModifiedBy>
  <dcterms:modified xsi:type="dcterms:W3CDTF">2018-10-25T06:45:57Z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