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中庄镇人民政府</w:t>
      </w:r>
    </w:p>
    <w:p>
      <w:pPr>
        <w:keepLines w:val="0"/>
        <w:pageBreakBefore w:val="0"/>
        <w:wordWrap/>
        <w:overflowPunct/>
        <w:topLinePunct w:val="0"/>
        <w:bidi w:val="0"/>
        <w:adjustRightInd w:val="0"/>
        <w:spacing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仿宋_GB2312" w:hAnsi="仿宋_GB2312" w:eastAsia="仿宋_GB2312" w:cs="仿宋_GB2312"/>
          <w:b w:val="0"/>
          <w:bCs w:val="0"/>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spacing w:afterAutospacing="0" w:line="610" w:lineRule="exact"/>
        <w:ind w:firstLine="640" w:firstLineChars="200"/>
        <w:jc w:val="left"/>
        <w:textAlignment w:val="auto"/>
        <w:outlineLvl w:val="9"/>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2022年，沂源县中庄镇人民政府围绕县委、县政府有关政务公开工作部署，结合工作实际，依规完成了政务信息公开各项工作。现将</w:t>
      </w:r>
      <w:r>
        <w:rPr>
          <w:rFonts w:hint="eastAsia" w:ascii="仿宋_GB2312" w:hAnsi="仿宋_GB2312" w:eastAsia="仿宋_GB2312" w:cs="仿宋_GB2312"/>
          <w:b w:val="0"/>
          <w:bCs w:val="0"/>
          <w:i w:val="0"/>
          <w:iCs w:val="0"/>
          <w:caps w:val="0"/>
          <w:color w:val="000000"/>
          <w:spacing w:val="0"/>
          <w:sz w:val="32"/>
          <w:szCs w:val="32"/>
          <w:shd w:val="clear" w:fill="FFFFFF"/>
        </w:rPr>
        <w:t>编制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中庄镇人民</w:t>
      </w:r>
      <w:r>
        <w:rPr>
          <w:rFonts w:hint="eastAsia" w:ascii="仿宋_GB2312" w:hAnsi="仿宋_GB2312" w:eastAsia="仿宋_GB2312" w:cs="仿宋_GB2312"/>
          <w:b w:val="0"/>
          <w:bCs w:val="0"/>
          <w:i w:val="0"/>
          <w:iCs w:val="0"/>
          <w:caps w:val="0"/>
          <w:color w:val="000000"/>
          <w:spacing w:val="0"/>
          <w:sz w:val="32"/>
          <w:szCs w:val="32"/>
          <w:shd w:val="clear" w:fill="FFFFFF"/>
        </w:rPr>
        <w:t>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val="0"/>
        <w:snapToGrid/>
        <w:spacing w:afterAutospacing="0" w:line="610" w:lineRule="exact"/>
        <w:ind w:firstLine="640" w:firstLineChars="200"/>
        <w:jc w:val="left"/>
        <w:textAlignment w:val="auto"/>
        <w:outlineLvl w:val="9"/>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报告中所列数据统计期限自</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2022年1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日始，至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日止。公民、法人及其他组织需要查询报告中相关政府信息公开工作事项或对本报告有任何疑问的，请与沂源县中庄镇人民政府党政办公室联系（地址：沂源县南崔路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51号中庄镇人民政府</w:t>
      </w:r>
      <w:r>
        <w:rPr>
          <w:rFonts w:hint="eastAsia" w:ascii="仿宋_GB2312" w:hAnsi="仿宋_GB2312" w:eastAsia="仿宋_GB2312" w:cs="仿宋_GB2312"/>
          <w:b w:val="0"/>
          <w:bCs w:val="0"/>
          <w:i w:val="0"/>
          <w:iCs w:val="0"/>
          <w:caps w:val="0"/>
          <w:color w:val="000000"/>
          <w:spacing w:val="0"/>
          <w:sz w:val="32"/>
          <w:szCs w:val="32"/>
          <w:shd w:val="clear" w:fill="FFFFFF"/>
          <w:lang w:eastAsia="zh-CN"/>
        </w:rPr>
        <w:t>；邮政编码：</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256109</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；电话：</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0533—3480017</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；传真：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0533—3480013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；电子邮: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zh3480017</w:t>
      </w:r>
      <w:r>
        <w:rPr>
          <w:rFonts w:hint="eastAsia" w:ascii="仿宋_GB2312" w:hAnsi="仿宋_GB2312" w:eastAsia="仿宋_GB2312" w:cs="仿宋_GB2312"/>
          <w:b w:val="0"/>
          <w:bCs w:val="0"/>
          <w:i w:val="0"/>
          <w:iCs w:val="0"/>
          <w:caps w:val="0"/>
          <w:color w:val="000000"/>
          <w:spacing w:val="0"/>
          <w:sz w:val="32"/>
          <w:szCs w:val="32"/>
          <w:shd w:val="clear" w:fill="FFFFFF"/>
          <w:lang w:eastAsia="zh-CN"/>
        </w:rPr>
        <w:t>@zb.shandong.cn）。</w:t>
      </w:r>
    </w:p>
    <w:p>
      <w:pPr>
        <w:keepNext w:val="0"/>
        <w:keepLines w:val="0"/>
        <w:pageBreakBefore w:val="0"/>
        <w:wordWrap/>
        <w:overflowPunct/>
        <w:topLinePunct w:val="0"/>
        <w:bidi w:val="0"/>
        <w:adjustRightInd w:val="0"/>
        <w:spacing w:before="101" w:afterAutospacing="0" w:line="610" w:lineRule="exact"/>
        <w:ind w:left="640"/>
        <w:textAlignment w:val="auto"/>
        <w:outlineLvl w:val="9"/>
        <w:rPr>
          <w:rFonts w:ascii="黑体" w:hAnsi="黑体" w:eastAsia="黑体" w:cs="黑体"/>
          <w:sz w:val="31"/>
          <w:szCs w:val="31"/>
        </w:rPr>
      </w:pPr>
      <w:r>
        <w:rPr>
          <w:rFonts w:ascii="黑体" w:hAnsi="黑体" w:eastAsia="黑体" w:cs="黑体"/>
          <w:b w:val="0"/>
          <w:bCs w:val="0"/>
          <w:spacing w:val="2"/>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10" w:lineRule="exact"/>
        <w:ind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沂源县中庄镇人民政府坚持“以公开为常态，不公开为例外”的工作原则，按时更新政务信息，丰富创新公开形式，以公开公正、规范高效、便民利民为工作目标，推进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pStyle w:val="6"/>
        <w:keepNext w:val="0"/>
        <w:keepLines w:val="0"/>
        <w:pageBreakBefore w:val="0"/>
        <w:numPr>
          <w:ilvl w:val="0"/>
          <w:numId w:val="1"/>
        </w:numPr>
        <w:wordWrap/>
        <w:overflowPunct/>
        <w:topLinePunct w:val="0"/>
        <w:bidi w:val="0"/>
        <w:adjustRightInd w:val="0"/>
        <w:snapToGrid w:val="0"/>
        <w:spacing w:beforeAutospacing="0" w:afterAutospacing="0" w:line="610" w:lineRule="exact"/>
        <w:ind w:firstLine="640" w:firstLineChars="200"/>
        <w:textAlignment w:val="auto"/>
        <w:outlineLvl w:val="9"/>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pPr>
      <w:r>
        <w:rPr>
          <w:rFonts w:hint="eastAsia" w:ascii="楷体_GB2312" w:hAnsi="楷体_GB2312" w:eastAsia="楷体_GB2312" w:cs="楷体_GB2312"/>
          <w:b w:val="0"/>
          <w:bCs w:val="0"/>
          <w:snapToGrid w:val="0"/>
          <w:color w:val="000000"/>
          <w:kern w:val="0"/>
          <w:sz w:val="32"/>
          <w:szCs w:val="32"/>
          <w:lang w:eastAsia="zh-CN"/>
        </w:rPr>
        <w:t>完善主动公开目录体系。</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今年以来适时调整本部门的主动公开基本目录，明确政务公开年度工作重点，细化公开内容，由原先的主动公开的二十四的领域增至三十个领域。</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2</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022年，我单位共在县政府政务公开官网主动公开</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42条信息。发布</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部门政策文件信息</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val="en-US" w:eastAsia="zh-CN"/>
        </w:rPr>
        <w:t>10余条，政府会议信息6条，政务公开培训情况2条等。</w:t>
      </w:r>
    </w:p>
    <w:p>
      <w:pPr>
        <w:pStyle w:val="6"/>
        <w:keepNext w:val="0"/>
        <w:keepLines w:val="0"/>
        <w:pageBreakBefore w:val="0"/>
        <w:numPr>
          <w:ilvl w:val="0"/>
          <w:numId w:val="0"/>
        </w:numPr>
        <w:wordWrap/>
        <w:overflowPunct/>
        <w:topLinePunct w:val="0"/>
        <w:bidi w:val="0"/>
        <w:adjustRightInd w:val="0"/>
        <w:snapToGrid w:val="0"/>
        <w:spacing w:beforeAutospacing="0" w:afterAutospacing="0" w:line="61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snapToGrid w:val="0"/>
          <w:color w:val="000000"/>
          <w:kern w:val="0"/>
          <w:sz w:val="32"/>
          <w:szCs w:val="32"/>
          <w:lang w:eastAsia="zh-CN"/>
        </w:rPr>
        <w:t>（二）开展依申请公开工作。</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严格按照各项规定处理依申请公开信件，确保了依申请公开工作有章可循、规范有序的开展。</w:t>
      </w: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1件依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没有上年结转的政府信息公开申请。</w:t>
      </w:r>
    </w:p>
    <w:p>
      <w:pPr>
        <w:pStyle w:val="6"/>
        <w:keepNext w:val="0"/>
        <w:keepLines w:val="0"/>
        <w:pageBreakBefore w:val="0"/>
        <w:numPr>
          <w:ilvl w:val="0"/>
          <w:numId w:val="0"/>
        </w:numPr>
        <w:wordWrap/>
        <w:overflowPunct/>
        <w:topLinePunct w:val="0"/>
        <w:bidi w:val="0"/>
        <w:adjustRightInd w:val="0"/>
        <w:snapToGrid w:val="0"/>
        <w:spacing w:beforeAutospacing="0" w:afterAutospacing="0" w:line="61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eastAsia="zh-CN"/>
        </w:rPr>
        <w:t>严格按照《条例》开展信息公开工作，组织人员学习《条例》及相关文件，进一步健全镇政府信息报送和公开制度，明确信息员工作职责，规范检查和整理应公开信息，按照信息公开程序，及时在网站及时发布政务信息。</w:t>
      </w:r>
    </w:p>
    <w:p>
      <w:pPr>
        <w:pStyle w:val="6"/>
        <w:keepNext w:val="0"/>
        <w:keepLines w:val="0"/>
        <w:pageBreakBefore w:val="0"/>
        <w:numPr>
          <w:ilvl w:val="0"/>
          <w:numId w:val="0"/>
        </w:numPr>
        <w:wordWrap/>
        <w:overflowPunct/>
        <w:topLinePunct w:val="0"/>
        <w:bidi w:val="0"/>
        <w:adjustRightInd w:val="0"/>
        <w:snapToGrid w:val="0"/>
        <w:spacing w:beforeAutospacing="0" w:afterAutospacing="0" w:line="610" w:lineRule="exact"/>
        <w:ind w:right="0" w:rightChars="0" w:firstLine="640" w:firstLineChars="200"/>
        <w:textAlignment w:val="auto"/>
        <w:outlineLvl w:val="9"/>
        <w:rPr>
          <w:rFonts w:hint="default"/>
          <w:sz w:val="32"/>
          <w:szCs w:val="32"/>
          <w:lang w:val="en-US"/>
        </w:rPr>
      </w:pP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通过登陆“沂源县人民政府”下设的“政府信息公开目录”栏目，即可查询我镇公开的各类信息。</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依托政务新媒体“美丽中庄”微信公众号，及时转载、发布政府工作最新动态。</w:t>
      </w:r>
    </w:p>
    <w:p>
      <w:pPr>
        <w:pStyle w:val="6"/>
        <w:keepNext w:val="0"/>
        <w:keepLines w:val="0"/>
        <w:pageBreakBefore w:val="0"/>
        <w:wordWrap/>
        <w:overflowPunct/>
        <w:topLinePunct w:val="0"/>
        <w:bidi w:val="0"/>
        <w:adjustRightInd w:val="0"/>
        <w:snapToGrid w:val="0"/>
        <w:spacing w:beforeAutospacing="0" w:afterAutospacing="0" w:line="610" w:lineRule="exact"/>
        <w:ind w:firstLine="640" w:firstLineChars="200"/>
        <w:textAlignment w:val="auto"/>
        <w:outlineLvl w:val="9"/>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t>多渠道收集各类服务需求、困难、意见和建议，积极主动回应社会关切。对群众投诉反映的热点、难点问题，认真梳理，及时办理，高质高效解决群众问题，力求提升群众满意度。</w:t>
      </w:r>
    </w:p>
    <w:p>
      <w:pPr>
        <w:pStyle w:val="6"/>
        <w:keepNext w:val="0"/>
        <w:keepLines w:val="0"/>
        <w:pageBreakBefore w:val="0"/>
        <w:wordWrap/>
        <w:overflowPunct/>
        <w:topLinePunct w:val="0"/>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pPr>
    </w:p>
    <w:p>
      <w:pPr>
        <w:pStyle w:val="6"/>
        <w:keepNext w:val="0"/>
        <w:keepLines w:val="0"/>
        <w:pageBreakBefore w:val="0"/>
        <w:wordWrap/>
        <w:overflowPunct/>
        <w:topLinePunct w:val="0"/>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b w:val="0"/>
          <w:bCs w:val="0"/>
          <w:i w:val="0"/>
          <w:iCs w:val="0"/>
          <w:caps w:val="0"/>
          <w:snapToGrid w:val="0"/>
          <w:color w:val="000000"/>
          <w:spacing w:val="0"/>
          <w:kern w:val="0"/>
          <w:sz w:val="32"/>
          <w:szCs w:val="32"/>
          <w:shd w:val="clear" w:fill="FFFFFF"/>
          <w:lang w:eastAsia="zh-CN"/>
        </w:rPr>
      </w:pPr>
    </w:p>
    <w:p>
      <w:pPr>
        <w:keepLines w:val="0"/>
        <w:pageBreakBefore w:val="0"/>
        <w:wordWrap/>
        <w:overflowPunct/>
        <w:topLinePunct w:val="0"/>
        <w:bidi w:val="0"/>
        <w:adjustRightInd w:val="0"/>
        <w:spacing w:before="101" w:afterAutospacing="0" w:line="560" w:lineRule="exact"/>
        <w:ind w:left="640"/>
        <w:textAlignment w:val="auto"/>
        <w:outlineLvl w:val="9"/>
      </w:pPr>
      <w:bookmarkStart w:id="0" w:name="_GoBack"/>
      <w:bookmarkEnd w:id="0"/>
      <w:r>
        <w:rPr>
          <w:rFonts w:ascii="黑体" w:hAnsi="黑体" w:eastAsia="黑体" w:cs="黑体"/>
          <w:b w:val="0"/>
          <w:bCs w:val="0"/>
          <w:spacing w:val="2"/>
          <w:sz w:val="32"/>
          <w:szCs w:val="32"/>
        </w:rPr>
        <w:t>二</w:t>
      </w:r>
      <w:r>
        <w:rPr>
          <w:rFonts w:hint="eastAsia" w:ascii="黑体" w:hAnsi="黑体" w:eastAsia="黑体" w:cs="黑体"/>
          <w:b w:val="0"/>
          <w:bCs w:val="0"/>
          <w:spacing w:val="2"/>
          <w:sz w:val="32"/>
          <w:szCs w:val="32"/>
          <w:lang w:eastAsia="zh-CN"/>
        </w:rPr>
        <w:t>、</w:t>
      </w:r>
      <w:r>
        <w:rPr>
          <w:rFonts w:ascii="黑体" w:hAnsi="黑体" w:eastAsia="黑体" w:cs="黑体"/>
          <w:b w:val="0"/>
          <w:bCs w:val="0"/>
          <w:spacing w:val="2"/>
          <w:sz w:val="32"/>
          <w:szCs w:val="32"/>
        </w:rPr>
        <w:t>主动公开政府信息情况</w:t>
      </w:r>
    </w:p>
    <w:tbl>
      <w:tblPr>
        <w:tblStyle w:val="7"/>
        <w:tblW w:w="9360" w:type="dxa"/>
        <w:jc w:val="center"/>
        <w:shd w:val="clear" w:color="auto" w:fill="auto"/>
        <w:tblLayout w:type="fixed"/>
        <w:tblCellMar>
          <w:top w:w="0" w:type="dxa"/>
          <w:left w:w="0" w:type="dxa"/>
          <w:bottom w:w="0" w:type="dxa"/>
          <w:right w:w="0" w:type="dxa"/>
        </w:tblCellMar>
      </w:tblPr>
      <w:tblGrid>
        <w:gridCol w:w="3303"/>
        <w:gridCol w:w="2118"/>
        <w:gridCol w:w="1950"/>
        <w:gridCol w:w="1989"/>
      </w:tblGrid>
      <w:tr>
        <w:tblPrEx>
          <w:shd w:val="clear" w:color="auto" w:fill="auto"/>
          <w:tblCellMar>
            <w:top w:w="0" w:type="dxa"/>
            <w:left w:w="0" w:type="dxa"/>
            <w:bottom w:w="0" w:type="dxa"/>
            <w:right w:w="0" w:type="dxa"/>
          </w:tblCellMar>
        </w:tblPrEx>
        <w:trPr>
          <w:trHeight w:val="931" w:hRule="atLeast"/>
          <w:jc w:val="center"/>
        </w:trPr>
        <w:tc>
          <w:tcPr>
            <w:tcW w:w="9360" w:type="dxa"/>
            <w:gridSpan w:val="4"/>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shd w:val="clear" w:color="auto" w:fill="auto"/>
          <w:tblCellMar>
            <w:top w:w="0" w:type="dxa"/>
            <w:left w:w="0" w:type="dxa"/>
            <w:bottom w:w="0" w:type="dxa"/>
            <w:right w:w="0" w:type="dxa"/>
          </w:tblCellMar>
        </w:tblPrEx>
        <w:trPr>
          <w:trHeight w:val="988"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2118"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950"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98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2118"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9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98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2118"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9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98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931" w:hRule="atLeast"/>
          <w:jc w:val="center"/>
        </w:trPr>
        <w:tc>
          <w:tcPr>
            <w:tcW w:w="9360"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6057"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6057"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931" w:hRule="atLeast"/>
          <w:jc w:val="center"/>
        </w:trPr>
        <w:tc>
          <w:tcPr>
            <w:tcW w:w="9360"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6057"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6057"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6057"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931" w:hRule="atLeast"/>
          <w:jc w:val="center"/>
        </w:trPr>
        <w:tc>
          <w:tcPr>
            <w:tcW w:w="9360"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shd w:val="clear" w:color="auto" w:fill="auto"/>
          <w:tblCellMar>
            <w:top w:w="0" w:type="dxa"/>
            <w:left w:w="0" w:type="dxa"/>
            <w:bottom w:w="0" w:type="dxa"/>
            <w:right w:w="0" w:type="dxa"/>
          </w:tblCellMar>
        </w:tblPrEx>
        <w:trPr>
          <w:trHeight w:val="931"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6057"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shd w:val="clear" w:color="auto" w:fill="auto"/>
          <w:tblCellMar>
            <w:top w:w="0" w:type="dxa"/>
            <w:left w:w="0" w:type="dxa"/>
            <w:bottom w:w="0" w:type="dxa"/>
            <w:right w:w="0" w:type="dxa"/>
          </w:tblCellMar>
        </w:tblPrEx>
        <w:trPr>
          <w:trHeight w:val="963" w:hRule="atLeast"/>
          <w:jc w:val="center"/>
        </w:trPr>
        <w:tc>
          <w:tcPr>
            <w:tcW w:w="330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6057"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Lines w:val="0"/>
        <w:pageBreakBefore w:val="0"/>
        <w:numPr>
          <w:ilvl w:val="0"/>
          <w:numId w:val="2"/>
        </w:numPr>
        <w:wordWrap/>
        <w:overflowPunct/>
        <w:topLinePunct w:val="0"/>
        <w:bidi w:val="0"/>
        <w:adjustRightInd w:val="0"/>
        <w:spacing w:before="101" w:afterAutospacing="0" w:line="560" w:lineRule="exact"/>
        <w:ind w:left="640"/>
        <w:textAlignment w:val="auto"/>
        <w:outlineLvl w:val="9"/>
        <w:rPr>
          <w:rFonts w:ascii="黑体" w:hAnsi="黑体" w:eastAsia="黑体" w:cs="黑体"/>
          <w:b w:val="0"/>
          <w:bCs w:val="0"/>
          <w:spacing w:val="2"/>
          <w:sz w:val="32"/>
          <w:szCs w:val="32"/>
        </w:rPr>
      </w:pPr>
      <w:r>
        <w:rPr>
          <w:rFonts w:ascii="黑体" w:hAnsi="黑体" w:eastAsia="黑体" w:cs="黑体"/>
          <w:b w:val="0"/>
          <w:bCs w:val="0"/>
          <w:spacing w:val="2"/>
          <w:sz w:val="32"/>
          <w:szCs w:val="32"/>
        </w:rPr>
        <w:t>收到和处理政府信息公开申请</w:t>
      </w:r>
      <w:r>
        <w:rPr>
          <w:rFonts w:hint="eastAsia" w:ascii="黑体" w:hAnsi="黑体" w:eastAsia="黑体" w:cs="黑体"/>
          <w:b w:val="0"/>
          <w:bCs w:val="0"/>
          <w:spacing w:val="2"/>
          <w:sz w:val="32"/>
          <w:szCs w:val="32"/>
          <w:lang w:val="en-US" w:eastAsia="zh-CN"/>
        </w:rPr>
        <w:t>情况</w:t>
      </w:r>
    </w:p>
    <w:tbl>
      <w:tblPr>
        <w:tblStyle w:val="10"/>
        <w:tblW w:w="8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725"/>
        <w:gridCol w:w="2723"/>
        <w:gridCol w:w="655"/>
        <w:gridCol w:w="665"/>
        <w:gridCol w:w="645"/>
        <w:gridCol w:w="656"/>
        <w:gridCol w:w="655"/>
        <w:gridCol w:w="665"/>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188" w:type="dxa"/>
            <w:gridSpan w:val="3"/>
            <w:vMerge w:val="restart"/>
            <w:tcBorders>
              <w:bottom w:val="nil"/>
            </w:tcBorders>
            <w:vAlign w:val="top"/>
          </w:tcPr>
          <w:p>
            <w:pPr>
              <w:spacing w:line="325" w:lineRule="auto"/>
              <w:rPr>
                <w:rFonts w:ascii="Arial"/>
                <w:sz w:val="21"/>
              </w:rPr>
            </w:pPr>
          </w:p>
          <w:p>
            <w:pPr>
              <w:spacing w:before="65" w:line="239" w:lineRule="auto"/>
              <w:ind w:left="504" w:right="313" w:hanging="190"/>
              <w:rPr>
                <w:rFonts w:ascii="宋体" w:hAnsi="宋体" w:eastAsia="宋体" w:cs="宋体"/>
                <w:sz w:val="20"/>
                <w:szCs w:val="20"/>
              </w:rPr>
            </w:pPr>
            <w:r>
              <w:rPr>
                <w:rFonts w:ascii="宋体" w:hAnsi="宋体" w:eastAsia="宋体" w:cs="宋体"/>
                <w:sz w:val="20"/>
                <w:szCs w:val="20"/>
              </w:rPr>
              <w:t>(本列数据的勾稽关系为：第一项加第二</w:t>
            </w:r>
            <w:r>
              <w:rPr>
                <w:rFonts w:ascii="宋体" w:hAnsi="宋体" w:eastAsia="宋体" w:cs="宋体"/>
                <w:spacing w:val="10"/>
                <w:sz w:val="20"/>
                <w:szCs w:val="20"/>
              </w:rPr>
              <w:t xml:space="preserve"> </w:t>
            </w:r>
            <w:r>
              <w:rPr>
                <w:rFonts w:ascii="宋体" w:hAnsi="宋体" w:eastAsia="宋体" w:cs="宋体"/>
                <w:spacing w:val="2"/>
                <w:sz w:val="20"/>
                <w:szCs w:val="20"/>
              </w:rPr>
              <w:t>项之和，等于第三项加第四项之和)</w:t>
            </w:r>
          </w:p>
        </w:tc>
        <w:tc>
          <w:tcPr>
            <w:tcW w:w="4591" w:type="dxa"/>
            <w:gridSpan w:val="7"/>
            <w:vAlign w:val="top"/>
          </w:tcPr>
          <w:p>
            <w:pPr>
              <w:spacing w:before="73" w:line="219" w:lineRule="auto"/>
              <w:ind w:left="1765"/>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188" w:type="dxa"/>
            <w:gridSpan w:val="3"/>
            <w:vMerge w:val="continue"/>
            <w:tcBorders>
              <w:top w:val="nil"/>
              <w:bottom w:val="nil"/>
            </w:tcBorders>
            <w:vAlign w:val="top"/>
          </w:tcPr>
          <w:p>
            <w:pPr>
              <w:rPr>
                <w:rFonts w:ascii="Arial"/>
                <w:sz w:val="21"/>
              </w:rPr>
            </w:pPr>
          </w:p>
        </w:tc>
        <w:tc>
          <w:tcPr>
            <w:tcW w:w="655" w:type="dxa"/>
            <w:vMerge w:val="restart"/>
            <w:tcBorders>
              <w:bottom w:val="nil"/>
            </w:tcBorders>
            <w:vAlign w:val="top"/>
          </w:tcPr>
          <w:p>
            <w:pPr>
              <w:spacing w:line="293" w:lineRule="auto"/>
              <w:rPr>
                <w:rFonts w:ascii="Arial"/>
                <w:sz w:val="21"/>
              </w:rPr>
            </w:pPr>
          </w:p>
          <w:p>
            <w:pPr>
              <w:spacing w:before="65" w:line="220" w:lineRule="auto"/>
              <w:ind w:left="25"/>
              <w:rPr>
                <w:rFonts w:ascii="宋体" w:hAnsi="宋体" w:eastAsia="宋体" w:cs="宋体"/>
                <w:sz w:val="20"/>
                <w:szCs w:val="20"/>
              </w:rPr>
            </w:pPr>
            <w:r>
              <w:rPr>
                <w:rFonts w:ascii="宋体" w:hAnsi="宋体" w:eastAsia="宋体" w:cs="宋体"/>
                <w:spacing w:val="2"/>
                <w:sz w:val="20"/>
                <w:szCs w:val="20"/>
              </w:rPr>
              <w:t>自然人</w:t>
            </w:r>
          </w:p>
        </w:tc>
        <w:tc>
          <w:tcPr>
            <w:tcW w:w="3286" w:type="dxa"/>
            <w:gridSpan w:val="5"/>
            <w:vAlign w:val="top"/>
          </w:tcPr>
          <w:p>
            <w:pPr>
              <w:spacing w:before="59" w:line="220" w:lineRule="auto"/>
              <w:ind w:left="925"/>
              <w:rPr>
                <w:rFonts w:ascii="宋体" w:hAnsi="宋体" w:eastAsia="宋体" w:cs="宋体"/>
                <w:sz w:val="20"/>
                <w:szCs w:val="20"/>
              </w:rPr>
            </w:pPr>
            <w:r>
              <w:rPr>
                <w:rFonts w:ascii="宋体" w:hAnsi="宋体" w:eastAsia="宋体" w:cs="宋体"/>
                <w:spacing w:val="-2"/>
                <w:sz w:val="20"/>
                <w:szCs w:val="20"/>
              </w:rPr>
              <w:t>法人或其他组织</w:t>
            </w:r>
          </w:p>
        </w:tc>
        <w:tc>
          <w:tcPr>
            <w:tcW w:w="650" w:type="dxa"/>
            <w:vMerge w:val="restart"/>
            <w:tcBorders>
              <w:bottom w:val="nil"/>
            </w:tcBorders>
            <w:vAlign w:val="top"/>
          </w:tcPr>
          <w:p>
            <w:pPr>
              <w:spacing w:line="293" w:lineRule="auto"/>
              <w:rPr>
                <w:rFonts w:ascii="Arial"/>
                <w:sz w:val="21"/>
              </w:rPr>
            </w:pPr>
          </w:p>
          <w:p>
            <w:pPr>
              <w:spacing w:before="65" w:line="221" w:lineRule="auto"/>
              <w:ind w:left="159"/>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188" w:type="dxa"/>
            <w:gridSpan w:val="3"/>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665" w:type="dxa"/>
            <w:vAlign w:val="top"/>
          </w:tcPr>
          <w:p>
            <w:pPr>
              <w:spacing w:before="69" w:line="281" w:lineRule="exact"/>
              <w:ind w:left="126"/>
              <w:rPr>
                <w:rFonts w:ascii="宋体" w:hAnsi="宋体" w:eastAsia="宋体" w:cs="宋体"/>
                <w:sz w:val="20"/>
                <w:szCs w:val="20"/>
              </w:rPr>
            </w:pPr>
            <w:r>
              <w:rPr>
                <w:rFonts w:ascii="宋体" w:hAnsi="宋体" w:eastAsia="宋体" w:cs="宋体"/>
                <w:spacing w:val="-3"/>
                <w:position w:val="5"/>
                <w:sz w:val="20"/>
                <w:szCs w:val="20"/>
              </w:rPr>
              <w:t>商业</w:t>
            </w:r>
          </w:p>
          <w:p>
            <w:pPr>
              <w:spacing w:line="220" w:lineRule="auto"/>
              <w:ind w:left="126"/>
              <w:rPr>
                <w:rFonts w:ascii="宋体" w:hAnsi="宋体" w:eastAsia="宋体" w:cs="宋体"/>
                <w:sz w:val="20"/>
                <w:szCs w:val="20"/>
              </w:rPr>
            </w:pPr>
            <w:r>
              <w:rPr>
                <w:rFonts w:ascii="宋体" w:hAnsi="宋体" w:eastAsia="宋体" w:cs="宋体"/>
                <w:spacing w:val="-3"/>
                <w:sz w:val="20"/>
                <w:szCs w:val="20"/>
              </w:rPr>
              <w:t>企业</w:t>
            </w:r>
          </w:p>
        </w:tc>
        <w:tc>
          <w:tcPr>
            <w:tcW w:w="645" w:type="dxa"/>
            <w:vAlign w:val="top"/>
          </w:tcPr>
          <w:p>
            <w:pPr>
              <w:spacing w:before="68" w:line="234" w:lineRule="auto"/>
              <w:ind w:left="147" w:right="68"/>
              <w:rPr>
                <w:rFonts w:ascii="宋体" w:hAnsi="宋体" w:eastAsia="宋体" w:cs="宋体"/>
                <w:sz w:val="20"/>
                <w:szCs w:val="20"/>
              </w:rPr>
            </w:pPr>
            <w:r>
              <w:rPr>
                <w:rFonts w:ascii="宋体" w:hAnsi="宋体" w:eastAsia="宋体" w:cs="宋体"/>
                <w:spacing w:val="-4"/>
                <w:sz w:val="20"/>
                <w:szCs w:val="20"/>
              </w:rPr>
              <w:t>科研</w:t>
            </w:r>
            <w:r>
              <w:rPr>
                <w:rFonts w:ascii="宋体" w:hAnsi="宋体" w:eastAsia="宋体" w:cs="宋体"/>
                <w:sz w:val="20"/>
                <w:szCs w:val="20"/>
              </w:rPr>
              <w:t xml:space="preserve"> </w:t>
            </w:r>
            <w:r>
              <w:rPr>
                <w:rFonts w:ascii="宋体" w:hAnsi="宋体" w:eastAsia="宋体" w:cs="宋体"/>
                <w:spacing w:val="6"/>
                <w:sz w:val="20"/>
                <w:szCs w:val="20"/>
              </w:rPr>
              <w:t>机构</w:t>
            </w:r>
          </w:p>
        </w:tc>
        <w:tc>
          <w:tcPr>
            <w:tcW w:w="656" w:type="dxa"/>
            <w:vAlign w:val="top"/>
          </w:tcPr>
          <w:p>
            <w:pPr>
              <w:spacing w:before="68" w:line="239" w:lineRule="auto"/>
              <w:ind w:left="27"/>
              <w:rPr>
                <w:rFonts w:ascii="宋体" w:hAnsi="宋体" w:eastAsia="宋体" w:cs="宋体"/>
                <w:sz w:val="20"/>
                <w:szCs w:val="20"/>
              </w:rPr>
            </w:pPr>
            <w:r>
              <w:rPr>
                <w:rFonts w:ascii="宋体" w:hAnsi="宋体" w:eastAsia="宋体" w:cs="宋体"/>
                <w:spacing w:val="3"/>
                <w:sz w:val="20"/>
                <w:szCs w:val="20"/>
              </w:rPr>
              <w:t>社会公</w:t>
            </w:r>
            <w:r>
              <w:rPr>
                <w:rFonts w:ascii="宋体" w:hAnsi="宋体" w:eastAsia="宋体" w:cs="宋体"/>
                <w:spacing w:val="1"/>
                <w:sz w:val="20"/>
                <w:szCs w:val="20"/>
              </w:rPr>
              <w:t xml:space="preserve"> </w:t>
            </w:r>
            <w:r>
              <w:rPr>
                <w:rFonts w:ascii="宋体" w:hAnsi="宋体" w:eastAsia="宋体" w:cs="宋体"/>
                <w:spacing w:val="3"/>
                <w:sz w:val="20"/>
                <w:szCs w:val="20"/>
              </w:rPr>
              <w:t>益组织</w:t>
            </w:r>
          </w:p>
        </w:tc>
        <w:tc>
          <w:tcPr>
            <w:tcW w:w="655" w:type="dxa"/>
            <w:vAlign w:val="top"/>
          </w:tcPr>
          <w:p>
            <w:pPr>
              <w:spacing w:before="68" w:line="234" w:lineRule="auto"/>
              <w:ind w:left="7" w:right="17"/>
              <w:rPr>
                <w:rFonts w:ascii="宋体" w:hAnsi="宋体" w:eastAsia="宋体" w:cs="宋体"/>
                <w:sz w:val="20"/>
                <w:szCs w:val="20"/>
              </w:rPr>
            </w:pPr>
            <w:r>
              <w:rPr>
                <w:rFonts w:ascii="宋体" w:hAnsi="宋体" w:eastAsia="宋体" w:cs="宋体"/>
                <w:spacing w:val="-3"/>
                <w:sz w:val="20"/>
                <w:szCs w:val="20"/>
              </w:rPr>
              <w:t>法律服</w:t>
            </w:r>
            <w:r>
              <w:rPr>
                <w:rFonts w:ascii="宋体" w:hAnsi="宋体" w:eastAsia="宋体" w:cs="宋体"/>
                <w:sz w:val="20"/>
                <w:szCs w:val="20"/>
              </w:rPr>
              <w:t xml:space="preserve"> </w:t>
            </w:r>
            <w:r>
              <w:rPr>
                <w:rFonts w:ascii="宋体" w:hAnsi="宋体" w:eastAsia="宋体" w:cs="宋体"/>
                <w:spacing w:val="4"/>
                <w:sz w:val="20"/>
                <w:szCs w:val="20"/>
              </w:rPr>
              <w:t>务机构</w:t>
            </w:r>
          </w:p>
        </w:tc>
        <w:tc>
          <w:tcPr>
            <w:tcW w:w="665" w:type="dxa"/>
            <w:vAlign w:val="top"/>
          </w:tcPr>
          <w:p>
            <w:pPr>
              <w:spacing w:before="199" w:line="220" w:lineRule="auto"/>
              <w:ind w:left="129"/>
              <w:rPr>
                <w:rFonts w:ascii="宋体" w:hAnsi="宋体" w:eastAsia="宋体" w:cs="宋体"/>
                <w:sz w:val="20"/>
                <w:szCs w:val="20"/>
              </w:rPr>
            </w:pPr>
            <w:r>
              <w:rPr>
                <w:rFonts w:ascii="宋体" w:hAnsi="宋体" w:eastAsia="宋体" w:cs="宋体"/>
                <w:spacing w:val="-3"/>
                <w:sz w:val="20"/>
                <w:szCs w:val="20"/>
              </w:rPr>
              <w:t>其他</w:t>
            </w:r>
          </w:p>
        </w:tc>
        <w:tc>
          <w:tcPr>
            <w:tcW w:w="65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188" w:type="dxa"/>
            <w:gridSpan w:val="3"/>
            <w:vAlign w:val="top"/>
          </w:tcPr>
          <w:p>
            <w:pPr>
              <w:spacing w:before="68" w:line="219" w:lineRule="auto"/>
              <w:ind w:left="105"/>
              <w:rPr>
                <w:rFonts w:ascii="宋体" w:hAnsi="宋体" w:eastAsia="宋体" w:cs="宋体"/>
                <w:sz w:val="20"/>
                <w:szCs w:val="20"/>
              </w:rPr>
            </w:pPr>
            <w:r>
              <w:rPr>
                <w:rFonts w:ascii="宋体" w:hAnsi="宋体" w:eastAsia="宋体" w:cs="宋体"/>
                <w:spacing w:val="-2"/>
                <w:sz w:val="20"/>
                <w:szCs w:val="20"/>
              </w:rPr>
              <w:t>一、本年新收政府信息公开申请数量</w:t>
            </w:r>
          </w:p>
        </w:tc>
        <w:tc>
          <w:tcPr>
            <w:tcW w:w="655" w:type="dxa"/>
            <w:vAlign w:val="center"/>
          </w:tcPr>
          <w:p>
            <w:pPr>
              <w:jc w:val="center"/>
              <w:rPr>
                <w:rFonts w:hint="eastAsia" w:ascii="Arial" w:eastAsia="宋体"/>
                <w:sz w:val="21"/>
                <w:lang w:eastAsia="zh-CN"/>
              </w:rPr>
            </w:pPr>
            <w:r>
              <w:rPr>
                <w:rFonts w:hint="eastAsia" w:eastAsia="宋体"/>
                <w:sz w:val="21"/>
                <w:lang w:val="en-US" w:eastAsia="zh-CN"/>
              </w:rPr>
              <w:t>1</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188" w:type="dxa"/>
            <w:gridSpan w:val="3"/>
            <w:vAlign w:val="top"/>
          </w:tcPr>
          <w:p>
            <w:pPr>
              <w:spacing w:before="68" w:line="219" w:lineRule="auto"/>
              <w:ind w:left="105"/>
              <w:rPr>
                <w:rFonts w:ascii="宋体" w:hAnsi="宋体" w:eastAsia="宋体" w:cs="宋体"/>
                <w:sz w:val="20"/>
                <w:szCs w:val="20"/>
              </w:rPr>
            </w:pPr>
            <w:r>
              <w:rPr>
                <w:rFonts w:ascii="宋体" w:hAnsi="宋体" w:eastAsia="宋体" w:cs="宋体"/>
                <w:spacing w:val="-1"/>
                <w:sz w:val="20"/>
                <w:szCs w:val="20"/>
              </w:rPr>
              <w:t>二、上年结转政府信息公开申请数量</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01" w:lineRule="auto"/>
              <w:ind w:left="25"/>
              <w:rPr>
                <w:rFonts w:ascii="宋体" w:hAnsi="宋体" w:eastAsia="宋体" w:cs="宋体"/>
                <w:sz w:val="20"/>
                <w:szCs w:val="20"/>
              </w:rPr>
            </w:pPr>
            <w:r>
              <w:rPr>
                <w:rFonts w:ascii="宋体" w:hAnsi="宋体" w:eastAsia="宋体" w:cs="宋体"/>
                <w:spacing w:val="-22"/>
                <w:w w:val="98"/>
                <w:sz w:val="20"/>
                <w:szCs w:val="20"/>
              </w:rPr>
              <w:t>三、本年</w:t>
            </w:r>
          </w:p>
        </w:tc>
        <w:tc>
          <w:tcPr>
            <w:tcW w:w="3448" w:type="dxa"/>
            <w:gridSpan w:val="2"/>
            <w:vAlign w:val="top"/>
          </w:tcPr>
          <w:p>
            <w:pPr>
              <w:spacing w:before="71" w:line="221" w:lineRule="auto"/>
              <w:ind w:left="101"/>
              <w:rPr>
                <w:rFonts w:ascii="宋体" w:hAnsi="宋体" w:eastAsia="宋体" w:cs="宋体"/>
                <w:sz w:val="20"/>
                <w:szCs w:val="20"/>
              </w:rPr>
            </w:pPr>
            <w:r>
              <w:rPr>
                <w:rFonts w:ascii="宋体" w:hAnsi="宋体" w:eastAsia="宋体" w:cs="宋体"/>
                <w:spacing w:val="1"/>
                <w:sz w:val="20"/>
                <w:szCs w:val="20"/>
              </w:rPr>
              <w:t>(一)予以公开</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0" w:type="dxa"/>
            <w:vMerge w:val="continue"/>
            <w:tcBorders>
              <w:top w:val="nil"/>
              <w:bottom w:val="nil"/>
            </w:tcBorders>
            <w:vAlign w:val="top"/>
          </w:tcPr>
          <w:p>
            <w:pPr>
              <w:rPr>
                <w:rFonts w:ascii="Arial"/>
                <w:sz w:val="21"/>
              </w:rPr>
            </w:pPr>
          </w:p>
        </w:tc>
        <w:tc>
          <w:tcPr>
            <w:tcW w:w="3448" w:type="dxa"/>
            <w:gridSpan w:val="2"/>
            <w:vAlign w:val="top"/>
          </w:tcPr>
          <w:p>
            <w:pPr>
              <w:spacing w:before="90" w:line="230" w:lineRule="auto"/>
              <w:ind w:left="101" w:right="206" w:hanging="10"/>
              <w:rPr>
                <w:rFonts w:ascii="宋体" w:hAnsi="宋体" w:eastAsia="宋体" w:cs="宋体"/>
                <w:sz w:val="20"/>
                <w:szCs w:val="20"/>
              </w:rPr>
            </w:pPr>
            <w:r>
              <w:rPr>
                <w:rFonts w:ascii="宋体" w:hAnsi="宋体" w:eastAsia="宋体" w:cs="宋体"/>
                <w:sz w:val="20"/>
                <w:szCs w:val="20"/>
              </w:rPr>
              <w:t>(二)部分公开(区分处理的，只计这</w:t>
            </w:r>
            <w:r>
              <w:rPr>
                <w:rFonts w:ascii="宋体" w:hAnsi="宋体" w:eastAsia="宋体" w:cs="宋体"/>
                <w:spacing w:val="7"/>
                <w:sz w:val="20"/>
                <w:szCs w:val="20"/>
              </w:rPr>
              <w:t xml:space="preserve"> </w:t>
            </w:r>
            <w:r>
              <w:rPr>
                <w:rFonts w:ascii="宋体" w:hAnsi="宋体" w:eastAsia="宋体" w:cs="宋体"/>
                <w:spacing w:val="3"/>
                <w:sz w:val="20"/>
                <w:szCs w:val="20"/>
              </w:rPr>
              <w:t>一情形，不计其他情形)</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65" w:line="234" w:lineRule="auto"/>
              <w:ind w:left="51" w:right="46"/>
              <w:rPr>
                <w:rFonts w:ascii="宋体" w:hAnsi="宋体" w:eastAsia="宋体" w:cs="宋体"/>
                <w:sz w:val="20"/>
                <w:szCs w:val="20"/>
              </w:rPr>
            </w:pPr>
            <w:r>
              <w:rPr>
                <w:rFonts w:ascii="宋体" w:hAnsi="宋体" w:eastAsia="宋体" w:cs="宋体"/>
                <w:spacing w:val="2"/>
                <w:sz w:val="20"/>
                <w:szCs w:val="20"/>
              </w:rPr>
              <w:t>(三)不 予公开</w:t>
            </w:r>
          </w:p>
        </w:tc>
        <w:tc>
          <w:tcPr>
            <w:tcW w:w="2723" w:type="dxa"/>
            <w:vAlign w:val="top"/>
          </w:tcPr>
          <w:p>
            <w:pPr>
              <w:spacing w:before="71" w:line="219" w:lineRule="auto"/>
              <w:ind w:left="102"/>
              <w:rPr>
                <w:rFonts w:ascii="宋体" w:hAnsi="宋体" w:eastAsia="宋体" w:cs="宋体"/>
                <w:sz w:val="20"/>
                <w:szCs w:val="20"/>
              </w:rPr>
            </w:pPr>
            <w:r>
              <w:rPr>
                <w:rFonts w:ascii="宋体" w:hAnsi="宋体" w:eastAsia="宋体" w:cs="宋体"/>
                <w:spacing w:val="19"/>
                <w:sz w:val="20"/>
                <w:szCs w:val="20"/>
              </w:rPr>
              <w:t>1.属于国家秘密</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90" w:line="222" w:lineRule="auto"/>
              <w:ind w:left="101" w:right="85" w:hanging="1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56"/>
                <w:sz w:val="20"/>
                <w:szCs w:val="20"/>
              </w:rPr>
              <w:t xml:space="preserve"> </w:t>
            </w:r>
            <w:r>
              <w:rPr>
                <w:rFonts w:ascii="宋体" w:hAnsi="宋体" w:eastAsia="宋体" w:cs="宋体"/>
                <w:spacing w:val="22"/>
                <w:sz w:val="20"/>
                <w:szCs w:val="20"/>
              </w:rPr>
              <w:t>.其他法律行政法规禁止</w:t>
            </w:r>
            <w:r>
              <w:rPr>
                <w:rFonts w:ascii="宋体" w:hAnsi="宋体" w:eastAsia="宋体" w:cs="宋体"/>
                <w:sz w:val="20"/>
                <w:szCs w:val="20"/>
              </w:rPr>
              <w:t xml:space="preserve"> </w:t>
            </w:r>
            <w:r>
              <w:rPr>
                <w:rFonts w:ascii="宋体" w:hAnsi="宋体" w:eastAsia="宋体" w:cs="宋体"/>
                <w:spacing w:val="-7"/>
                <w:sz w:val="20"/>
                <w:szCs w:val="20"/>
              </w:rPr>
              <w:t>公</w:t>
            </w:r>
            <w:r>
              <w:rPr>
                <w:rFonts w:ascii="宋体" w:hAnsi="宋体" w:eastAsia="宋体" w:cs="宋体"/>
                <w:spacing w:val="-9"/>
                <w:sz w:val="20"/>
                <w:szCs w:val="20"/>
              </w:rPr>
              <w:t xml:space="preserve"> </w:t>
            </w:r>
            <w:r>
              <w:rPr>
                <w:rFonts w:ascii="宋体" w:hAnsi="宋体" w:eastAsia="宋体" w:cs="宋体"/>
                <w:spacing w:val="-7"/>
                <w:sz w:val="20"/>
                <w:szCs w:val="20"/>
              </w:rPr>
              <w:t>开</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2" w:line="219" w:lineRule="auto"/>
              <w:ind w:left="102"/>
              <w:rPr>
                <w:rFonts w:ascii="宋体" w:hAnsi="宋体" w:eastAsia="宋体" w:cs="宋体"/>
                <w:sz w:val="20"/>
                <w:szCs w:val="20"/>
              </w:rPr>
            </w:pPr>
            <w:r>
              <w:rPr>
                <w:rFonts w:ascii="宋体" w:hAnsi="宋体" w:eastAsia="宋体" w:cs="宋体"/>
                <w:spacing w:val="16"/>
                <w:sz w:val="20"/>
                <w:szCs w:val="20"/>
              </w:rPr>
              <w:t>3.危及“三安全一稳定”</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2" w:line="219" w:lineRule="auto"/>
              <w:ind w:left="102"/>
              <w:rPr>
                <w:rFonts w:ascii="宋体" w:hAnsi="宋体" w:eastAsia="宋体" w:cs="宋体"/>
                <w:sz w:val="20"/>
                <w:szCs w:val="20"/>
              </w:rPr>
            </w:pPr>
            <w:r>
              <w:rPr>
                <w:rFonts w:ascii="宋体" w:hAnsi="宋体" w:eastAsia="宋体" w:cs="宋体"/>
                <w:spacing w:val="15"/>
                <w:sz w:val="20"/>
                <w:szCs w:val="20"/>
              </w:rPr>
              <w:t>4.保护第三方合法权益</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62" w:line="219" w:lineRule="auto"/>
              <w:ind w:left="102"/>
              <w:rPr>
                <w:rFonts w:ascii="宋体" w:hAnsi="宋体" w:eastAsia="宋体" w:cs="宋体"/>
                <w:sz w:val="20"/>
                <w:szCs w:val="20"/>
              </w:rPr>
            </w:pPr>
            <w:r>
              <w:rPr>
                <w:rFonts w:ascii="宋体" w:hAnsi="宋体" w:eastAsia="宋体" w:cs="宋体"/>
                <w:spacing w:val="16"/>
                <w:sz w:val="20"/>
                <w:szCs w:val="20"/>
              </w:rPr>
              <w:t>5.属于三类内部事务信息</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3" w:line="219" w:lineRule="auto"/>
              <w:ind w:left="102"/>
              <w:rPr>
                <w:rFonts w:ascii="宋体" w:hAnsi="宋体" w:eastAsia="宋体" w:cs="宋体"/>
                <w:sz w:val="20"/>
                <w:szCs w:val="20"/>
              </w:rPr>
            </w:pPr>
            <w:r>
              <w:rPr>
                <w:rFonts w:ascii="宋体" w:hAnsi="宋体" w:eastAsia="宋体" w:cs="宋体"/>
                <w:spacing w:val="15"/>
                <w:sz w:val="20"/>
                <w:szCs w:val="20"/>
              </w:rPr>
              <w:t>6.属于四类过程性信息</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3" w:line="219" w:lineRule="auto"/>
              <w:ind w:left="102"/>
              <w:rPr>
                <w:rFonts w:ascii="宋体" w:hAnsi="宋体" w:eastAsia="宋体" w:cs="宋体"/>
                <w:sz w:val="20"/>
                <w:szCs w:val="20"/>
              </w:rPr>
            </w:pPr>
            <w:r>
              <w:rPr>
                <w:rFonts w:ascii="宋体" w:hAnsi="宋体" w:eastAsia="宋体" w:cs="宋体"/>
                <w:spacing w:val="16"/>
                <w:sz w:val="20"/>
                <w:szCs w:val="20"/>
              </w:rPr>
              <w:t>7.属于行政执法案卷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2723" w:type="dxa"/>
            <w:vAlign w:val="top"/>
          </w:tcPr>
          <w:p>
            <w:pPr>
              <w:spacing w:before="73" w:line="220" w:lineRule="auto"/>
              <w:ind w:left="102"/>
              <w:rPr>
                <w:rFonts w:ascii="宋体" w:hAnsi="宋体" w:eastAsia="宋体" w:cs="宋体"/>
                <w:sz w:val="20"/>
                <w:szCs w:val="20"/>
              </w:rPr>
            </w:pPr>
            <w:r>
              <w:rPr>
                <w:rFonts w:ascii="宋体" w:hAnsi="宋体" w:eastAsia="宋体" w:cs="宋体"/>
                <w:spacing w:val="17"/>
                <w:sz w:val="20"/>
                <w:szCs w:val="20"/>
              </w:rPr>
              <w:t>8.属于行政查询事项</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before="294" w:line="233" w:lineRule="auto"/>
              <w:ind w:left="51" w:right="49"/>
              <w:rPr>
                <w:rFonts w:ascii="宋体" w:hAnsi="宋体" w:eastAsia="宋体" w:cs="宋体"/>
                <w:sz w:val="20"/>
                <w:szCs w:val="20"/>
              </w:rPr>
            </w:pPr>
            <w:r>
              <w:rPr>
                <w:rFonts w:ascii="宋体" w:hAnsi="宋体" w:eastAsia="宋体" w:cs="宋体"/>
                <w:spacing w:val="2"/>
                <w:sz w:val="20"/>
                <w:szCs w:val="20"/>
              </w:rPr>
              <w:t>(四)无</w:t>
            </w:r>
            <w:r>
              <w:rPr>
                <w:rFonts w:ascii="宋体" w:hAnsi="宋体" w:eastAsia="宋体" w:cs="宋体"/>
                <w:sz w:val="20"/>
                <w:szCs w:val="20"/>
              </w:rPr>
              <w:t xml:space="preserve"> </w:t>
            </w:r>
            <w:r>
              <w:rPr>
                <w:rFonts w:ascii="宋体" w:hAnsi="宋体" w:eastAsia="宋体" w:cs="宋体"/>
                <w:spacing w:val="-2"/>
                <w:sz w:val="20"/>
                <w:szCs w:val="20"/>
              </w:rPr>
              <w:t>法提供</w:t>
            </w:r>
          </w:p>
        </w:tc>
        <w:tc>
          <w:tcPr>
            <w:tcW w:w="2723" w:type="dxa"/>
            <w:vAlign w:val="top"/>
          </w:tcPr>
          <w:p>
            <w:pPr>
              <w:spacing w:before="72" w:line="219" w:lineRule="auto"/>
              <w:ind w:left="102"/>
              <w:rPr>
                <w:rFonts w:ascii="宋体" w:hAnsi="宋体" w:eastAsia="宋体" w:cs="宋体"/>
                <w:sz w:val="20"/>
                <w:szCs w:val="20"/>
              </w:rPr>
            </w:pPr>
            <w:r>
              <w:rPr>
                <w:rFonts w:ascii="宋体" w:hAnsi="宋体" w:eastAsia="宋体" w:cs="宋体"/>
                <w:spacing w:val="-2"/>
                <w:sz w:val="20"/>
                <w:szCs w:val="20"/>
              </w:rPr>
              <w:t>1.本机关不掌握相关政府信息</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3" w:line="229" w:lineRule="auto"/>
              <w:ind w:left="102"/>
              <w:rPr>
                <w:rFonts w:ascii="宋体" w:hAnsi="宋体" w:eastAsia="宋体" w:cs="宋体"/>
                <w:sz w:val="19"/>
                <w:szCs w:val="19"/>
              </w:rPr>
            </w:pPr>
            <w:r>
              <w:rPr>
                <w:rFonts w:ascii="宋体" w:hAnsi="宋体" w:eastAsia="宋体" w:cs="宋体"/>
                <w:spacing w:val="8"/>
                <w:sz w:val="19"/>
                <w:szCs w:val="19"/>
              </w:rPr>
              <w:t>2.没有现成信息需要另行制作</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40" w:type="dxa"/>
            <w:vMerge w:val="restart"/>
            <w:tcBorders>
              <w:bottom w:val="nil"/>
            </w:tcBorders>
            <w:vAlign w:val="top"/>
          </w:tcPr>
          <w:p>
            <w:pPr>
              <w:spacing w:before="143" w:line="230" w:lineRule="auto"/>
              <w:ind w:left="134" w:right="105" w:hanging="109"/>
              <w:rPr>
                <w:rFonts w:ascii="宋体" w:hAnsi="宋体" w:eastAsia="宋体" w:cs="宋体"/>
                <w:sz w:val="20"/>
                <w:szCs w:val="20"/>
              </w:rPr>
            </w:pPr>
            <w:r>
              <w:rPr>
                <w:rFonts w:ascii="宋体" w:hAnsi="宋体" w:eastAsia="宋体" w:cs="宋体"/>
                <w:spacing w:val="-3"/>
                <w:sz w:val="20"/>
                <w:szCs w:val="20"/>
              </w:rPr>
              <w:t>度办理</w:t>
            </w:r>
            <w:r>
              <w:rPr>
                <w:rFonts w:ascii="宋体" w:hAnsi="宋体" w:eastAsia="宋体" w:cs="宋体"/>
                <w:spacing w:val="1"/>
                <w:sz w:val="20"/>
                <w:szCs w:val="20"/>
              </w:rPr>
              <w:t xml:space="preserve"> </w:t>
            </w:r>
            <w:r>
              <w:rPr>
                <w:rFonts w:ascii="宋体" w:hAnsi="宋体" w:eastAsia="宋体" w:cs="宋体"/>
                <w:spacing w:val="5"/>
                <w:sz w:val="20"/>
                <w:szCs w:val="20"/>
              </w:rPr>
              <w:t>结果</w:t>
            </w:r>
          </w:p>
        </w:tc>
        <w:tc>
          <w:tcPr>
            <w:tcW w:w="725" w:type="dxa"/>
            <w:vMerge w:val="continue"/>
            <w:tcBorders>
              <w:top w:val="nil"/>
            </w:tcBorders>
            <w:vAlign w:val="top"/>
          </w:tcPr>
          <w:p>
            <w:pPr>
              <w:rPr>
                <w:rFonts w:ascii="Arial"/>
                <w:sz w:val="21"/>
              </w:rPr>
            </w:pPr>
          </w:p>
        </w:tc>
        <w:tc>
          <w:tcPr>
            <w:tcW w:w="2723" w:type="dxa"/>
            <w:vAlign w:val="top"/>
          </w:tcPr>
          <w:p>
            <w:pPr>
              <w:spacing w:before="63" w:line="229" w:lineRule="auto"/>
              <w:ind w:left="102"/>
              <w:rPr>
                <w:rFonts w:ascii="宋体" w:hAnsi="宋体" w:eastAsia="宋体" w:cs="宋体"/>
                <w:sz w:val="19"/>
                <w:szCs w:val="19"/>
              </w:rPr>
            </w:pPr>
            <w:r>
              <w:rPr>
                <w:rFonts w:ascii="宋体" w:hAnsi="宋体" w:eastAsia="宋体" w:cs="宋体"/>
                <w:spacing w:val="23"/>
                <w:sz w:val="19"/>
                <w:szCs w:val="19"/>
              </w:rPr>
              <w:t>3.补正后申请内容仍不明确</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40" w:type="dxa"/>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5" w:line="235" w:lineRule="auto"/>
              <w:ind w:left="51" w:right="46"/>
              <w:rPr>
                <w:rFonts w:ascii="宋体" w:hAnsi="宋体" w:eastAsia="宋体" w:cs="宋体"/>
                <w:sz w:val="20"/>
                <w:szCs w:val="20"/>
              </w:rPr>
            </w:pPr>
            <w:r>
              <w:rPr>
                <w:rFonts w:ascii="宋体" w:hAnsi="宋体" w:eastAsia="宋体" w:cs="宋体"/>
                <w:spacing w:val="2"/>
                <w:sz w:val="20"/>
                <w:szCs w:val="20"/>
              </w:rPr>
              <w:t>(五)不 予处理</w:t>
            </w:r>
          </w:p>
        </w:tc>
        <w:tc>
          <w:tcPr>
            <w:tcW w:w="2723" w:type="dxa"/>
            <w:vAlign w:val="top"/>
          </w:tcPr>
          <w:p>
            <w:pPr>
              <w:spacing w:before="72" w:line="219" w:lineRule="auto"/>
              <w:ind w:left="102"/>
              <w:rPr>
                <w:rFonts w:ascii="宋体" w:hAnsi="宋体" w:eastAsia="宋体" w:cs="宋体"/>
                <w:sz w:val="20"/>
                <w:szCs w:val="20"/>
              </w:rPr>
            </w:pPr>
            <w:r>
              <w:rPr>
                <w:rFonts w:ascii="宋体" w:hAnsi="宋体" w:eastAsia="宋体" w:cs="宋体"/>
                <w:spacing w:val="19"/>
                <w:sz w:val="20"/>
                <w:szCs w:val="20"/>
              </w:rPr>
              <w:t>1.信访举报投诉类申请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4" w:line="219" w:lineRule="auto"/>
              <w:ind w:left="10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3"/>
                <w:sz w:val="20"/>
                <w:szCs w:val="20"/>
              </w:rPr>
              <w:t xml:space="preserve"> </w:t>
            </w:r>
            <w:r>
              <w:rPr>
                <w:rFonts w:ascii="宋体" w:hAnsi="宋体" w:eastAsia="宋体" w:cs="宋体"/>
                <w:spacing w:val="10"/>
                <w:sz w:val="20"/>
                <w:szCs w:val="20"/>
              </w:rPr>
              <w:t>.</w:t>
            </w:r>
            <w:r>
              <w:rPr>
                <w:rFonts w:ascii="宋体" w:hAnsi="宋体" w:eastAsia="宋体" w:cs="宋体"/>
                <w:spacing w:val="-59"/>
                <w:sz w:val="20"/>
                <w:szCs w:val="20"/>
              </w:rPr>
              <w:t xml:space="preserve"> </w:t>
            </w:r>
            <w:r>
              <w:rPr>
                <w:rFonts w:ascii="宋体" w:hAnsi="宋体" w:eastAsia="宋体" w:cs="宋体"/>
                <w:spacing w:val="10"/>
                <w:sz w:val="20"/>
                <w:szCs w:val="20"/>
              </w:rPr>
              <w:t>重复申请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72" w:line="219" w:lineRule="auto"/>
              <w:ind w:left="102"/>
              <w:rPr>
                <w:rFonts w:ascii="宋体" w:hAnsi="宋体" w:eastAsia="宋体" w:cs="宋体"/>
                <w:sz w:val="20"/>
                <w:szCs w:val="20"/>
              </w:rPr>
            </w:pPr>
            <w:r>
              <w:rPr>
                <w:rFonts w:ascii="宋体" w:hAnsi="宋体" w:eastAsia="宋体" w:cs="宋体"/>
                <w:spacing w:val="15"/>
                <w:sz w:val="20"/>
                <w:szCs w:val="20"/>
              </w:rPr>
              <w:t>3.要求提供公开出版物</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104" w:line="220" w:lineRule="auto"/>
              <w:ind w:left="102" w:right="55"/>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24"/>
                <w:sz w:val="20"/>
                <w:szCs w:val="20"/>
              </w:rPr>
              <w:t xml:space="preserve"> </w:t>
            </w:r>
            <w:r>
              <w:rPr>
                <w:rFonts w:ascii="宋体" w:hAnsi="宋体" w:eastAsia="宋体" w:cs="宋体"/>
                <w:spacing w:val="-14"/>
                <w:sz w:val="20"/>
                <w:szCs w:val="20"/>
              </w:rPr>
              <w:t>.</w:t>
            </w:r>
            <w:r>
              <w:rPr>
                <w:rFonts w:ascii="宋体" w:hAnsi="宋体" w:eastAsia="宋体" w:cs="宋体"/>
                <w:spacing w:val="-37"/>
                <w:sz w:val="20"/>
                <w:szCs w:val="20"/>
              </w:rPr>
              <w:t xml:space="preserve"> </w:t>
            </w:r>
            <w:r>
              <w:rPr>
                <w:rFonts w:ascii="宋体" w:hAnsi="宋体" w:eastAsia="宋体" w:cs="宋体"/>
                <w:spacing w:val="-14"/>
                <w:sz w:val="20"/>
                <w:szCs w:val="20"/>
              </w:rPr>
              <w:t>无</w:t>
            </w:r>
            <w:r>
              <w:rPr>
                <w:rFonts w:ascii="宋体" w:hAnsi="宋体" w:eastAsia="宋体" w:cs="宋体"/>
                <w:spacing w:val="-35"/>
                <w:sz w:val="20"/>
                <w:szCs w:val="20"/>
              </w:rPr>
              <w:t xml:space="preserve"> </w:t>
            </w:r>
            <w:r>
              <w:rPr>
                <w:rFonts w:ascii="宋体" w:hAnsi="宋体" w:eastAsia="宋体" w:cs="宋体"/>
                <w:spacing w:val="-14"/>
                <w:sz w:val="20"/>
                <w:szCs w:val="20"/>
              </w:rPr>
              <w:t>正</w:t>
            </w:r>
            <w:r>
              <w:rPr>
                <w:rFonts w:ascii="宋体" w:hAnsi="宋体" w:eastAsia="宋体" w:cs="宋体"/>
                <w:spacing w:val="-26"/>
                <w:sz w:val="20"/>
                <w:szCs w:val="20"/>
              </w:rPr>
              <w:t xml:space="preserve"> </w:t>
            </w:r>
            <w:r>
              <w:rPr>
                <w:rFonts w:ascii="宋体" w:hAnsi="宋体" w:eastAsia="宋体" w:cs="宋体"/>
                <w:spacing w:val="-14"/>
                <w:sz w:val="20"/>
                <w:szCs w:val="20"/>
              </w:rPr>
              <w:t>当</w:t>
            </w:r>
            <w:r>
              <w:rPr>
                <w:rFonts w:ascii="宋体" w:hAnsi="宋体" w:eastAsia="宋体" w:cs="宋体"/>
                <w:spacing w:val="-36"/>
                <w:sz w:val="20"/>
                <w:szCs w:val="20"/>
              </w:rPr>
              <w:t xml:space="preserve"> </w:t>
            </w:r>
            <w:r>
              <w:rPr>
                <w:rFonts w:ascii="宋体" w:hAnsi="宋体" w:eastAsia="宋体" w:cs="宋体"/>
                <w:spacing w:val="-14"/>
                <w:sz w:val="20"/>
                <w:szCs w:val="20"/>
              </w:rPr>
              <w:t>理 由</w:t>
            </w:r>
            <w:r>
              <w:rPr>
                <w:rFonts w:ascii="宋体" w:hAnsi="宋体" w:eastAsia="宋体" w:cs="宋体"/>
                <w:spacing w:val="-37"/>
                <w:sz w:val="20"/>
                <w:szCs w:val="20"/>
              </w:rPr>
              <w:t xml:space="preserve"> </w:t>
            </w:r>
            <w:r>
              <w:rPr>
                <w:rFonts w:ascii="宋体" w:hAnsi="宋体" w:eastAsia="宋体" w:cs="宋体"/>
                <w:spacing w:val="-14"/>
                <w:sz w:val="20"/>
                <w:szCs w:val="20"/>
              </w:rPr>
              <w:t>大</w:t>
            </w:r>
            <w:r>
              <w:rPr>
                <w:rFonts w:ascii="宋体" w:hAnsi="宋体" w:eastAsia="宋体" w:cs="宋体"/>
                <w:spacing w:val="-38"/>
                <w:sz w:val="20"/>
                <w:szCs w:val="20"/>
              </w:rPr>
              <w:t xml:space="preserve"> </w:t>
            </w:r>
            <w:r>
              <w:rPr>
                <w:rFonts w:ascii="宋体" w:hAnsi="宋体" w:eastAsia="宋体" w:cs="宋体"/>
                <w:spacing w:val="-14"/>
                <w:sz w:val="20"/>
                <w:szCs w:val="20"/>
              </w:rPr>
              <w:t>量</w:t>
            </w:r>
            <w:r>
              <w:rPr>
                <w:rFonts w:ascii="宋体" w:hAnsi="宋体" w:eastAsia="宋体" w:cs="宋体"/>
                <w:spacing w:val="-38"/>
                <w:sz w:val="20"/>
                <w:szCs w:val="20"/>
              </w:rPr>
              <w:t xml:space="preserve"> </w:t>
            </w:r>
            <w:r>
              <w:rPr>
                <w:rFonts w:ascii="宋体" w:hAnsi="宋体" w:eastAsia="宋体" w:cs="宋体"/>
                <w:spacing w:val="-14"/>
                <w:sz w:val="20"/>
                <w:szCs w:val="20"/>
              </w:rPr>
              <w:t>反</w:t>
            </w:r>
            <w:r>
              <w:rPr>
                <w:rFonts w:ascii="宋体" w:hAnsi="宋体" w:eastAsia="宋体" w:cs="宋体"/>
                <w:spacing w:val="-33"/>
                <w:sz w:val="20"/>
                <w:szCs w:val="20"/>
              </w:rPr>
              <w:t xml:space="preserve"> </w:t>
            </w:r>
            <w:r>
              <w:rPr>
                <w:rFonts w:ascii="宋体" w:hAnsi="宋体" w:eastAsia="宋体" w:cs="宋体"/>
                <w:spacing w:val="-14"/>
                <w:sz w:val="20"/>
                <w:szCs w:val="20"/>
              </w:rPr>
              <w:t>复</w:t>
            </w:r>
            <w:r>
              <w:rPr>
                <w:rFonts w:ascii="宋体" w:hAnsi="宋体" w:eastAsia="宋体" w:cs="宋体"/>
                <w:sz w:val="20"/>
                <w:szCs w:val="20"/>
              </w:rPr>
              <w:t xml:space="preserve"> </w:t>
            </w:r>
            <w:r>
              <w:rPr>
                <w:rFonts w:ascii="宋体" w:hAnsi="宋体" w:eastAsia="宋体" w:cs="宋体"/>
                <w:spacing w:val="-17"/>
                <w:sz w:val="20"/>
                <w:szCs w:val="20"/>
              </w:rPr>
              <w:t>申</w:t>
            </w:r>
            <w:r>
              <w:rPr>
                <w:rFonts w:ascii="宋体" w:hAnsi="宋体" w:eastAsia="宋体" w:cs="宋体"/>
                <w:spacing w:val="-11"/>
                <w:sz w:val="20"/>
                <w:szCs w:val="20"/>
              </w:rPr>
              <w:t xml:space="preserve"> </w:t>
            </w:r>
            <w:r>
              <w:rPr>
                <w:rFonts w:ascii="宋体" w:hAnsi="宋体" w:eastAsia="宋体" w:cs="宋体"/>
                <w:spacing w:val="-17"/>
                <w:sz w:val="20"/>
                <w:szCs w:val="20"/>
              </w:rPr>
              <w:t>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2723" w:type="dxa"/>
            <w:vAlign w:val="top"/>
          </w:tcPr>
          <w:p>
            <w:pPr>
              <w:spacing w:before="114" w:line="228" w:lineRule="auto"/>
              <w:ind w:left="102" w:right="55"/>
              <w:rPr>
                <w:rFonts w:ascii="宋体" w:hAnsi="宋体" w:eastAsia="宋体" w:cs="宋体"/>
                <w:sz w:val="20"/>
                <w:szCs w:val="20"/>
              </w:rPr>
            </w:pPr>
            <w:r>
              <w:rPr>
                <w:rFonts w:ascii="宋体" w:hAnsi="宋体" w:eastAsia="宋体" w:cs="宋体"/>
                <w:spacing w:val="23"/>
                <w:sz w:val="20"/>
                <w:szCs w:val="20"/>
              </w:rPr>
              <w:t>5</w:t>
            </w:r>
            <w:r>
              <w:rPr>
                <w:rFonts w:ascii="宋体" w:hAnsi="宋体" w:eastAsia="宋体" w:cs="宋体"/>
                <w:spacing w:val="-48"/>
                <w:sz w:val="20"/>
                <w:szCs w:val="20"/>
              </w:rPr>
              <w:t xml:space="preserve"> </w:t>
            </w:r>
            <w:r>
              <w:rPr>
                <w:rFonts w:ascii="宋体" w:hAnsi="宋体" w:eastAsia="宋体" w:cs="宋体"/>
                <w:spacing w:val="23"/>
                <w:sz w:val="20"/>
                <w:szCs w:val="20"/>
              </w:rPr>
              <w:t>.要求行政机关确认或重</w:t>
            </w:r>
            <w:r>
              <w:rPr>
                <w:rFonts w:ascii="宋体" w:hAnsi="宋体" w:eastAsia="宋体" w:cs="宋体"/>
                <w:sz w:val="20"/>
                <w:szCs w:val="20"/>
              </w:rPr>
              <w:t xml:space="preserve"> </w:t>
            </w:r>
            <w:r>
              <w:rPr>
                <w:rFonts w:ascii="宋体" w:hAnsi="宋体" w:eastAsia="宋体" w:cs="宋体"/>
                <w:spacing w:val="11"/>
                <w:sz w:val="20"/>
                <w:szCs w:val="20"/>
              </w:rPr>
              <w:t>新出具已获取信息</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40" w:type="dxa"/>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43" w:lineRule="auto"/>
              <w:ind w:left="51" w:right="49"/>
              <w:rPr>
                <w:rFonts w:ascii="宋体" w:hAnsi="宋体" w:eastAsia="宋体" w:cs="宋体"/>
                <w:sz w:val="20"/>
                <w:szCs w:val="20"/>
              </w:rPr>
            </w:pPr>
            <w:r>
              <w:rPr>
                <w:rFonts w:ascii="宋体" w:hAnsi="宋体" w:eastAsia="宋体" w:cs="宋体"/>
                <w:spacing w:val="2"/>
                <w:sz w:val="20"/>
                <w:szCs w:val="20"/>
              </w:rPr>
              <w:t>(六)其</w:t>
            </w:r>
            <w:r>
              <w:rPr>
                <w:rFonts w:ascii="宋体" w:hAnsi="宋体" w:eastAsia="宋体" w:cs="宋体"/>
                <w:sz w:val="20"/>
                <w:szCs w:val="20"/>
              </w:rPr>
              <w:t xml:space="preserve"> </w:t>
            </w:r>
            <w:r>
              <w:rPr>
                <w:rFonts w:ascii="宋体" w:hAnsi="宋体" w:eastAsia="宋体" w:cs="宋体"/>
                <w:spacing w:val="-2"/>
                <w:sz w:val="20"/>
                <w:szCs w:val="20"/>
              </w:rPr>
              <w:t>他处理</w:t>
            </w:r>
          </w:p>
        </w:tc>
        <w:tc>
          <w:tcPr>
            <w:tcW w:w="2723" w:type="dxa"/>
            <w:vAlign w:val="top"/>
          </w:tcPr>
          <w:p>
            <w:pPr>
              <w:spacing w:before="115" w:line="233" w:lineRule="auto"/>
              <w:ind w:left="102" w:right="51"/>
              <w:jc w:val="both"/>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50"/>
                <w:sz w:val="20"/>
                <w:szCs w:val="20"/>
              </w:rPr>
              <w:t xml:space="preserve"> </w:t>
            </w:r>
            <w:r>
              <w:rPr>
                <w:rFonts w:ascii="宋体" w:hAnsi="宋体" w:eastAsia="宋体" w:cs="宋体"/>
                <w:spacing w:val="18"/>
                <w:sz w:val="20"/>
                <w:szCs w:val="20"/>
              </w:rPr>
              <w:t>.</w:t>
            </w:r>
            <w:r>
              <w:rPr>
                <w:rFonts w:ascii="宋体" w:hAnsi="宋体" w:eastAsia="宋体" w:cs="宋体"/>
                <w:spacing w:val="-34"/>
                <w:sz w:val="20"/>
                <w:szCs w:val="20"/>
              </w:rPr>
              <w:t xml:space="preserve"> </w:t>
            </w:r>
            <w:r>
              <w:rPr>
                <w:rFonts w:ascii="宋体" w:hAnsi="宋体" w:eastAsia="宋体" w:cs="宋体"/>
                <w:spacing w:val="18"/>
                <w:sz w:val="20"/>
                <w:szCs w:val="20"/>
              </w:rPr>
              <w:t>申请人无正当理由逾期</w:t>
            </w:r>
            <w:r>
              <w:rPr>
                <w:rFonts w:ascii="宋体" w:hAnsi="宋体" w:eastAsia="宋体" w:cs="宋体"/>
                <w:sz w:val="20"/>
                <w:szCs w:val="20"/>
              </w:rPr>
              <w:t xml:space="preserve"> </w:t>
            </w:r>
            <w:r>
              <w:rPr>
                <w:rFonts w:ascii="宋体" w:hAnsi="宋体" w:eastAsia="宋体" w:cs="宋体"/>
                <w:spacing w:val="10"/>
                <w:sz w:val="20"/>
                <w:szCs w:val="20"/>
              </w:rPr>
              <w:t>不补正、行政机关不再处理</w:t>
            </w:r>
            <w:r>
              <w:rPr>
                <w:rFonts w:ascii="宋体" w:hAnsi="宋体" w:eastAsia="宋体" w:cs="宋体"/>
                <w:spacing w:val="5"/>
                <w:sz w:val="20"/>
                <w:szCs w:val="20"/>
              </w:rPr>
              <w:t xml:space="preserve"> </w:t>
            </w:r>
            <w:r>
              <w:rPr>
                <w:rFonts w:ascii="宋体" w:hAnsi="宋体" w:eastAsia="宋体" w:cs="宋体"/>
                <w:spacing w:val="14"/>
                <w:sz w:val="20"/>
                <w:szCs w:val="20"/>
              </w:rPr>
              <w:t>其政府信息公开申请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bottom w:val="nil"/>
            </w:tcBorders>
            <w:vAlign w:val="top"/>
          </w:tcPr>
          <w:p>
            <w:pPr>
              <w:rPr>
                <w:rFonts w:ascii="Arial"/>
                <w:sz w:val="21"/>
              </w:rPr>
            </w:pPr>
          </w:p>
        </w:tc>
        <w:tc>
          <w:tcPr>
            <w:tcW w:w="2723" w:type="dxa"/>
            <w:vAlign w:val="top"/>
          </w:tcPr>
          <w:p>
            <w:pPr>
              <w:spacing w:before="106" w:line="251" w:lineRule="auto"/>
              <w:ind w:left="102"/>
              <w:jc w:val="both"/>
              <w:rPr>
                <w:rFonts w:ascii="宋体" w:hAnsi="宋体" w:eastAsia="宋体" w:cs="宋体"/>
                <w:sz w:val="19"/>
                <w:szCs w:val="19"/>
              </w:rPr>
            </w:pPr>
            <w:r>
              <w:rPr>
                <w:rFonts w:ascii="宋体" w:hAnsi="宋体" w:eastAsia="宋体" w:cs="宋体"/>
                <w:spacing w:val="15"/>
                <w:sz w:val="19"/>
                <w:szCs w:val="19"/>
              </w:rPr>
              <w:t>2.</w:t>
            </w:r>
            <w:r>
              <w:rPr>
                <w:rFonts w:ascii="宋体" w:hAnsi="宋体" w:eastAsia="宋体" w:cs="宋体"/>
                <w:spacing w:val="-42"/>
                <w:sz w:val="19"/>
                <w:szCs w:val="19"/>
              </w:rPr>
              <w:t xml:space="preserve"> </w:t>
            </w:r>
            <w:r>
              <w:rPr>
                <w:rFonts w:ascii="宋体" w:hAnsi="宋体" w:eastAsia="宋体" w:cs="宋体"/>
                <w:spacing w:val="15"/>
                <w:sz w:val="19"/>
                <w:szCs w:val="19"/>
              </w:rPr>
              <w:t>申请人逾期未按收费通知</w:t>
            </w:r>
            <w:r>
              <w:rPr>
                <w:rFonts w:ascii="宋体" w:hAnsi="宋体" w:eastAsia="宋体" w:cs="宋体"/>
                <w:sz w:val="19"/>
                <w:szCs w:val="19"/>
              </w:rPr>
              <w:t xml:space="preserve"> </w:t>
            </w:r>
            <w:r>
              <w:rPr>
                <w:rFonts w:ascii="宋体" w:hAnsi="宋体" w:eastAsia="宋体" w:cs="宋体"/>
                <w:spacing w:val="8"/>
                <w:sz w:val="19"/>
                <w:szCs w:val="19"/>
              </w:rPr>
              <w:t>要求缴纳费用、行政机关不再</w:t>
            </w:r>
            <w:r>
              <w:rPr>
                <w:rFonts w:ascii="宋体" w:hAnsi="宋体" w:eastAsia="宋体" w:cs="宋体"/>
                <w:spacing w:val="9"/>
                <w:sz w:val="19"/>
                <w:szCs w:val="19"/>
              </w:rPr>
              <w:t xml:space="preserve"> </w:t>
            </w:r>
            <w:r>
              <w:rPr>
                <w:rFonts w:ascii="宋体" w:hAnsi="宋体" w:eastAsia="宋体" w:cs="宋体"/>
                <w:spacing w:val="12"/>
                <w:sz w:val="19"/>
                <w:szCs w:val="19"/>
              </w:rPr>
              <w:t>处理其政府信息公开申请</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bottom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2723" w:type="dxa"/>
            <w:vAlign w:val="top"/>
          </w:tcPr>
          <w:p>
            <w:pPr>
              <w:spacing w:before="78" w:line="220" w:lineRule="auto"/>
              <w:ind w:left="102"/>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39"/>
                <w:sz w:val="20"/>
                <w:szCs w:val="20"/>
              </w:rPr>
              <w:t xml:space="preserve"> </w:t>
            </w:r>
            <w:r>
              <w:rPr>
                <w:rFonts w:ascii="宋体" w:hAnsi="宋体" w:eastAsia="宋体" w:cs="宋体"/>
                <w:spacing w:val="-9"/>
                <w:sz w:val="20"/>
                <w:szCs w:val="20"/>
              </w:rPr>
              <w:t>.</w:t>
            </w:r>
            <w:r>
              <w:rPr>
                <w:rFonts w:ascii="宋体" w:hAnsi="宋体" w:eastAsia="宋体" w:cs="宋体"/>
                <w:spacing w:val="-45"/>
                <w:sz w:val="20"/>
                <w:szCs w:val="20"/>
              </w:rPr>
              <w:t xml:space="preserve"> </w:t>
            </w:r>
            <w:r>
              <w:rPr>
                <w:rFonts w:ascii="宋体" w:hAnsi="宋体" w:eastAsia="宋体" w:cs="宋体"/>
                <w:spacing w:val="-9"/>
                <w:sz w:val="20"/>
                <w:szCs w:val="20"/>
              </w:rPr>
              <w:t>其</w:t>
            </w:r>
            <w:r>
              <w:rPr>
                <w:rFonts w:ascii="宋体" w:hAnsi="宋体" w:eastAsia="宋体" w:cs="宋体"/>
                <w:spacing w:val="-46"/>
                <w:sz w:val="20"/>
                <w:szCs w:val="20"/>
              </w:rPr>
              <w:t xml:space="preserve"> </w:t>
            </w:r>
            <w:r>
              <w:rPr>
                <w:rFonts w:ascii="宋体" w:hAnsi="宋体" w:eastAsia="宋体" w:cs="宋体"/>
                <w:spacing w:val="-9"/>
                <w:sz w:val="20"/>
                <w:szCs w:val="20"/>
              </w:rPr>
              <w:t>他</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vAlign w:val="top"/>
          </w:tcPr>
          <w:p>
            <w:pPr>
              <w:rPr>
                <w:rFonts w:ascii="Arial"/>
                <w:sz w:val="21"/>
              </w:rPr>
            </w:pPr>
          </w:p>
        </w:tc>
        <w:tc>
          <w:tcPr>
            <w:tcW w:w="3448" w:type="dxa"/>
            <w:gridSpan w:val="2"/>
            <w:vAlign w:val="top"/>
          </w:tcPr>
          <w:p>
            <w:pPr>
              <w:spacing w:before="79" w:line="221" w:lineRule="auto"/>
              <w:ind w:left="101"/>
              <w:rPr>
                <w:rFonts w:ascii="宋体" w:hAnsi="宋体" w:eastAsia="宋体" w:cs="宋体"/>
                <w:sz w:val="20"/>
                <w:szCs w:val="20"/>
              </w:rPr>
            </w:pPr>
            <w:r>
              <w:rPr>
                <w:rFonts w:ascii="宋体" w:hAnsi="宋体" w:eastAsia="宋体" w:cs="宋体"/>
                <w:spacing w:val="1"/>
                <w:sz w:val="20"/>
                <w:szCs w:val="20"/>
              </w:rPr>
              <w:t>(七)总计</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65" w:type="dxa"/>
            <w:vAlign w:val="center"/>
          </w:tcPr>
          <w:p>
            <w:pPr>
              <w:jc w:val="center"/>
              <w:rPr>
                <w:rFonts w:ascii="Arial"/>
                <w:sz w:val="21"/>
              </w:rPr>
            </w:pPr>
            <w:r>
              <w:rPr>
                <w:rFonts w:hint="eastAsia" w:eastAsia="宋体"/>
                <w:sz w:val="21"/>
                <w:lang w:val="en-US" w:eastAsia="zh-CN"/>
              </w:rPr>
              <w:t>0</w:t>
            </w:r>
          </w:p>
        </w:tc>
        <w:tc>
          <w:tcPr>
            <w:tcW w:w="645" w:type="dxa"/>
            <w:vAlign w:val="center"/>
          </w:tcPr>
          <w:p>
            <w:pPr>
              <w:jc w:val="center"/>
              <w:rPr>
                <w:rFonts w:ascii="Arial"/>
                <w:sz w:val="21"/>
              </w:rPr>
            </w:pPr>
            <w:r>
              <w:rPr>
                <w:rFonts w:hint="eastAsia" w:eastAsia="宋体"/>
                <w:sz w:val="21"/>
                <w:lang w:val="en-US" w:eastAsia="zh-CN"/>
              </w:rPr>
              <w:t>0</w:t>
            </w:r>
          </w:p>
        </w:tc>
        <w:tc>
          <w:tcPr>
            <w:tcW w:w="656" w:type="dxa"/>
            <w:vAlign w:val="center"/>
          </w:tcPr>
          <w:p>
            <w:pPr>
              <w:jc w:val="center"/>
              <w:rPr>
                <w:rFonts w:ascii="Arial"/>
                <w:sz w:val="21"/>
              </w:rPr>
            </w:pPr>
            <w:r>
              <w:rPr>
                <w:rFonts w:hint="eastAsia" w:eastAsia="宋体"/>
                <w:sz w:val="21"/>
                <w:lang w:val="en-US" w:eastAsia="zh-CN"/>
              </w:rPr>
              <w:t>0</w:t>
            </w:r>
          </w:p>
        </w:tc>
        <w:tc>
          <w:tcPr>
            <w:tcW w:w="655" w:type="dxa"/>
            <w:vAlign w:val="center"/>
          </w:tcPr>
          <w:p>
            <w:pPr>
              <w:jc w:val="center"/>
              <w:rPr>
                <w:rFonts w:ascii="Arial"/>
                <w:sz w:val="21"/>
              </w:rPr>
            </w:pPr>
            <w:r>
              <w:rPr>
                <w:rFonts w:hint="eastAsia" w:eastAsia="宋体"/>
                <w:sz w:val="21"/>
                <w:lang w:val="en-US" w:eastAsia="zh-CN"/>
              </w:rPr>
              <w:t>0</w:t>
            </w:r>
          </w:p>
        </w:tc>
        <w:tc>
          <w:tcPr>
            <w:tcW w:w="665" w:type="dxa"/>
            <w:vAlign w:val="center"/>
          </w:tcPr>
          <w:p>
            <w:pPr>
              <w:jc w:val="center"/>
              <w:rPr>
                <w:rFonts w:ascii="Arial"/>
                <w:sz w:val="21"/>
              </w:rPr>
            </w:pPr>
            <w:r>
              <w:rPr>
                <w:rFonts w:hint="eastAsia" w:eastAsia="宋体"/>
                <w:sz w:val="21"/>
                <w:lang w:val="en-US" w:eastAsia="zh-CN"/>
              </w:rPr>
              <w:t>0</w:t>
            </w:r>
          </w:p>
        </w:tc>
        <w:tc>
          <w:tcPr>
            <w:tcW w:w="650" w:type="dxa"/>
            <w:vAlign w:val="center"/>
          </w:tcPr>
          <w:p>
            <w:pPr>
              <w:jc w:val="center"/>
              <w:rPr>
                <w:rFonts w:ascii="Arial"/>
                <w:sz w:val="21"/>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188" w:type="dxa"/>
            <w:gridSpan w:val="3"/>
            <w:vAlign w:val="top"/>
          </w:tcPr>
          <w:p>
            <w:pPr>
              <w:spacing w:before="68" w:line="219" w:lineRule="auto"/>
              <w:ind w:left="105"/>
              <w:rPr>
                <w:rFonts w:ascii="宋体" w:hAnsi="宋体" w:eastAsia="宋体" w:cs="宋体"/>
                <w:sz w:val="20"/>
                <w:szCs w:val="20"/>
              </w:rPr>
            </w:pPr>
            <w:r>
              <w:rPr>
                <w:rFonts w:ascii="宋体" w:hAnsi="宋体" w:eastAsia="宋体" w:cs="宋体"/>
                <w:sz w:val="20"/>
                <w:szCs w:val="20"/>
              </w:rPr>
              <w:t>四、结转下年度继续办理</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6"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65"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keepLines w:val="0"/>
        <w:pageBreakBefore w:val="0"/>
        <w:wordWrap/>
        <w:overflowPunct/>
        <w:topLinePunct w:val="0"/>
        <w:bidi w:val="0"/>
        <w:adjustRightInd w:val="0"/>
        <w:spacing w:before="101" w:afterAutospacing="0" w:line="560" w:lineRule="exact"/>
        <w:ind w:left="640"/>
        <w:textAlignment w:val="auto"/>
        <w:outlineLvl w:val="9"/>
        <w:rPr>
          <w:rFonts w:ascii="Arial"/>
          <w:sz w:val="2"/>
        </w:rPr>
      </w:pPr>
      <w:r>
        <w:rPr>
          <w:rFonts w:ascii="黑体" w:hAnsi="黑体" w:eastAsia="黑体" w:cs="黑体"/>
          <w:b w:val="0"/>
          <w:bCs w:val="0"/>
          <w:spacing w:val="2"/>
          <w:sz w:val="32"/>
          <w:szCs w:val="32"/>
        </w:rPr>
        <w:t>四 、政府信息公开行政复议、行政诉讼情况</w:t>
      </w:r>
    </w:p>
    <w:tbl>
      <w:tblPr>
        <w:tblStyle w:val="10"/>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2" w:type="dxa"/>
            <w:gridSpan w:val="5"/>
            <w:vAlign w:val="top"/>
          </w:tcPr>
          <w:p>
            <w:pPr>
              <w:keepLines w:val="0"/>
              <w:pageBreakBefore w:val="0"/>
              <w:wordWrap/>
              <w:overflowPunct/>
              <w:topLinePunct w:val="0"/>
              <w:bidi w:val="0"/>
              <w:adjustRightInd w:val="0"/>
              <w:spacing w:before="64" w:afterAutospacing="0" w:line="560" w:lineRule="exact"/>
              <w:ind w:left="1025"/>
              <w:textAlignment w:val="auto"/>
              <w:outlineLvl w:val="9"/>
              <w:rPr>
                <w:rFonts w:ascii="宋体" w:hAnsi="宋体" w:eastAsia="宋体" w:cs="宋体"/>
                <w:sz w:val="21"/>
                <w:szCs w:val="21"/>
              </w:rPr>
            </w:pPr>
            <w:r>
              <w:rPr>
                <w:rFonts w:ascii="宋体" w:hAnsi="宋体" w:eastAsia="宋体" w:cs="宋体"/>
                <w:spacing w:val="2"/>
                <w:sz w:val="21"/>
                <w:szCs w:val="21"/>
              </w:rPr>
              <w:t>行政复议</w:t>
            </w:r>
          </w:p>
        </w:tc>
        <w:tc>
          <w:tcPr>
            <w:tcW w:w="5817" w:type="dxa"/>
            <w:gridSpan w:val="10"/>
            <w:vAlign w:val="top"/>
          </w:tcPr>
          <w:p>
            <w:pPr>
              <w:keepLines w:val="0"/>
              <w:pageBreakBefore w:val="0"/>
              <w:wordWrap/>
              <w:overflowPunct/>
              <w:topLinePunct w:val="0"/>
              <w:bidi w:val="0"/>
              <w:adjustRightInd w:val="0"/>
              <w:spacing w:before="64" w:afterAutospacing="0" w:line="560" w:lineRule="exact"/>
              <w:ind w:left="2483"/>
              <w:textAlignment w:val="auto"/>
              <w:outlineLvl w:val="9"/>
              <w:rPr>
                <w:rFonts w:ascii="宋体" w:hAnsi="宋体" w:eastAsia="宋体" w:cs="宋体"/>
                <w:sz w:val="21"/>
                <w:szCs w:val="21"/>
              </w:rPr>
            </w:pPr>
            <w:r>
              <w:rPr>
                <w:rFonts w:ascii="宋体" w:hAnsi="宋体" w:eastAsia="宋体" w:cs="宋体"/>
                <w:spacing w:val="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keepLines w:val="0"/>
              <w:pageBreakBefore w:val="0"/>
              <w:wordWrap/>
              <w:overflowPunct/>
              <w:topLinePunct w:val="0"/>
              <w:bidi w:val="0"/>
              <w:adjustRightInd w:val="0"/>
              <w:spacing w:before="232" w:afterAutospacing="0" w:line="560" w:lineRule="exact"/>
              <w:ind w:left="75" w:right="66"/>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Merge w:val="restart"/>
            <w:tcBorders>
              <w:bottom w:val="nil"/>
            </w:tcBorders>
            <w:vAlign w:val="top"/>
          </w:tcPr>
          <w:p>
            <w:pPr>
              <w:keepLines w:val="0"/>
              <w:pageBreakBefore w:val="0"/>
              <w:wordWrap/>
              <w:overflowPunct/>
              <w:topLinePunct w:val="0"/>
              <w:bidi w:val="0"/>
              <w:adjustRightInd w:val="0"/>
              <w:spacing w:before="221" w:afterAutospacing="0" w:line="560" w:lineRule="exact"/>
              <w:ind w:left="70" w:right="66"/>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79" w:type="dxa"/>
            <w:vMerge w:val="restart"/>
            <w:tcBorders>
              <w:bottom w:val="nil"/>
            </w:tcBorders>
            <w:vAlign w:val="top"/>
          </w:tcPr>
          <w:p>
            <w:pPr>
              <w:keepLines w:val="0"/>
              <w:pageBreakBefore w:val="0"/>
              <w:wordWrap/>
              <w:overflowPunct/>
              <w:topLinePunct w:val="0"/>
              <w:bidi w:val="0"/>
              <w:adjustRightInd w:val="0"/>
              <w:spacing w:before="222" w:afterAutospacing="0" w:line="560" w:lineRule="exact"/>
              <w:ind w:left="91" w:right="45"/>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Merge w:val="restart"/>
            <w:tcBorders>
              <w:bottom w:val="nil"/>
            </w:tcBorders>
            <w:vAlign w:val="top"/>
          </w:tcPr>
          <w:p>
            <w:pPr>
              <w:keepLines w:val="0"/>
              <w:pageBreakBefore w:val="0"/>
              <w:wordWrap/>
              <w:overflowPunct/>
              <w:topLinePunct w:val="0"/>
              <w:bidi w:val="0"/>
              <w:adjustRightInd w:val="0"/>
              <w:spacing w:before="241" w:afterAutospacing="0" w:line="560" w:lineRule="exact"/>
              <w:ind w:left="102" w:right="34"/>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90" w:type="dxa"/>
            <w:vMerge w:val="restart"/>
            <w:tcBorders>
              <w:bottom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p>
            <w:pPr>
              <w:keepLines w:val="0"/>
              <w:pageBreakBefore w:val="0"/>
              <w:wordWrap/>
              <w:overflowPunct/>
              <w:topLinePunct w:val="0"/>
              <w:bidi w:val="0"/>
              <w:adjustRightInd w:val="0"/>
              <w:spacing w:before="68" w:afterAutospacing="0" w:line="560" w:lineRule="exact"/>
              <w:ind w:left="93"/>
              <w:textAlignment w:val="auto"/>
              <w:outlineLvl w:val="9"/>
              <w:rPr>
                <w:rFonts w:ascii="宋体" w:hAnsi="宋体" w:eastAsia="宋体" w:cs="宋体"/>
                <w:sz w:val="21"/>
                <w:szCs w:val="21"/>
              </w:rPr>
            </w:pPr>
            <w:r>
              <w:rPr>
                <w:rFonts w:ascii="宋体" w:hAnsi="宋体" w:eastAsia="宋体" w:cs="宋体"/>
                <w:spacing w:val="4"/>
                <w:sz w:val="21"/>
                <w:szCs w:val="21"/>
              </w:rPr>
              <w:t>总计</w:t>
            </w:r>
          </w:p>
        </w:tc>
        <w:tc>
          <w:tcPr>
            <w:tcW w:w="2906" w:type="dxa"/>
            <w:gridSpan w:val="5"/>
            <w:vAlign w:val="top"/>
          </w:tcPr>
          <w:p>
            <w:pPr>
              <w:keepLines w:val="0"/>
              <w:pageBreakBefore w:val="0"/>
              <w:wordWrap/>
              <w:overflowPunct/>
              <w:topLinePunct w:val="0"/>
              <w:bidi w:val="0"/>
              <w:adjustRightInd w:val="0"/>
              <w:spacing w:before="51" w:afterAutospacing="0" w:line="560" w:lineRule="exact"/>
              <w:ind w:left="603"/>
              <w:textAlignment w:val="auto"/>
              <w:outlineLvl w:val="9"/>
              <w:rPr>
                <w:rFonts w:ascii="宋体" w:hAnsi="宋体" w:eastAsia="宋体" w:cs="宋体"/>
                <w:sz w:val="21"/>
                <w:szCs w:val="21"/>
              </w:rPr>
            </w:pPr>
            <w:r>
              <w:rPr>
                <w:rFonts w:ascii="宋体" w:hAnsi="宋体" w:eastAsia="宋体" w:cs="宋体"/>
                <w:spacing w:val="1"/>
                <w:sz w:val="21"/>
                <w:szCs w:val="21"/>
              </w:rPr>
              <w:t>未经复议直接起诉</w:t>
            </w:r>
          </w:p>
        </w:tc>
        <w:tc>
          <w:tcPr>
            <w:tcW w:w="2911" w:type="dxa"/>
            <w:gridSpan w:val="5"/>
            <w:vAlign w:val="top"/>
          </w:tcPr>
          <w:p>
            <w:pPr>
              <w:keepLines w:val="0"/>
              <w:pageBreakBefore w:val="0"/>
              <w:wordWrap/>
              <w:overflowPunct/>
              <w:topLinePunct w:val="0"/>
              <w:bidi w:val="0"/>
              <w:adjustRightInd w:val="0"/>
              <w:spacing w:before="51" w:afterAutospacing="0" w:line="560" w:lineRule="exact"/>
              <w:ind w:left="927"/>
              <w:textAlignment w:val="auto"/>
              <w:outlineLvl w:val="9"/>
              <w:rPr>
                <w:rFonts w:ascii="宋体" w:hAnsi="宋体" w:eastAsia="宋体" w:cs="宋体"/>
                <w:sz w:val="21"/>
                <w:szCs w:val="21"/>
              </w:rPr>
            </w:pPr>
            <w:r>
              <w:rPr>
                <w:rFonts w:ascii="宋体" w:hAnsi="宋体" w:eastAsia="宋体" w:cs="宋体"/>
                <w:spacing w:val="1"/>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80"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7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79"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90" w:type="dxa"/>
            <w:vMerge w:val="continue"/>
            <w:tcBorders>
              <w:top w:val="nil"/>
            </w:tcBorders>
            <w:vAlign w:val="top"/>
          </w:tcPr>
          <w:p>
            <w:pPr>
              <w:keepLines w:val="0"/>
              <w:pageBreakBefore w:val="0"/>
              <w:wordWrap/>
              <w:overflowPunct/>
              <w:topLinePunct w:val="0"/>
              <w:bidi w:val="0"/>
              <w:adjustRightInd w:val="0"/>
              <w:spacing w:afterAutospacing="0" w:line="560" w:lineRule="exact"/>
              <w:textAlignment w:val="auto"/>
              <w:outlineLvl w:val="9"/>
              <w:rPr>
                <w:rFonts w:ascii="Arial"/>
                <w:sz w:val="21"/>
              </w:rPr>
            </w:pPr>
          </w:p>
        </w:tc>
        <w:tc>
          <w:tcPr>
            <w:tcW w:w="589" w:type="dxa"/>
            <w:vAlign w:val="top"/>
          </w:tcPr>
          <w:p>
            <w:pPr>
              <w:keepLines w:val="0"/>
              <w:pageBreakBefore w:val="0"/>
              <w:wordWrap/>
              <w:overflowPunct/>
              <w:topLinePunct w:val="0"/>
              <w:bidi w:val="0"/>
              <w:adjustRightInd w:val="0"/>
              <w:spacing w:before="83" w:afterAutospacing="0" w:line="560" w:lineRule="exact"/>
              <w:ind w:left="33" w:right="113"/>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79" w:type="dxa"/>
            <w:vAlign w:val="top"/>
          </w:tcPr>
          <w:p>
            <w:pPr>
              <w:keepLines w:val="0"/>
              <w:pageBreakBefore w:val="0"/>
              <w:wordWrap/>
              <w:overflowPunct/>
              <w:topLinePunct w:val="0"/>
              <w:bidi w:val="0"/>
              <w:adjustRightInd w:val="0"/>
              <w:spacing w:before="83" w:afterAutospacing="0" w:line="560" w:lineRule="exact"/>
              <w:ind w:left="74" w:right="62"/>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0" w:type="dxa"/>
            <w:vAlign w:val="top"/>
          </w:tcPr>
          <w:p>
            <w:pPr>
              <w:keepLines w:val="0"/>
              <w:pageBreakBefore w:val="0"/>
              <w:wordWrap/>
              <w:overflowPunct/>
              <w:topLinePunct w:val="0"/>
              <w:bidi w:val="0"/>
              <w:adjustRightInd w:val="0"/>
              <w:spacing w:before="72" w:afterAutospacing="0" w:line="560" w:lineRule="exact"/>
              <w:ind w:left="74" w:right="62"/>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Align w:val="top"/>
          </w:tcPr>
          <w:p>
            <w:pPr>
              <w:keepLines w:val="0"/>
              <w:pageBreakBefore w:val="0"/>
              <w:wordWrap/>
              <w:overflowPunct/>
              <w:topLinePunct w:val="0"/>
              <w:bidi w:val="0"/>
              <w:adjustRightInd w:val="0"/>
              <w:spacing w:before="73" w:afterAutospacing="0" w:line="560" w:lineRule="exact"/>
              <w:ind w:left="105" w:right="31"/>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9" w:type="dxa"/>
            <w:vAlign w:val="top"/>
          </w:tcPr>
          <w:p>
            <w:pPr>
              <w:keepLines w:val="0"/>
              <w:pageBreakBefore w:val="0"/>
              <w:wordWrap/>
              <w:overflowPunct/>
              <w:topLinePunct w:val="0"/>
              <w:bidi w:val="0"/>
              <w:adjustRightInd w:val="0"/>
              <w:spacing w:before="213" w:afterAutospacing="0" w:line="560" w:lineRule="exact"/>
              <w:ind w:left="95"/>
              <w:textAlignment w:val="auto"/>
              <w:outlineLvl w:val="9"/>
              <w:rPr>
                <w:rFonts w:ascii="宋体" w:hAnsi="宋体" w:eastAsia="宋体" w:cs="宋体"/>
                <w:sz w:val="21"/>
                <w:szCs w:val="21"/>
              </w:rPr>
            </w:pPr>
            <w:r>
              <w:rPr>
                <w:rFonts w:ascii="宋体" w:hAnsi="宋体" w:eastAsia="宋体" w:cs="宋体"/>
                <w:spacing w:val="4"/>
                <w:sz w:val="21"/>
                <w:szCs w:val="21"/>
              </w:rPr>
              <w:t>总计</w:t>
            </w:r>
          </w:p>
        </w:tc>
        <w:tc>
          <w:tcPr>
            <w:tcW w:w="579" w:type="dxa"/>
            <w:vAlign w:val="top"/>
          </w:tcPr>
          <w:p>
            <w:pPr>
              <w:keepLines w:val="0"/>
              <w:pageBreakBefore w:val="0"/>
              <w:wordWrap/>
              <w:overflowPunct/>
              <w:topLinePunct w:val="0"/>
              <w:bidi w:val="0"/>
              <w:adjustRightInd w:val="0"/>
              <w:spacing w:before="72" w:afterAutospacing="0" w:line="560" w:lineRule="exact"/>
              <w:ind w:left="76" w:right="59"/>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Align w:val="top"/>
          </w:tcPr>
          <w:p>
            <w:pPr>
              <w:keepLines w:val="0"/>
              <w:pageBreakBefore w:val="0"/>
              <w:wordWrap/>
              <w:overflowPunct/>
              <w:topLinePunct w:val="0"/>
              <w:bidi w:val="0"/>
              <w:adjustRightInd w:val="0"/>
              <w:spacing w:before="73" w:afterAutospacing="0" w:line="560" w:lineRule="exact"/>
              <w:ind w:left="77" w:right="59"/>
              <w:textAlignment w:val="auto"/>
              <w:outlineLvl w:val="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9" w:type="dxa"/>
            <w:vAlign w:val="top"/>
          </w:tcPr>
          <w:p>
            <w:pPr>
              <w:keepLines w:val="0"/>
              <w:pageBreakBefore w:val="0"/>
              <w:wordWrap/>
              <w:overflowPunct/>
              <w:topLinePunct w:val="0"/>
              <w:bidi w:val="0"/>
              <w:adjustRightInd w:val="0"/>
              <w:spacing w:before="73" w:afterAutospacing="0" w:line="560" w:lineRule="exact"/>
              <w:ind w:left="78" w:right="68"/>
              <w:textAlignment w:val="auto"/>
              <w:outlineLvl w:val="9"/>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89" w:type="dxa"/>
            <w:vAlign w:val="top"/>
          </w:tcPr>
          <w:p>
            <w:pPr>
              <w:keepLines w:val="0"/>
              <w:pageBreakBefore w:val="0"/>
              <w:wordWrap/>
              <w:overflowPunct/>
              <w:topLinePunct w:val="0"/>
              <w:bidi w:val="0"/>
              <w:adjustRightInd w:val="0"/>
              <w:spacing w:before="73" w:afterAutospacing="0" w:line="560" w:lineRule="exact"/>
              <w:ind w:left="79" w:right="67"/>
              <w:textAlignment w:val="auto"/>
              <w:outlineLvl w:val="9"/>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4" w:type="dxa"/>
            <w:vAlign w:val="top"/>
          </w:tcPr>
          <w:p>
            <w:pPr>
              <w:keepLines w:val="0"/>
              <w:pageBreakBefore w:val="0"/>
              <w:wordWrap/>
              <w:overflowPunct/>
              <w:topLinePunct w:val="0"/>
              <w:bidi w:val="0"/>
              <w:adjustRightInd w:val="0"/>
              <w:spacing w:before="213" w:afterAutospacing="0" w:line="560" w:lineRule="exact"/>
              <w:ind w:left="70"/>
              <w:textAlignment w:val="auto"/>
              <w:outlineLvl w:val="9"/>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4" w:type="dxa"/>
            <w:vAlign w:val="top"/>
          </w:tcPr>
          <w:p>
            <w:pPr>
              <w:keepLines w:val="0"/>
              <w:pageBreakBefore w:val="0"/>
              <w:wordWrap/>
              <w:overflowPunct/>
              <w:topLinePunct w:val="0"/>
              <w:bidi w:val="0"/>
              <w:adjustRightInd w:val="0"/>
              <w:spacing w:afterAutospacing="0" w:line="560" w:lineRule="exact"/>
              <w:ind w:firstLine="354"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24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90" w:type="dxa"/>
            <w:vAlign w:val="top"/>
          </w:tcPr>
          <w:p>
            <w:pPr>
              <w:keepLines w:val="0"/>
              <w:pageBreakBefore w:val="0"/>
              <w:wordWrap/>
              <w:overflowPunct/>
              <w:topLinePunct w:val="0"/>
              <w:bidi w:val="0"/>
              <w:adjustRightInd w:val="0"/>
              <w:spacing w:afterAutospacing="0" w:line="560" w:lineRule="exact"/>
              <w:ind w:firstLine="394"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ind w:firstLine="29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306"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327" w:firstLineChars="0"/>
              <w:textAlignment w:val="auto"/>
              <w:outlineLvl w:val="9"/>
              <w:rPr>
                <w:rFonts w:hint="default" w:ascii="Arial" w:eastAsia="宋体"/>
                <w:sz w:val="21"/>
                <w:lang w:val="en-US" w:eastAsia="zh-CN"/>
              </w:rPr>
            </w:pPr>
            <w:r>
              <w:rPr>
                <w:rFonts w:hint="eastAsia" w:eastAsia="宋体"/>
                <w:sz w:val="21"/>
                <w:lang w:val="en-US" w:eastAsia="zh-CN"/>
              </w:rPr>
              <w:t>0</w:t>
            </w:r>
          </w:p>
        </w:tc>
        <w:tc>
          <w:tcPr>
            <w:tcW w:w="579" w:type="dxa"/>
            <w:vAlign w:val="top"/>
          </w:tcPr>
          <w:p>
            <w:pPr>
              <w:keepLines w:val="0"/>
              <w:pageBreakBefore w:val="0"/>
              <w:wordWrap/>
              <w:overflowPunct/>
              <w:topLinePunct w:val="0"/>
              <w:bidi w:val="0"/>
              <w:adjustRightInd w:val="0"/>
              <w:spacing w:afterAutospacing="0" w:line="560" w:lineRule="exact"/>
              <w:ind w:firstLine="292"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0" w:type="dxa"/>
            <w:vAlign w:val="top"/>
          </w:tcPr>
          <w:p>
            <w:pPr>
              <w:keepLines w:val="0"/>
              <w:pageBreakBefore w:val="0"/>
              <w:wordWrap/>
              <w:overflowPunct/>
              <w:topLinePunct w:val="0"/>
              <w:bidi w:val="0"/>
              <w:adjustRightInd w:val="0"/>
              <w:spacing w:afterAutospacing="0" w:line="560" w:lineRule="exact"/>
              <w:ind w:firstLine="313" w:firstLineChars="0"/>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89" w:type="dxa"/>
            <w:vAlign w:val="top"/>
          </w:tcPr>
          <w:p>
            <w:pPr>
              <w:keepLines w:val="0"/>
              <w:pageBreakBefore w:val="0"/>
              <w:wordWrap/>
              <w:overflowPunct/>
              <w:topLinePunct w:val="0"/>
              <w:bidi w:val="0"/>
              <w:adjustRightInd w:val="0"/>
              <w:spacing w:afterAutospacing="0" w:line="560" w:lineRule="exact"/>
              <w:jc w:val="center"/>
              <w:textAlignment w:val="auto"/>
              <w:outlineLvl w:val="9"/>
              <w:rPr>
                <w:rFonts w:hint="eastAsia" w:ascii="Arial" w:eastAsia="宋体"/>
                <w:sz w:val="21"/>
                <w:lang w:val="en-US" w:eastAsia="zh-CN"/>
              </w:rPr>
            </w:pPr>
            <w:r>
              <w:rPr>
                <w:rFonts w:hint="eastAsia" w:eastAsia="宋体"/>
                <w:sz w:val="21"/>
                <w:lang w:val="en-US" w:eastAsia="zh-CN"/>
              </w:rPr>
              <w:t>0</w:t>
            </w:r>
          </w:p>
        </w:tc>
        <w:tc>
          <w:tcPr>
            <w:tcW w:w="574" w:type="dxa"/>
            <w:vAlign w:val="top"/>
          </w:tcPr>
          <w:p>
            <w:pPr>
              <w:keepLines w:val="0"/>
              <w:pageBreakBefore w:val="0"/>
              <w:wordWrap/>
              <w:overflowPunct/>
              <w:topLinePunct w:val="0"/>
              <w:bidi w:val="0"/>
              <w:adjustRightInd w:val="0"/>
              <w:spacing w:afterAutospacing="0" w:line="560" w:lineRule="exact"/>
              <w:ind w:firstLine="336" w:firstLineChars="0"/>
              <w:textAlignment w:val="auto"/>
              <w:outlineLvl w:val="9"/>
              <w:rPr>
                <w:rFonts w:hint="eastAsia" w:ascii="Arial" w:eastAsia="宋体"/>
                <w:sz w:val="21"/>
                <w:lang w:val="en-US" w:eastAsia="zh-CN"/>
              </w:rPr>
            </w:pPr>
            <w:r>
              <w:rPr>
                <w:rFonts w:hint="eastAsia" w:eastAsia="宋体"/>
                <w:sz w:val="21"/>
                <w:lang w:val="en-US" w:eastAsia="zh-CN"/>
              </w:rPr>
              <w:t>0</w:t>
            </w:r>
          </w:p>
        </w:tc>
      </w:tr>
    </w:tbl>
    <w:p>
      <w:pPr>
        <w:keepLines w:val="0"/>
        <w:pageBreakBefore w:val="0"/>
        <w:wordWrap/>
        <w:overflowPunct/>
        <w:topLinePunct w:val="0"/>
        <w:bidi w:val="0"/>
        <w:adjustRightInd w:val="0"/>
        <w:spacing w:before="101" w:afterAutospacing="0" w:line="560" w:lineRule="exact"/>
        <w:ind w:left="640"/>
        <w:textAlignment w:val="auto"/>
        <w:outlineLvl w:val="9"/>
        <w:rPr>
          <w:rFonts w:ascii="黑体" w:hAnsi="黑体" w:eastAsia="黑体" w:cs="黑体"/>
          <w:b w:val="0"/>
          <w:bCs w:val="0"/>
          <w:spacing w:val="2"/>
          <w:sz w:val="32"/>
          <w:szCs w:val="32"/>
        </w:rPr>
      </w:pPr>
      <w:r>
        <w:rPr>
          <w:rFonts w:ascii="黑体" w:hAnsi="黑体" w:eastAsia="黑体" w:cs="黑体"/>
          <w:b w:val="0"/>
          <w:bCs w:val="0"/>
          <w:spacing w:val="2"/>
          <w:sz w:val="32"/>
          <w:szCs w:val="32"/>
        </w:rPr>
        <w:t>五、存在的主要问题及改进情况</w:t>
      </w:r>
    </w:p>
    <w:p>
      <w:pPr>
        <w:keepLines w:val="0"/>
        <w:pageBreakBefore w:val="0"/>
        <w:widowControl w:val="0"/>
        <w:numPr>
          <w:ilvl w:val="0"/>
          <w:numId w:val="3"/>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存在问题</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1.政务公开工作规范程序意识有待加强，对群众的意见重视不够、研究不够。</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2.政府公开的信息内容和质量还有待提高。</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3.政务信息公开相关知识培训有待加强。</w:t>
      </w:r>
    </w:p>
    <w:p>
      <w:pPr>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1.强化意识规范程序，进一步转变思想观念，不断提高信息公开意识和服务意识。工作中严格依规办事，及时有效地公开政府信息，确保政府信息全面地公开。</w:t>
      </w:r>
    </w:p>
    <w:p>
      <w:pPr>
        <w:keepLines w:val="0"/>
        <w:pageBreakBefore w:val="0"/>
        <w:kinsoku/>
        <w:wordWrap/>
        <w:overflowPunct/>
        <w:topLinePunct w:val="0"/>
        <w:autoSpaceDE/>
        <w:autoSpaceDN/>
        <w:bidi w:val="0"/>
        <w:adjustRightInd w:val="0"/>
        <w:snapToGrid/>
        <w:spacing w:afterAutospacing="0" w:line="560" w:lineRule="exact"/>
        <w:ind w:firstLine="640" w:firstLineChars="200"/>
        <w:textAlignment w:val="auto"/>
        <w:outlineLvl w:val="9"/>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2.加强对政务公开信息的审核力度，落实信息公开审核制度，同时安排专人对已经发布的信息进行逐项排查</w:t>
      </w:r>
      <w:r>
        <w:rPr>
          <w:rFonts w:hint="eastAsia" w:ascii="仿宋_GB2312" w:hAnsi="宋体" w:eastAsia="仿宋_GB2312" w:cs="仿宋_GB2312"/>
          <w:i w:val="0"/>
          <w:iCs w:val="0"/>
          <w:caps w:val="0"/>
          <w:color w:val="000000"/>
          <w:spacing w:val="0"/>
          <w:sz w:val="32"/>
          <w:szCs w:val="32"/>
        </w:rPr>
        <w:t>。</w:t>
      </w:r>
    </w:p>
    <w:p>
      <w:pPr>
        <w:keepLines w:val="0"/>
        <w:pageBreakBefore w:val="0"/>
        <w:kinsoku/>
        <w:wordWrap/>
        <w:overflowPunct/>
        <w:topLinePunct w:val="0"/>
        <w:autoSpaceDE/>
        <w:autoSpaceDN/>
        <w:bidi w:val="0"/>
        <w:adjustRightInd w:val="0"/>
        <w:snapToGrid/>
        <w:spacing w:afterAutospacing="0" w:line="560" w:lineRule="exact"/>
        <w:ind w:firstLine="640" w:firstLineChars="200"/>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lang w:val="en-US" w:eastAsia="zh-CN"/>
        </w:rPr>
        <w:t>3.加强信息公开工作培训，努力使信息公开工作培训覆盖全体干部职工，</w:t>
      </w:r>
      <w:r>
        <w:rPr>
          <w:rFonts w:hint="eastAsia" w:ascii="仿宋_GB2312" w:hAnsi="仿宋_GB2312" w:eastAsia="仿宋_GB2312" w:cs="仿宋_GB2312"/>
          <w:b w:val="0"/>
          <w:bCs w:val="0"/>
          <w:kern w:val="2"/>
          <w:sz w:val="32"/>
          <w:szCs w:val="32"/>
          <w:lang w:val="en-US" w:eastAsia="zh-CN" w:bidi="ar-SA"/>
        </w:rPr>
        <w:t>确保各科室工作人员能将各自负责的业务与政务公开密切结合。</w:t>
      </w:r>
    </w:p>
    <w:p>
      <w:pPr>
        <w:keepLines w:val="0"/>
        <w:pageBreakBefore w:val="0"/>
        <w:wordWrap/>
        <w:overflowPunct/>
        <w:topLinePunct w:val="0"/>
        <w:bidi w:val="0"/>
        <w:adjustRightInd w:val="0"/>
        <w:spacing w:before="101" w:afterAutospacing="0" w:line="560" w:lineRule="exact"/>
        <w:ind w:left="640"/>
        <w:textAlignment w:val="auto"/>
        <w:outlineLvl w:val="9"/>
        <w:rPr>
          <w:rFonts w:ascii="黑体" w:hAnsi="黑体" w:eastAsia="黑体" w:cs="黑体"/>
          <w:b w:val="0"/>
          <w:bCs w:val="0"/>
          <w:spacing w:val="2"/>
          <w:sz w:val="32"/>
          <w:szCs w:val="32"/>
        </w:rPr>
      </w:pPr>
      <w:r>
        <w:rPr>
          <w:rFonts w:ascii="黑体" w:hAnsi="黑体" w:eastAsia="黑体" w:cs="黑体"/>
          <w:b w:val="0"/>
          <w:bCs w:val="0"/>
          <w:spacing w:val="2"/>
          <w:sz w:val="32"/>
          <w:szCs w:val="32"/>
        </w:rPr>
        <w:t>六、其他需要报告的事项</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keepNext/>
        <w:keepLines w:val="0"/>
        <w:pageBreakBefore w:val="0"/>
        <w:widowControl w:val="0"/>
        <w:numPr>
          <w:ilvl w:val="0"/>
          <w:numId w:val="0"/>
        </w:numPr>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年度，我单位未收取政府信息公开信息处理费。</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年度，我单位收到政协提案0件。</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（三）创新举措及相关情况</w:t>
      </w:r>
    </w:p>
    <w:p>
      <w:pPr>
        <w:pStyle w:val="5"/>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举办政府开放日活动2次。</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（四）落实年度政务公开相关情况</w:t>
      </w: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2022年初制定中庄镇政务公开工作实施方案，上传政务公开信息3条。</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0" w:firstLineChars="200"/>
        <w:jc w:val="left"/>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Style w:val="2"/>
        <w:rPr>
          <w:rFonts w:hint="eastAsia"/>
          <w:lang w:val="en-US" w:eastAsia="zh-CN"/>
        </w:rPr>
      </w:pPr>
    </w:p>
    <w:p>
      <w:pPr>
        <w:keepLines w:val="0"/>
        <w:pageBreakBefore w:val="0"/>
        <w:widowControl w:val="0"/>
        <w:kinsoku/>
        <w:wordWrap/>
        <w:overflowPunct/>
        <w:topLinePunct w:val="0"/>
        <w:autoSpaceDE/>
        <w:autoSpaceDN/>
        <w:bidi w:val="0"/>
        <w:adjustRightInd w:val="0"/>
        <w:snapToGrid/>
        <w:spacing w:afterAutospacing="0" w:line="560" w:lineRule="exact"/>
        <w:textAlignment w:val="auto"/>
        <w:outlineLvl w:val="9"/>
        <w:rPr>
          <w:rFonts w:hint="eastAsia" w:ascii="仿宋_GB2312" w:hAnsi="仿宋_GB2312" w:eastAsia="仿宋_GB2312" w:cs="仿宋_GB2312"/>
          <w:b w:val="0"/>
          <w:bCs w:val="0"/>
          <w:kern w:val="2"/>
          <w:sz w:val="32"/>
          <w:szCs w:val="32"/>
          <w:lang w:val="en-US" w:eastAsia="zh-CN" w:bidi="ar-SA"/>
        </w:rPr>
      </w:pPr>
    </w:p>
    <w:p>
      <w:pPr>
        <w:keepLines w:val="0"/>
        <w:pageBreakBefore w:val="0"/>
        <w:widowControl w:val="0"/>
        <w:kinsoku/>
        <w:wordWrap/>
        <w:overflowPunct/>
        <w:topLinePunct w:val="0"/>
        <w:autoSpaceDE/>
        <w:autoSpaceDN/>
        <w:bidi w:val="0"/>
        <w:adjustRightInd w:val="0"/>
        <w:snapToGrid/>
        <w:spacing w:before="0" w:after="0" w:afterAutospacing="0" w:line="560" w:lineRule="exact"/>
        <w:ind w:firstLine="4160" w:firstLineChars="13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沂源县中庄镇人民政府</w:t>
      </w:r>
    </w:p>
    <w:p>
      <w:pPr>
        <w:keepLines w:val="0"/>
        <w:pageBreakBefore w:val="0"/>
        <w:wordWrap/>
        <w:overflowPunct/>
        <w:topLinePunct w:val="0"/>
        <w:bidi w:val="0"/>
        <w:adjustRightInd w:val="0"/>
        <w:spacing w:before="222" w:afterAutospacing="0" w:line="560" w:lineRule="exact"/>
        <w:ind w:left="594" w:firstLine="4160" w:firstLineChars="1300"/>
        <w:textAlignment w:val="auto"/>
        <w:outlineLvl w:val="9"/>
        <w:rPr>
          <w:rFonts w:ascii="宋体" w:hAnsi="宋体" w:eastAsia="宋体" w:cs="宋体"/>
          <w:sz w:val="30"/>
          <w:szCs w:val="30"/>
        </w:rPr>
      </w:pPr>
      <w:r>
        <w:rPr>
          <w:rFonts w:hint="eastAsia" w:ascii="仿宋_GB2312" w:hAnsi="仿宋_GB2312" w:eastAsia="仿宋_GB2312" w:cs="仿宋_GB2312"/>
          <w:b w:val="0"/>
          <w:bCs w:val="0"/>
          <w:kern w:val="2"/>
          <w:sz w:val="32"/>
          <w:szCs w:val="32"/>
          <w:lang w:val="en-US" w:eastAsia="zh-CN" w:bidi="ar-SA"/>
        </w:rPr>
        <w:t>2023年1月20日</w:t>
      </w:r>
    </w:p>
    <w:sectPr>
      <w:footerReference r:id="rId5" w:type="default"/>
      <w:pgSz w:w="11800" w:h="16730"/>
      <w:pgMar w:top="1422" w:right="1615" w:bottom="1263" w:left="1444" w:header="0" w:footer="100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4"/>
      <w:jc w:val="right"/>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8"/>
                            </w:rPr>
                          </w:pP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28"/>
                      </w:rPr>
                    </w:pP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abstractNum w:abstractNumId="1">
    <w:nsid w:val="F4349442"/>
    <w:multiLevelType w:val="singleLevel"/>
    <w:tmpl w:val="F4349442"/>
    <w:lvl w:ilvl="0" w:tentative="0">
      <w:start w:val="1"/>
      <w:numFmt w:val="chineseCounting"/>
      <w:suff w:val="nothing"/>
      <w:lvlText w:val="（%1）"/>
      <w:lvlJc w:val="left"/>
      <w:rPr>
        <w:rFonts w:hint="eastAsia"/>
      </w:rPr>
    </w:lvl>
  </w:abstractNum>
  <w:abstractNum w:abstractNumId="2">
    <w:nsid w:val="265FCDFD"/>
    <w:multiLevelType w:val="singleLevel"/>
    <w:tmpl w:val="265FCDFD"/>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UwZDNiNmJlYjU2NTA1MmVjMGQxYTk4ZmM5MTE3OWQifQ=="/>
  </w:docVars>
  <w:rsids>
    <w:rsidRoot w:val="00000000"/>
    <w:rsid w:val="02367D41"/>
    <w:rsid w:val="02CB5CDD"/>
    <w:rsid w:val="03E711F0"/>
    <w:rsid w:val="04470429"/>
    <w:rsid w:val="05B80C87"/>
    <w:rsid w:val="05E25786"/>
    <w:rsid w:val="066F65C8"/>
    <w:rsid w:val="0B062150"/>
    <w:rsid w:val="0B106CAC"/>
    <w:rsid w:val="0CBE2E61"/>
    <w:rsid w:val="0E4A0396"/>
    <w:rsid w:val="0F916987"/>
    <w:rsid w:val="0FD11210"/>
    <w:rsid w:val="0FF926FC"/>
    <w:rsid w:val="106959E5"/>
    <w:rsid w:val="10F74FB5"/>
    <w:rsid w:val="14564341"/>
    <w:rsid w:val="173725DA"/>
    <w:rsid w:val="176C3651"/>
    <w:rsid w:val="178B2AE4"/>
    <w:rsid w:val="17C0574B"/>
    <w:rsid w:val="191872F3"/>
    <w:rsid w:val="19BC52AD"/>
    <w:rsid w:val="1A4C3349"/>
    <w:rsid w:val="1C2E60D7"/>
    <w:rsid w:val="1C9D4E9E"/>
    <w:rsid w:val="1DA3702B"/>
    <w:rsid w:val="1FDE14BA"/>
    <w:rsid w:val="21016A73"/>
    <w:rsid w:val="22E83DA8"/>
    <w:rsid w:val="23A77927"/>
    <w:rsid w:val="24111C03"/>
    <w:rsid w:val="25DF6893"/>
    <w:rsid w:val="277B34CF"/>
    <w:rsid w:val="29EF1E14"/>
    <w:rsid w:val="2A06427B"/>
    <w:rsid w:val="2C4A1603"/>
    <w:rsid w:val="2D0A62AC"/>
    <w:rsid w:val="2DAB21A0"/>
    <w:rsid w:val="304A7E50"/>
    <w:rsid w:val="32802A3F"/>
    <w:rsid w:val="32C552E6"/>
    <w:rsid w:val="33732D77"/>
    <w:rsid w:val="35B53A9E"/>
    <w:rsid w:val="37CD35DE"/>
    <w:rsid w:val="3B411826"/>
    <w:rsid w:val="3C493B58"/>
    <w:rsid w:val="3DD10DC4"/>
    <w:rsid w:val="3E0B0C1F"/>
    <w:rsid w:val="3E8135D7"/>
    <w:rsid w:val="4028795E"/>
    <w:rsid w:val="402B30D2"/>
    <w:rsid w:val="415D3A4A"/>
    <w:rsid w:val="47A520E4"/>
    <w:rsid w:val="4A7C3B90"/>
    <w:rsid w:val="4AD3421E"/>
    <w:rsid w:val="4B3045F7"/>
    <w:rsid w:val="4B496CDC"/>
    <w:rsid w:val="4B83098E"/>
    <w:rsid w:val="4B865D88"/>
    <w:rsid w:val="4C520360"/>
    <w:rsid w:val="4F974B6F"/>
    <w:rsid w:val="4FE15C83"/>
    <w:rsid w:val="509C069B"/>
    <w:rsid w:val="52CA7D97"/>
    <w:rsid w:val="544A62FE"/>
    <w:rsid w:val="54510E06"/>
    <w:rsid w:val="54DC1894"/>
    <w:rsid w:val="54EB4EAE"/>
    <w:rsid w:val="54F9309E"/>
    <w:rsid w:val="56207CA6"/>
    <w:rsid w:val="57F66044"/>
    <w:rsid w:val="585A1969"/>
    <w:rsid w:val="58B76156"/>
    <w:rsid w:val="59046094"/>
    <w:rsid w:val="592F51E5"/>
    <w:rsid w:val="5ACD184B"/>
    <w:rsid w:val="5AEB7035"/>
    <w:rsid w:val="5CB32755"/>
    <w:rsid w:val="5D221689"/>
    <w:rsid w:val="62B60CD4"/>
    <w:rsid w:val="62F0588F"/>
    <w:rsid w:val="65063C6D"/>
    <w:rsid w:val="66537858"/>
    <w:rsid w:val="67920A2D"/>
    <w:rsid w:val="6AE12B83"/>
    <w:rsid w:val="6C4038DA"/>
    <w:rsid w:val="6E8470B7"/>
    <w:rsid w:val="6FF173C5"/>
    <w:rsid w:val="702552C0"/>
    <w:rsid w:val="703D6AAE"/>
    <w:rsid w:val="70C035D7"/>
    <w:rsid w:val="716F2578"/>
    <w:rsid w:val="717710F1"/>
    <w:rsid w:val="71ED0060"/>
    <w:rsid w:val="73922C6D"/>
    <w:rsid w:val="76830F93"/>
    <w:rsid w:val="77912090"/>
    <w:rsid w:val="7826722D"/>
    <w:rsid w:val="7C8E531B"/>
    <w:rsid w:val="7DAD6F82"/>
    <w:rsid w:val="7E0C7BA4"/>
    <w:rsid w:val="7F2B0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unhideWhenUsed/>
    <w:qFormat/>
    <w:uiPriority w:val="39"/>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2322</Words>
  <Characters>2435</Characters>
  <TotalTime>0</TotalTime>
  <ScaleCrop>false</ScaleCrop>
  <LinksUpToDate>false</LinksUpToDate>
  <CharactersWithSpaces>2476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2023-01-24T09:14:00Z</dcterms:created>
  <dc:creator>Kingsoft-PDF</dc:creator>
  <cp:lastModifiedBy>大庆</cp:lastModifiedBy>
  <dcterms:modified xsi:type="dcterms:W3CDTF">2024-01-23T04:01:39Z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2023-01-24T09:14:41Z</vt:filetime>
  </property>
  <property fmtid="{D5CDD505-2E9C-101B-9397-08002B2CF9AE}" pid="4" name="UsrData">
    <vt:lpwstr>63cf30f6e817070015df3de9</vt:lpwstr>
  </property>
  <property fmtid="{D5CDD505-2E9C-101B-9397-08002B2CF9AE}" pid="5" name="KSOProductBuildVer">
    <vt:lpwstr>2052-12.1.0.16250</vt:lpwstr>
  </property>
  <property fmtid="{D5CDD505-2E9C-101B-9397-08002B2CF9AE}" pid="6" name="ICV">
    <vt:lpwstr>79BA99A525B44C1689B921ED02541FC2</vt:lpwstr>
  </property>
</Properties>
</file>