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eastAsia="zh-CN"/>
        </w:rPr>
        <w:t>沂源县自然资源局</w:t>
      </w:r>
    </w:p>
    <w:p>
      <w:pPr>
        <w:spacing w:line="560" w:lineRule="exact"/>
        <w:jc w:val="center"/>
        <w:rPr>
          <w:rFonts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val="en-US" w:eastAsia="zh-CN"/>
        </w:rPr>
        <w:t>2020年</w:t>
      </w:r>
      <w:r>
        <w:rPr>
          <w:rFonts w:hint="eastAsia" w:ascii="方正小标宋简体" w:hAnsi="方正小标宋简体" w:eastAsia="方正小标宋简体" w:cs="方正小标宋简体"/>
          <w:b w:val="0"/>
          <w:bCs w:val="0"/>
          <w:sz w:val="44"/>
          <w:szCs w:val="44"/>
          <w:highlight w:val="none"/>
        </w:rPr>
        <w:t>政府信息公开工作年度报告</w:t>
      </w:r>
    </w:p>
    <w:p>
      <w:pPr>
        <w:spacing w:line="560" w:lineRule="exact"/>
        <w:jc w:val="both"/>
        <w:rPr>
          <w:rFonts w:ascii="仿宋_GB2312" w:hAnsi="仿宋_GB2312" w:eastAsia="仿宋_GB2312" w:cs="仿宋_GB2312"/>
          <w:b w:val="0"/>
          <w:bCs w:val="0"/>
          <w:sz w:val="32"/>
          <w:szCs w:val="32"/>
          <w:highlight w:val="none"/>
        </w:rPr>
      </w:pP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rPr>
        <w:t>按照《国务院办公厅政府信息与政务公开办公室关于政府信息公开工作年度报告有关事项的通知》(国办公开办函〔2019〕60号)和《山东省政府信息公开办法》要求，结合</w:t>
      </w:r>
      <w:r>
        <w:rPr>
          <w:rFonts w:hint="eastAsia" w:ascii="仿宋_GB2312" w:hAnsi="仿宋_GB2312" w:eastAsia="仿宋_GB2312" w:cs="仿宋_GB2312"/>
          <w:b w:val="0"/>
          <w:bCs w:val="0"/>
          <w:kern w:val="0"/>
          <w:sz w:val="32"/>
          <w:szCs w:val="32"/>
          <w:highlight w:val="none"/>
          <w:lang w:val="en-US" w:eastAsia="zh-CN" w:bidi="zh-CN"/>
        </w:rPr>
        <w:t>我局信息公开工作实际，现向社会公开2020年度县自然资源</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仿宋_GB2312" w:eastAsia="仿宋_GB2312" w:cs="仿宋_GB2312"/>
          <w:b w:val="0"/>
          <w:bCs w:val="0"/>
          <w:sz w:val="32"/>
          <w:szCs w:val="32"/>
          <w:highlight w:val="none"/>
          <w:lang w:val="en-US"/>
        </w:rPr>
        <w:t>政府信息公开</w:t>
      </w:r>
      <w:r>
        <w:rPr>
          <w:rFonts w:hint="eastAsia" w:ascii="仿宋_GB2312" w:hAnsi="仿宋_GB2312" w:eastAsia="仿宋_GB2312" w:cs="仿宋_GB2312"/>
          <w:b w:val="0"/>
          <w:bCs w:val="0"/>
          <w:sz w:val="32"/>
          <w:szCs w:val="32"/>
          <w:highlight w:val="none"/>
          <w:lang w:val="en-US" w:eastAsia="zh-CN"/>
        </w:rPr>
        <w:t>工作</w:t>
      </w:r>
      <w:r>
        <w:rPr>
          <w:rFonts w:hint="eastAsia" w:ascii="仿宋_GB2312" w:hAnsi="仿宋_GB2312" w:eastAsia="仿宋_GB2312" w:cs="仿宋_GB2312"/>
          <w:b w:val="0"/>
          <w:bCs w:val="0"/>
          <w:sz w:val="32"/>
          <w:szCs w:val="32"/>
          <w:highlight w:val="none"/>
          <w:lang w:val="en-US"/>
        </w:rPr>
        <w:t>年度报告。本报告中所列数据的统计期限自2020年1月1日起至2020年12月31日止。</w:t>
      </w:r>
    </w:p>
    <w:p>
      <w:pPr>
        <w:keepNext w:val="0"/>
        <w:keepLines w:val="0"/>
        <w:pageBreakBefore w:val="0"/>
        <w:numPr>
          <w:numId w:val="0"/>
        </w:numPr>
        <w:tabs>
          <w:tab w:val="left" w:pos="0"/>
        </w:tabs>
        <w:kinsoku/>
        <w:wordWrap/>
        <w:overflowPunct/>
        <w:topLinePunct w:val="0"/>
        <w:autoSpaceDE w:val="0"/>
        <w:autoSpaceDN w:val="0"/>
        <w:bidi w:val="0"/>
        <w:adjustRightInd/>
        <w:snapToGrid/>
        <w:spacing w:line="560" w:lineRule="exact"/>
        <w:ind w:firstLine="640" w:firstLineChars="200"/>
        <w:jc w:val="both"/>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jc w:val="left"/>
        <w:textAlignment w:val="auto"/>
        <w:rPr>
          <w:rFonts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2"/>
          <w:szCs w:val="32"/>
          <w:bdr w:val="none" w:color="auto" w:sz="0" w:space="0"/>
        </w:rPr>
        <w:t>20</w:t>
      </w:r>
      <w:r>
        <w:rPr>
          <w:rFonts w:hint="eastAsia" w:ascii="仿宋_GB2312" w:hAnsi="微软雅黑" w:eastAsia="仿宋_GB2312" w:cs="仿宋_GB2312"/>
          <w:i w:val="0"/>
          <w:caps w:val="0"/>
          <w:color w:val="000000"/>
          <w:spacing w:val="0"/>
          <w:sz w:val="32"/>
          <w:szCs w:val="32"/>
          <w:bdr w:val="none" w:color="auto" w:sz="0" w:space="0"/>
        </w:rPr>
        <w:t>20年，</w:t>
      </w:r>
      <w:r>
        <w:rPr>
          <w:rFonts w:hint="eastAsia" w:ascii="仿宋_GB2312" w:hAnsi="微软雅黑" w:eastAsia="仿宋_GB2312" w:cs="仿宋_GB2312"/>
          <w:i w:val="0"/>
          <w:caps w:val="0"/>
          <w:color w:val="000000"/>
          <w:spacing w:val="0"/>
          <w:sz w:val="32"/>
          <w:szCs w:val="32"/>
          <w:bdr w:val="none" w:color="auto" w:sz="0" w:space="0"/>
          <w:lang w:eastAsia="zh-CN"/>
        </w:rPr>
        <w:t>我局</w:t>
      </w:r>
      <w:r>
        <w:rPr>
          <w:rFonts w:hint="eastAsia" w:ascii="仿宋_GB2312" w:hAnsi="微软雅黑" w:eastAsia="仿宋_GB2312" w:cs="仿宋_GB2312"/>
          <w:i w:val="0"/>
          <w:caps w:val="0"/>
          <w:color w:val="000000"/>
          <w:spacing w:val="0"/>
          <w:sz w:val="32"/>
          <w:szCs w:val="32"/>
          <w:bdr w:val="none" w:color="auto" w:sz="0" w:space="0"/>
        </w:rPr>
        <w:t>认真贯彻落实新修订的《中华人民共和国政府信息公开条例》和《关于印发2020年沂源县政务公开工作考核方案的通知》（源政办字〔2020〕89号）要求，围绕中心，服务大局，进一步健全政府信息公开工作的体制机制建设，加强组织领导，完善信息公开程序，不断深化公开内容，政府信息公开范围和渠道不断拓展，</w:t>
      </w:r>
      <w:r>
        <w:rPr>
          <w:rFonts w:hint="eastAsia" w:ascii="仿宋_GB2312" w:hAnsi="微软雅黑" w:eastAsia="仿宋_GB2312" w:cs="仿宋_GB2312"/>
          <w:i w:val="0"/>
          <w:caps w:val="0"/>
          <w:color w:val="000000"/>
          <w:spacing w:val="0"/>
          <w:sz w:val="32"/>
          <w:szCs w:val="32"/>
          <w:bdr w:val="none" w:color="auto" w:sz="0" w:space="0"/>
          <w:lang w:eastAsia="zh-CN"/>
        </w:rPr>
        <w:t>信息公开</w:t>
      </w:r>
      <w:r>
        <w:rPr>
          <w:rFonts w:hint="eastAsia" w:ascii="仿宋_GB2312" w:hAnsi="微软雅黑" w:eastAsia="仿宋_GB2312" w:cs="仿宋_GB2312"/>
          <w:i w:val="0"/>
          <w:caps w:val="0"/>
          <w:color w:val="000000"/>
          <w:spacing w:val="0"/>
          <w:sz w:val="32"/>
          <w:szCs w:val="32"/>
          <w:bdr w:val="none" w:color="auto" w:sz="0" w:space="0"/>
        </w:rPr>
        <w:t>工作的透明度和公信力切实提高，保障了人民群众的知情权、参与权和监督权。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515"/>
        <w:jc w:val="left"/>
        <w:textAlignment w:val="auto"/>
        <w:rPr>
          <w:rFonts w:hint="eastAsia" w:ascii="微软雅黑" w:hAnsi="微软雅黑" w:eastAsia="微软雅黑" w:cs="微软雅黑"/>
          <w:i w:val="0"/>
          <w:caps w:val="0"/>
          <w:color w:val="000000"/>
          <w:spacing w:val="0"/>
          <w:sz w:val="24"/>
          <w:szCs w:val="24"/>
        </w:rPr>
      </w:pPr>
      <w:r>
        <w:rPr>
          <w:rFonts w:ascii="楷体" w:hAnsi="楷体" w:eastAsia="楷体" w:cs="楷体"/>
          <w:i w:val="0"/>
          <w:caps w:val="0"/>
          <w:color w:val="000000"/>
          <w:spacing w:val="0"/>
          <w:sz w:val="32"/>
          <w:szCs w:val="32"/>
          <w:bdr w:val="none" w:color="auto" w:sz="0" w:space="0"/>
        </w:rPr>
        <w:t>（一）</w:t>
      </w:r>
      <w:r>
        <w:rPr>
          <w:rFonts w:hint="eastAsia" w:ascii="楷体" w:hAnsi="楷体" w:eastAsia="楷体" w:cs="楷体"/>
          <w:i w:val="0"/>
          <w:caps w:val="0"/>
          <w:color w:val="000000"/>
          <w:spacing w:val="0"/>
          <w:sz w:val="32"/>
          <w:szCs w:val="32"/>
          <w:bdr w:val="none" w:color="auto" w:sz="0" w:space="0"/>
        </w:rPr>
        <w:t>主动公开信息情况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caps w:val="0"/>
          <w:color w:val="000000"/>
          <w:spacing w:val="0"/>
          <w:sz w:val="32"/>
          <w:szCs w:val="32"/>
        </w:rPr>
      </w:pPr>
      <w:r>
        <w:rPr>
          <w:rFonts w:hint="eastAsia" w:ascii="仿宋_GB2312" w:hAnsi="微软雅黑" w:eastAsia="仿宋_GB2312" w:cs="仿宋_GB2312"/>
          <w:i w:val="0"/>
          <w:caps w:val="0"/>
          <w:color w:val="000000"/>
          <w:spacing w:val="0"/>
          <w:sz w:val="32"/>
          <w:szCs w:val="32"/>
        </w:rPr>
        <w:t> 2020年，我单位主动公开政府信息</w:t>
      </w:r>
      <w:r>
        <w:rPr>
          <w:rFonts w:hint="eastAsia" w:ascii="仿宋_GB2312" w:hAnsi="微软雅黑" w:eastAsia="仿宋_GB2312" w:cs="仿宋_GB2312"/>
          <w:i w:val="0"/>
          <w:caps w:val="0"/>
          <w:color w:val="000000"/>
          <w:spacing w:val="0"/>
          <w:sz w:val="32"/>
          <w:szCs w:val="32"/>
          <w:lang w:val="en-US" w:eastAsia="zh-CN"/>
        </w:rPr>
        <w:t>253</w:t>
      </w:r>
      <w:r>
        <w:rPr>
          <w:rFonts w:hint="eastAsia" w:ascii="仿宋_GB2312" w:hAnsi="微软雅黑" w:eastAsia="仿宋_GB2312" w:cs="仿宋_GB2312"/>
          <w:i w:val="0"/>
          <w:caps w:val="0"/>
          <w:color w:val="000000"/>
          <w:spacing w:val="0"/>
          <w:sz w:val="32"/>
          <w:szCs w:val="32"/>
        </w:rPr>
        <w:t>条。其中，部门职能</w:t>
      </w:r>
      <w:r>
        <w:rPr>
          <w:rFonts w:hint="eastAsia" w:ascii="仿宋_GB2312" w:hAnsi="微软雅黑" w:eastAsia="仿宋_GB2312" w:cs="仿宋_GB2312"/>
          <w:i w:val="0"/>
          <w:caps w:val="0"/>
          <w:color w:val="000000"/>
          <w:spacing w:val="0"/>
          <w:sz w:val="32"/>
          <w:szCs w:val="32"/>
          <w:lang w:val="en-US" w:eastAsia="zh-CN"/>
        </w:rPr>
        <w:t>6</w:t>
      </w:r>
      <w:r>
        <w:rPr>
          <w:rFonts w:hint="eastAsia" w:ascii="仿宋_GB2312" w:hAnsi="微软雅黑" w:eastAsia="仿宋_GB2312" w:cs="仿宋_GB2312"/>
          <w:i w:val="0"/>
          <w:caps w:val="0"/>
          <w:color w:val="000000"/>
          <w:spacing w:val="0"/>
          <w:sz w:val="32"/>
          <w:szCs w:val="32"/>
        </w:rPr>
        <w:t>条，</w:t>
      </w:r>
      <w:r>
        <w:rPr>
          <w:rFonts w:hint="eastAsia" w:ascii="仿宋_GB2312" w:hAnsi="微软雅黑" w:eastAsia="仿宋_GB2312" w:cs="仿宋_GB2312"/>
          <w:i w:val="0"/>
          <w:caps w:val="0"/>
          <w:color w:val="000000"/>
          <w:spacing w:val="0"/>
          <w:sz w:val="32"/>
          <w:szCs w:val="32"/>
          <w:lang w:eastAsia="zh-CN"/>
        </w:rPr>
        <w:t>政府文件解读</w:t>
      </w:r>
      <w:r>
        <w:rPr>
          <w:rFonts w:hint="eastAsia" w:ascii="仿宋_GB2312" w:hAnsi="微软雅黑" w:eastAsia="仿宋_GB2312" w:cs="仿宋_GB2312"/>
          <w:i w:val="0"/>
          <w:caps w:val="0"/>
          <w:color w:val="000000"/>
          <w:spacing w:val="0"/>
          <w:sz w:val="32"/>
          <w:szCs w:val="32"/>
          <w:lang w:val="en-US" w:eastAsia="zh-CN"/>
        </w:rPr>
        <w:t>4条，部门文件解读14条，政策文件6条，公示公告36条，重大决策预公开2条，</w:t>
      </w:r>
      <w:r>
        <w:rPr>
          <w:rFonts w:hint="eastAsia" w:ascii="仿宋_GB2312" w:hAnsi="微软雅黑" w:eastAsia="仿宋_GB2312" w:cs="仿宋_GB2312"/>
          <w:i w:val="0"/>
          <w:caps w:val="0"/>
          <w:color w:val="000000"/>
          <w:spacing w:val="0"/>
          <w:sz w:val="32"/>
          <w:szCs w:val="32"/>
        </w:rPr>
        <w:t>部门会议公开</w:t>
      </w:r>
      <w:r>
        <w:rPr>
          <w:rFonts w:hint="eastAsia" w:ascii="仿宋_GB2312" w:hAnsi="微软雅黑" w:eastAsia="仿宋_GB2312" w:cs="仿宋_GB2312"/>
          <w:i w:val="0"/>
          <w:caps w:val="0"/>
          <w:color w:val="000000"/>
          <w:spacing w:val="0"/>
          <w:sz w:val="32"/>
          <w:szCs w:val="32"/>
          <w:lang w:val="en-US" w:eastAsia="zh-CN"/>
        </w:rPr>
        <w:t>15</w:t>
      </w:r>
      <w:r>
        <w:rPr>
          <w:rFonts w:hint="eastAsia" w:ascii="仿宋_GB2312" w:hAnsi="微软雅黑" w:eastAsia="仿宋_GB2312" w:cs="仿宋_GB2312"/>
          <w:i w:val="0"/>
          <w:caps w:val="0"/>
          <w:color w:val="000000"/>
          <w:spacing w:val="0"/>
          <w:sz w:val="32"/>
          <w:szCs w:val="32"/>
        </w:rPr>
        <w:t>条，会议解读</w:t>
      </w:r>
      <w:r>
        <w:rPr>
          <w:rFonts w:hint="eastAsia" w:ascii="仿宋_GB2312" w:hAnsi="微软雅黑" w:eastAsia="仿宋_GB2312" w:cs="仿宋_GB2312"/>
          <w:i w:val="0"/>
          <w:caps w:val="0"/>
          <w:color w:val="000000"/>
          <w:spacing w:val="0"/>
          <w:sz w:val="32"/>
          <w:szCs w:val="32"/>
          <w:lang w:val="en-US" w:eastAsia="zh-CN"/>
        </w:rPr>
        <w:t>3</w:t>
      </w:r>
      <w:r>
        <w:rPr>
          <w:rFonts w:hint="eastAsia" w:ascii="仿宋_GB2312" w:hAnsi="微软雅黑" w:eastAsia="仿宋_GB2312" w:cs="仿宋_GB2312"/>
          <w:i w:val="0"/>
          <w:caps w:val="0"/>
          <w:color w:val="000000"/>
          <w:spacing w:val="0"/>
          <w:sz w:val="32"/>
          <w:szCs w:val="32"/>
        </w:rPr>
        <w:t>条，规划计划</w:t>
      </w:r>
      <w:r>
        <w:rPr>
          <w:rFonts w:hint="eastAsia" w:ascii="仿宋_GB2312" w:hAnsi="微软雅黑" w:eastAsia="仿宋_GB2312" w:cs="仿宋_GB2312"/>
          <w:i w:val="0"/>
          <w:caps w:val="0"/>
          <w:color w:val="000000"/>
          <w:spacing w:val="0"/>
          <w:sz w:val="32"/>
          <w:szCs w:val="32"/>
          <w:lang w:val="en-US" w:eastAsia="zh-CN"/>
        </w:rPr>
        <w:t>26</w:t>
      </w:r>
      <w:r>
        <w:rPr>
          <w:rFonts w:hint="eastAsia" w:ascii="仿宋_GB2312" w:hAnsi="微软雅黑" w:eastAsia="仿宋_GB2312" w:cs="仿宋_GB2312"/>
          <w:i w:val="0"/>
          <w:caps w:val="0"/>
          <w:color w:val="000000"/>
          <w:spacing w:val="0"/>
          <w:sz w:val="32"/>
          <w:szCs w:val="32"/>
        </w:rPr>
        <w:t>条，</w:t>
      </w:r>
      <w:r>
        <w:rPr>
          <w:rFonts w:hint="eastAsia" w:ascii="仿宋_GB2312" w:hAnsi="微软雅黑" w:eastAsia="仿宋_GB2312" w:cs="仿宋_GB2312"/>
          <w:i w:val="0"/>
          <w:caps w:val="0"/>
          <w:color w:val="000000"/>
          <w:spacing w:val="0"/>
          <w:sz w:val="32"/>
          <w:szCs w:val="32"/>
          <w:lang w:eastAsia="zh-CN"/>
        </w:rPr>
        <w:t>国有建设用地使用权出让</w:t>
      </w:r>
      <w:r>
        <w:rPr>
          <w:rFonts w:hint="eastAsia" w:ascii="仿宋_GB2312" w:hAnsi="微软雅黑" w:eastAsia="仿宋_GB2312" w:cs="仿宋_GB2312"/>
          <w:i w:val="0"/>
          <w:caps w:val="0"/>
          <w:color w:val="000000"/>
          <w:spacing w:val="0"/>
          <w:sz w:val="32"/>
          <w:szCs w:val="32"/>
          <w:lang w:val="en-US" w:eastAsia="zh-CN"/>
        </w:rPr>
        <w:t>1条，重点民生项目3条，精准脱贫4条，社会公益信息16条，</w:t>
      </w:r>
      <w:r>
        <w:rPr>
          <w:rFonts w:hint="eastAsia" w:ascii="仿宋_GB2312" w:hAnsi="微软雅黑" w:eastAsia="仿宋_GB2312" w:cs="仿宋_GB2312"/>
          <w:i w:val="0"/>
          <w:caps w:val="0"/>
          <w:color w:val="000000"/>
          <w:spacing w:val="0"/>
          <w:sz w:val="32"/>
          <w:szCs w:val="32"/>
        </w:rPr>
        <w:t>重</w:t>
      </w:r>
      <w:r>
        <w:rPr>
          <w:rFonts w:hint="eastAsia" w:ascii="仿宋_GB2312" w:hAnsi="微软雅黑" w:eastAsia="仿宋_GB2312" w:cs="仿宋_GB2312"/>
          <w:i w:val="0"/>
          <w:caps w:val="0"/>
          <w:color w:val="000000"/>
          <w:spacing w:val="0"/>
          <w:sz w:val="32"/>
          <w:szCs w:val="32"/>
          <w:lang w:eastAsia="zh-CN"/>
        </w:rPr>
        <w:t>要</w:t>
      </w:r>
      <w:r>
        <w:rPr>
          <w:rFonts w:hint="eastAsia" w:ascii="仿宋_GB2312" w:hAnsi="微软雅黑" w:eastAsia="仿宋_GB2312" w:cs="仿宋_GB2312"/>
          <w:i w:val="0"/>
          <w:caps w:val="0"/>
          <w:color w:val="000000"/>
          <w:spacing w:val="0"/>
          <w:sz w:val="32"/>
          <w:szCs w:val="32"/>
        </w:rPr>
        <w:t>部署执行公开1</w:t>
      </w:r>
      <w:r>
        <w:rPr>
          <w:rFonts w:hint="eastAsia" w:ascii="仿宋_GB2312" w:hAnsi="微软雅黑" w:eastAsia="仿宋_GB2312" w:cs="仿宋_GB2312"/>
          <w:i w:val="0"/>
          <w:caps w:val="0"/>
          <w:color w:val="000000"/>
          <w:spacing w:val="0"/>
          <w:sz w:val="32"/>
          <w:szCs w:val="32"/>
          <w:lang w:val="en-US" w:eastAsia="zh-CN"/>
        </w:rPr>
        <w:t>6</w:t>
      </w:r>
      <w:r>
        <w:rPr>
          <w:rFonts w:hint="eastAsia" w:ascii="仿宋_GB2312" w:hAnsi="微软雅黑" w:eastAsia="仿宋_GB2312" w:cs="仿宋_GB2312"/>
          <w:i w:val="0"/>
          <w:caps w:val="0"/>
          <w:color w:val="000000"/>
          <w:spacing w:val="0"/>
          <w:sz w:val="32"/>
          <w:szCs w:val="32"/>
        </w:rPr>
        <w:t>条，</w:t>
      </w:r>
      <w:r>
        <w:rPr>
          <w:rFonts w:hint="eastAsia" w:ascii="仿宋_GB2312" w:hAnsi="微软雅黑" w:eastAsia="仿宋_GB2312" w:cs="仿宋_GB2312"/>
          <w:i w:val="0"/>
          <w:caps w:val="0"/>
          <w:color w:val="000000"/>
          <w:spacing w:val="0"/>
          <w:sz w:val="32"/>
          <w:szCs w:val="32"/>
          <w:lang w:eastAsia="zh-CN"/>
        </w:rPr>
        <w:t>建议提案办理</w:t>
      </w:r>
      <w:r>
        <w:rPr>
          <w:rFonts w:hint="eastAsia" w:ascii="仿宋_GB2312" w:hAnsi="微软雅黑" w:eastAsia="仿宋_GB2312" w:cs="仿宋_GB2312"/>
          <w:i w:val="0"/>
          <w:caps w:val="0"/>
          <w:color w:val="000000"/>
          <w:spacing w:val="0"/>
          <w:sz w:val="32"/>
          <w:szCs w:val="32"/>
          <w:lang w:val="en-US" w:eastAsia="zh-CN"/>
        </w:rPr>
        <w:t>8条，财政信息2条，</w:t>
      </w:r>
      <w:r>
        <w:rPr>
          <w:rFonts w:hint="eastAsia" w:ascii="仿宋_GB2312" w:hAnsi="微软雅黑" w:eastAsia="仿宋_GB2312" w:cs="仿宋_GB2312"/>
          <w:i w:val="0"/>
          <w:caps w:val="0"/>
          <w:color w:val="000000"/>
          <w:spacing w:val="0"/>
          <w:sz w:val="32"/>
          <w:szCs w:val="32"/>
        </w:rPr>
        <w:t>管理和服务公开</w:t>
      </w:r>
      <w:r>
        <w:rPr>
          <w:rFonts w:hint="eastAsia" w:ascii="仿宋_GB2312" w:hAnsi="微软雅黑" w:eastAsia="仿宋_GB2312" w:cs="仿宋_GB2312"/>
          <w:i w:val="0"/>
          <w:caps w:val="0"/>
          <w:color w:val="000000"/>
          <w:spacing w:val="0"/>
          <w:sz w:val="32"/>
          <w:szCs w:val="32"/>
          <w:lang w:val="en-US" w:eastAsia="zh-CN"/>
        </w:rPr>
        <w:t>47</w:t>
      </w:r>
      <w:r>
        <w:rPr>
          <w:rFonts w:hint="eastAsia" w:ascii="仿宋_GB2312" w:hAnsi="微软雅黑" w:eastAsia="仿宋_GB2312" w:cs="仿宋_GB2312"/>
          <w:i w:val="0"/>
          <w:caps w:val="0"/>
          <w:color w:val="000000"/>
          <w:spacing w:val="0"/>
          <w:sz w:val="32"/>
          <w:szCs w:val="32"/>
        </w:rPr>
        <w:t>条，</w:t>
      </w:r>
      <w:r>
        <w:rPr>
          <w:rFonts w:hint="eastAsia" w:ascii="仿宋_GB2312" w:hAnsi="微软雅黑" w:eastAsia="仿宋_GB2312" w:cs="仿宋_GB2312"/>
          <w:i w:val="0"/>
          <w:caps w:val="0"/>
          <w:color w:val="000000"/>
          <w:spacing w:val="0"/>
          <w:sz w:val="32"/>
          <w:szCs w:val="32"/>
          <w:lang w:eastAsia="zh-CN"/>
        </w:rPr>
        <w:t>应急预案</w:t>
      </w:r>
      <w:r>
        <w:rPr>
          <w:rFonts w:hint="eastAsia" w:ascii="仿宋_GB2312" w:hAnsi="微软雅黑" w:eastAsia="仿宋_GB2312" w:cs="仿宋_GB2312"/>
          <w:i w:val="0"/>
          <w:caps w:val="0"/>
          <w:color w:val="000000"/>
          <w:spacing w:val="0"/>
          <w:sz w:val="32"/>
          <w:szCs w:val="32"/>
          <w:lang w:val="en-US" w:eastAsia="zh-CN"/>
        </w:rPr>
        <w:t>3条，</w:t>
      </w:r>
      <w:r>
        <w:rPr>
          <w:rFonts w:hint="eastAsia" w:ascii="仿宋_GB2312" w:hAnsi="微软雅黑" w:eastAsia="仿宋_GB2312" w:cs="仿宋_GB2312"/>
          <w:i w:val="0"/>
          <w:caps w:val="0"/>
          <w:color w:val="000000"/>
          <w:spacing w:val="0"/>
          <w:sz w:val="32"/>
          <w:szCs w:val="32"/>
        </w:rPr>
        <w:t>其他相关信息</w:t>
      </w:r>
      <w:r>
        <w:rPr>
          <w:rFonts w:hint="eastAsia" w:ascii="仿宋_GB2312" w:hAnsi="微软雅黑" w:eastAsia="仿宋_GB2312" w:cs="仿宋_GB2312"/>
          <w:i w:val="0"/>
          <w:caps w:val="0"/>
          <w:color w:val="000000"/>
          <w:spacing w:val="0"/>
          <w:sz w:val="32"/>
          <w:szCs w:val="32"/>
          <w:lang w:val="en-US" w:eastAsia="zh-CN"/>
        </w:rPr>
        <w:t>41</w:t>
      </w:r>
      <w:r>
        <w:rPr>
          <w:rFonts w:hint="eastAsia" w:ascii="仿宋_GB2312" w:hAnsi="微软雅黑" w:eastAsia="仿宋_GB2312" w:cs="仿宋_GB2312"/>
          <w:i w:val="0"/>
          <w:caps w:val="0"/>
          <w:color w:val="000000"/>
          <w:spacing w:val="0"/>
          <w:sz w:val="32"/>
          <w:szCs w:val="32"/>
        </w:rPr>
        <w:t>条。2020年比去年信息公开范围不断扩大，信息公开数量进一步增长，公开水平进一步提升。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1.做好常规类信息公开。按照要求，对机构职能、部门</w:t>
      </w:r>
      <w:r>
        <w:rPr>
          <w:rFonts w:hint="eastAsia" w:ascii="仿宋_GB2312" w:hAnsi="微软雅黑" w:eastAsia="仿宋_GB2312" w:cs="仿宋_GB2312"/>
          <w:i w:val="0"/>
          <w:caps w:val="0"/>
          <w:color w:val="000000"/>
          <w:spacing w:val="0"/>
          <w:sz w:val="32"/>
          <w:szCs w:val="32"/>
          <w:bdr w:val="none" w:color="auto" w:sz="0" w:space="0"/>
          <w:shd w:val="clear" w:fill="FFFFFF"/>
        </w:rPr>
        <w:t>文件会议、相关解读、规划计划、财务等信息进行公开，并根据变化随时调整更新。</w:t>
      </w:r>
      <w:bookmarkStart w:id="0" w:name="_GoBack"/>
      <w:r>
        <w:rPr>
          <w:rFonts w:hint="eastAsia" w:ascii="仿宋_GB2312" w:hAnsi="微软雅黑" w:eastAsia="仿宋_GB2312" w:cs="仿宋_GB2312"/>
          <w:i w:val="0"/>
          <w:caps w:val="0"/>
          <w:color w:val="000000"/>
          <w:spacing w:val="0"/>
          <w:sz w:val="32"/>
          <w:szCs w:val="32"/>
          <w:bdr w:val="none" w:color="auto" w:sz="0" w:space="0"/>
          <w:shd w:val="clear" w:fill="FFFFFF"/>
        </w:rPr>
        <w:t>2</w:t>
      </w:r>
      <w:bookmarkEnd w:id="0"/>
      <w:r>
        <w:rPr>
          <w:rFonts w:hint="eastAsia" w:ascii="仿宋_GB2312" w:hAnsi="微软雅黑" w:eastAsia="仿宋_GB2312" w:cs="仿宋_GB2312"/>
          <w:i w:val="0"/>
          <w:caps w:val="0"/>
          <w:color w:val="000000"/>
          <w:spacing w:val="0"/>
          <w:sz w:val="32"/>
          <w:szCs w:val="32"/>
          <w:bdr w:val="none" w:color="auto" w:sz="0" w:space="0"/>
          <w:shd w:val="clear" w:fill="FFFFFF"/>
        </w:rPr>
        <w:t>020年，根据机构改革后的职能和定位，根据“三定”方案，对法定职责、职责任务清单、权责清单等进行重新公开。对局领导分工进行及时更新，确保做到职责清晰，分工明确。根据单位发文、召开会议及内容性质对相关文件进行公开，对符合要求的文件会议进行解读，对社会关注度高、与群众密切相关领域保证解读的基础上，确保解读率，并且做到原文与解读相互关联。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bdr w:val="none" w:color="auto" w:sz="0" w:space="0"/>
          <w:shd w:val="clear" w:fill="FFFFFF"/>
        </w:rPr>
        <w:t> </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 xml:space="preserve">    2.</w:t>
      </w:r>
      <w:r>
        <w:rPr>
          <w:rFonts w:hint="eastAsia" w:ascii="仿宋_GB2312" w:hAnsi="微软雅黑" w:eastAsia="仿宋_GB2312" w:cs="仿宋_GB2312"/>
          <w:i w:val="0"/>
          <w:caps w:val="0"/>
          <w:color w:val="000000"/>
          <w:spacing w:val="0"/>
          <w:sz w:val="32"/>
          <w:szCs w:val="32"/>
          <w:bdr w:val="none" w:color="auto" w:sz="0" w:space="0"/>
          <w:shd w:val="clear" w:fill="FFFFFF"/>
        </w:rPr>
        <w:t>做好重点领域信息公开。立足职责分工，对</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国土空间规划、县级重大项目、集体土地征收、国有土地使用权出让、矿业权市场、自然灾害信息等相关内容进行</w:t>
      </w:r>
      <w:r>
        <w:rPr>
          <w:rFonts w:hint="eastAsia" w:ascii="仿宋_GB2312" w:hAnsi="微软雅黑" w:eastAsia="仿宋_GB2312" w:cs="仿宋_GB2312"/>
          <w:i w:val="0"/>
          <w:caps w:val="0"/>
          <w:color w:val="000000"/>
          <w:spacing w:val="0"/>
          <w:sz w:val="32"/>
          <w:szCs w:val="32"/>
          <w:bdr w:val="none" w:color="auto" w:sz="0" w:space="0"/>
          <w:shd w:val="clear" w:fill="FFFFFF"/>
        </w:rPr>
        <w:t>公开</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w:t>
      </w:r>
      <w:r>
        <w:rPr>
          <w:rFonts w:hint="eastAsia" w:ascii="仿宋_GB2312" w:hAnsi="微软雅黑" w:eastAsia="仿宋_GB2312" w:cs="仿宋_GB2312"/>
          <w:i w:val="0"/>
          <w:caps w:val="0"/>
          <w:color w:val="000000"/>
          <w:spacing w:val="0"/>
          <w:sz w:val="32"/>
          <w:szCs w:val="32"/>
          <w:bdr w:val="none" w:color="auto" w:sz="0" w:space="0"/>
          <w:shd w:val="clear" w:fill="FFFFFF"/>
        </w:rPr>
        <w:t>确保行政</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权利</w:t>
      </w:r>
      <w:r>
        <w:rPr>
          <w:rFonts w:hint="eastAsia" w:ascii="仿宋_GB2312" w:hAnsi="微软雅黑" w:eastAsia="仿宋_GB2312" w:cs="仿宋_GB2312"/>
          <w:i w:val="0"/>
          <w:caps w:val="0"/>
          <w:color w:val="000000"/>
          <w:spacing w:val="0"/>
          <w:sz w:val="32"/>
          <w:szCs w:val="32"/>
          <w:bdr w:val="none" w:color="auto" w:sz="0" w:space="0"/>
          <w:shd w:val="clear" w:fill="FFFFFF"/>
        </w:rPr>
        <w:t>在阳光下操作，自觉接受群众和社会的监督。</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同时，</w:t>
      </w:r>
      <w:r>
        <w:rPr>
          <w:rFonts w:hint="eastAsia" w:ascii="仿宋_GB2312" w:hAnsi="微软雅黑" w:eastAsia="仿宋_GB2312" w:cs="仿宋_GB2312"/>
          <w:i w:val="0"/>
          <w:caps w:val="0"/>
          <w:color w:val="000000"/>
          <w:spacing w:val="0"/>
          <w:sz w:val="32"/>
          <w:szCs w:val="32"/>
          <w:bdr w:val="none" w:color="auto" w:sz="0" w:space="0"/>
          <w:shd w:val="clear" w:fill="FFFFFF"/>
        </w:rPr>
        <w:t>承接县委县政府重要部署执行部分工作，对相应执行情况及推进措施进行公开，确保重要决策部署贯彻执行到位。</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3.</w:t>
      </w:r>
      <w:r>
        <w:rPr>
          <w:rFonts w:hint="eastAsia" w:ascii="仿宋_GB2312" w:hAnsi="微软雅黑" w:eastAsia="仿宋_GB2312" w:cs="仿宋_GB2312"/>
          <w:i w:val="0"/>
          <w:caps w:val="0"/>
          <w:color w:val="000000"/>
          <w:spacing w:val="0"/>
          <w:sz w:val="32"/>
          <w:szCs w:val="32"/>
          <w:bdr w:val="none" w:color="auto" w:sz="0" w:space="0"/>
          <w:shd w:val="clear" w:fill="FFFFFF"/>
        </w:rPr>
        <w:t>做好政务公开组织管理信息公开。及时对政务公开工作领导小组进行充实完善，根据人员调整和实际分工，对政务公开工作领导小组成员进行更换，确保责任到位，</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人员到位</w:t>
      </w:r>
      <w:r>
        <w:rPr>
          <w:rFonts w:hint="eastAsia" w:ascii="仿宋_GB2312" w:hAnsi="微软雅黑" w:eastAsia="仿宋_GB2312" w:cs="仿宋_GB2312"/>
          <w:i w:val="0"/>
          <w:caps w:val="0"/>
          <w:color w:val="000000"/>
          <w:spacing w:val="0"/>
          <w:sz w:val="32"/>
          <w:szCs w:val="32"/>
          <w:bdr w:val="none" w:color="auto" w:sz="0" w:space="0"/>
          <w:shd w:val="clear" w:fill="FFFFFF"/>
        </w:rPr>
        <w:t>。建立政务公开工作定期会议和培训制度，对政务公开工作进行安排部署。每年制定政务公开工作指南和政务公开工作年报，通过政务公开目录等形式方便群众查询信息，便于监督。根据县政府要求，制定《县自然资源局政府信息主动公开基</w:t>
      </w:r>
      <w:r>
        <w:rPr>
          <w:rFonts w:hint="eastAsia" w:ascii="仿宋_GB2312" w:hAnsi="微软雅黑" w:eastAsia="仿宋_GB2312" w:cs="仿宋_GB2312"/>
          <w:i w:val="0"/>
          <w:caps w:val="0"/>
          <w:color w:val="000000"/>
          <w:spacing w:val="0"/>
          <w:sz w:val="32"/>
          <w:szCs w:val="32"/>
          <w:shd w:val="clear" w:fill="FFFFFF"/>
        </w:rPr>
        <w:t>本目录》、</w:t>
      </w:r>
      <w:r>
        <w:rPr>
          <w:rFonts w:hint="eastAsia" w:ascii="仿宋_GB2312" w:hAnsi="微软雅黑" w:eastAsia="仿宋_GB2312" w:cs="仿宋_GB2312"/>
          <w:i w:val="0"/>
          <w:caps w:val="0"/>
          <w:color w:val="000000"/>
          <w:spacing w:val="0"/>
          <w:sz w:val="32"/>
          <w:szCs w:val="32"/>
          <w:shd w:val="clear" w:fill="FFFFFF"/>
          <w:lang w:eastAsia="zh-CN"/>
        </w:rPr>
        <w:t>《</w:t>
      </w:r>
      <w:r>
        <w:rPr>
          <w:rFonts w:hint="eastAsia" w:ascii="仿宋_GB2312" w:hAnsi="微软雅黑" w:eastAsia="仿宋_GB2312" w:cs="仿宋_GB2312"/>
          <w:i w:val="0"/>
          <w:caps w:val="0"/>
          <w:color w:val="000000"/>
          <w:spacing w:val="0"/>
          <w:sz w:val="32"/>
          <w:szCs w:val="32"/>
          <w:shd w:val="clear" w:fill="FFFFFF"/>
        </w:rPr>
        <w:t>县</w:t>
      </w:r>
      <w:r>
        <w:rPr>
          <w:rFonts w:hint="eastAsia" w:ascii="仿宋_GB2312" w:hAnsi="微软雅黑" w:eastAsia="仿宋_GB2312" w:cs="仿宋_GB2312"/>
          <w:i w:val="0"/>
          <w:caps w:val="0"/>
          <w:color w:val="000000"/>
          <w:spacing w:val="0"/>
          <w:sz w:val="32"/>
          <w:szCs w:val="32"/>
          <w:shd w:val="clear" w:fill="FFFFFF"/>
          <w:lang w:eastAsia="zh-CN"/>
        </w:rPr>
        <w:t>自然资源局</w:t>
      </w:r>
      <w:r>
        <w:rPr>
          <w:rFonts w:hint="eastAsia" w:ascii="仿宋_GB2312" w:hAnsi="微软雅黑" w:eastAsia="仿宋_GB2312" w:cs="仿宋_GB2312"/>
          <w:i w:val="0"/>
          <w:caps w:val="0"/>
          <w:color w:val="000000"/>
          <w:spacing w:val="0"/>
          <w:sz w:val="32"/>
          <w:szCs w:val="32"/>
          <w:shd w:val="clear" w:fill="FFFFFF"/>
        </w:rPr>
        <w:t>政务公开事项标准目录</w:t>
      </w:r>
      <w:r>
        <w:rPr>
          <w:rFonts w:hint="eastAsia" w:ascii="仿宋_GB2312" w:hAnsi="微软雅黑" w:eastAsia="仿宋_GB2312" w:cs="仿宋_GB2312"/>
          <w:i w:val="0"/>
          <w:caps w:val="0"/>
          <w:color w:val="000000"/>
          <w:spacing w:val="0"/>
          <w:sz w:val="32"/>
          <w:szCs w:val="32"/>
          <w:shd w:val="clear" w:fill="FFFFFF"/>
          <w:lang w:eastAsia="zh-CN"/>
        </w:rPr>
        <w:t>》、</w:t>
      </w:r>
      <w:r>
        <w:rPr>
          <w:rFonts w:hint="eastAsia" w:ascii="仿宋_GB2312" w:hAnsi="微软雅黑" w:eastAsia="仿宋_GB2312" w:cs="仿宋_GB2312"/>
          <w:i w:val="0"/>
          <w:caps w:val="0"/>
          <w:color w:val="000000"/>
          <w:spacing w:val="0"/>
          <w:sz w:val="32"/>
          <w:szCs w:val="32"/>
          <w:shd w:val="clear" w:fill="FFFFFF"/>
        </w:rPr>
        <w:t>《城乡规划领域基层政务公开标准目录》和《农村集体土地征收基层政务公开标准目录》等，提升了政务公开标准化建设进程。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4</w:t>
      </w:r>
      <w:r>
        <w:rPr>
          <w:rFonts w:hint="eastAsia" w:ascii="仿宋_GB2312" w:hAnsi="微软雅黑" w:eastAsia="仿宋_GB2312" w:cs="仿宋_GB2312"/>
          <w:i w:val="0"/>
          <w:caps w:val="0"/>
          <w:color w:val="000000"/>
          <w:spacing w:val="0"/>
          <w:sz w:val="32"/>
          <w:szCs w:val="32"/>
          <w:bdr w:val="none" w:color="auto" w:sz="0" w:space="0"/>
          <w:shd w:val="clear" w:fill="FFFFFF"/>
        </w:rPr>
        <w:t>.人大代表、政协委员建议提案办理结果公开。2020年，</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共</w:t>
      </w:r>
      <w:r>
        <w:rPr>
          <w:rFonts w:hint="eastAsia" w:ascii="仿宋_GB2312" w:hAnsi="微软雅黑" w:eastAsia="仿宋_GB2312" w:cs="仿宋_GB2312"/>
          <w:i w:val="0"/>
          <w:caps w:val="0"/>
          <w:color w:val="000000"/>
          <w:spacing w:val="0"/>
          <w:sz w:val="32"/>
          <w:szCs w:val="32"/>
          <w:bdr w:val="none" w:color="auto" w:sz="0" w:space="0"/>
          <w:shd w:val="clear" w:fill="FFFFFF"/>
        </w:rPr>
        <w:t>办理人大代表、政协委员建议提案</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8件，全部按时答复并主动公开</w:t>
      </w:r>
      <w:r>
        <w:rPr>
          <w:rFonts w:hint="eastAsia" w:ascii="仿宋_GB2312" w:hAnsi="微软雅黑" w:eastAsia="仿宋_GB2312" w:cs="仿宋_GB2312"/>
          <w:i w:val="0"/>
          <w:caps w:val="0"/>
          <w:color w:val="000000"/>
          <w:spacing w:val="0"/>
          <w:sz w:val="32"/>
          <w:szCs w:val="32"/>
          <w:bdr w:val="none" w:color="auto" w:sz="0" w:space="0"/>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640" w:right="0" w:firstLine="0"/>
        <w:jc w:val="both"/>
        <w:textAlignment w:val="auto"/>
        <w:rPr>
          <w:rFonts w:hint="eastAsia" w:ascii="微软雅黑" w:hAnsi="微软雅黑" w:eastAsia="微软雅黑" w:cs="微软雅黑"/>
          <w:i w:val="0"/>
          <w:caps w:val="0"/>
          <w:color w:val="000000"/>
          <w:spacing w:val="0"/>
          <w:sz w:val="24"/>
          <w:szCs w:val="24"/>
        </w:rPr>
      </w:pPr>
      <w:r>
        <w:rPr>
          <w:rStyle w:val="10"/>
          <w:rFonts w:hint="eastAsia" w:ascii="仿宋_GB2312" w:hAnsi="微软雅黑" w:eastAsia="仿宋_GB2312" w:cs="仿宋_GB2312"/>
          <w:b/>
          <w:i w:val="0"/>
          <w:caps w:val="0"/>
          <w:color w:val="000000"/>
          <w:spacing w:val="0"/>
          <w:sz w:val="32"/>
          <w:szCs w:val="32"/>
          <w:bdr w:val="none" w:color="auto" w:sz="0" w:space="0"/>
          <w:shd w:val="clear" w:fill="FFFFFF"/>
        </w:rPr>
        <w:t>（二）依申请公开信息情况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 xml:space="preserve">    </w:t>
      </w:r>
      <w:r>
        <w:rPr>
          <w:rFonts w:hint="eastAsia" w:ascii="仿宋_GB2312" w:hAnsi="微软雅黑" w:eastAsia="仿宋_GB2312" w:cs="仿宋_GB2312"/>
          <w:i w:val="0"/>
          <w:caps w:val="0"/>
          <w:color w:val="000000"/>
          <w:spacing w:val="0"/>
          <w:sz w:val="32"/>
          <w:szCs w:val="32"/>
          <w:bdr w:val="none" w:color="auto" w:sz="0" w:space="0"/>
          <w:shd w:val="clear" w:fill="FFFFFF"/>
        </w:rPr>
        <w:t>2020年，通过各种渠道收到有关政府信息公开申请</w:t>
      </w: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35</w:t>
      </w:r>
      <w:r>
        <w:rPr>
          <w:rFonts w:hint="eastAsia" w:ascii="仿宋_GB2312" w:hAnsi="微软雅黑" w:eastAsia="仿宋_GB2312" w:cs="仿宋_GB2312"/>
          <w:i w:val="0"/>
          <w:caps w:val="0"/>
          <w:color w:val="000000"/>
          <w:spacing w:val="0"/>
          <w:sz w:val="32"/>
          <w:szCs w:val="32"/>
          <w:bdr w:val="none" w:color="auto" w:sz="0" w:space="0"/>
          <w:shd w:val="clear" w:fill="FFFFFF"/>
        </w:rPr>
        <w:t>件，均为自然人申请，均通过县政府政务公开平台进行了答复，并及时与本人进行了联系和沟通，属于本单位不掌握相关政府信息，无法提供，但告知申请人向相关职能部门进行申请。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4"/>
          <w:szCs w:val="24"/>
        </w:rPr>
      </w:pPr>
      <w:r>
        <w:rPr>
          <w:rStyle w:val="10"/>
          <w:rFonts w:hint="eastAsia" w:ascii="仿宋_GB2312" w:hAnsi="微软雅黑" w:eastAsia="仿宋_GB2312" w:cs="仿宋_GB2312"/>
          <w:b/>
          <w:i w:val="0"/>
          <w:caps w:val="0"/>
          <w:color w:val="000000"/>
          <w:spacing w:val="0"/>
          <w:sz w:val="32"/>
          <w:szCs w:val="32"/>
          <w:bdr w:val="none" w:color="auto" w:sz="0" w:space="0"/>
          <w:shd w:val="clear" w:fill="FFFFFF"/>
        </w:rPr>
        <w:t>（三）政府信息管理情况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bdr w:val="none" w:color="auto" w:sz="0" w:space="0"/>
          <w:shd w:val="clear" w:fill="FFFFFF"/>
        </w:rPr>
        <w:t>加强政府信息公开工作的组织领导，形成了局长亲自抓，分管领导靠上抓，牵头科室主动抓，各职能科室分工负责的工作格局。根据实际机构设置和人员调整，重新调整充实了政务公开工作领导小组，保证专人负责。按照“谁公开、谁负责”的原则，将信息公开责任落实到各科室具体责任人，完善责任机制。建立政府信息管理制度，定期公开制度、公开审查制度、依申请办理制度等，对政府信息分门别类建立工作台账，认真保存，及时归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4"/>
          <w:szCs w:val="24"/>
        </w:rPr>
      </w:pPr>
      <w:r>
        <w:rPr>
          <w:rStyle w:val="10"/>
          <w:rFonts w:hint="eastAsia" w:ascii="仿宋_GB2312" w:hAnsi="微软雅黑" w:eastAsia="仿宋_GB2312" w:cs="仿宋_GB2312"/>
          <w:b/>
          <w:i w:val="0"/>
          <w:caps w:val="0"/>
          <w:color w:val="000000"/>
          <w:spacing w:val="0"/>
          <w:sz w:val="32"/>
          <w:szCs w:val="32"/>
          <w:bdr w:val="none" w:color="auto" w:sz="0" w:space="0"/>
          <w:shd w:val="clear" w:fill="FFFFFF"/>
        </w:rPr>
        <w:t>（四）平台建设情况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bdr w:val="none" w:color="auto" w:sz="0" w:space="0"/>
          <w:shd w:val="clear" w:fill="FFFFFF"/>
        </w:rPr>
        <w:t>充分发挥沂源县人民政府网站的平台作用，2020年年底，配合全市新政务公开平台使用，及时新建目录、将数据从老平台迁移至新平台，在县政府的指导下实现了新老平台的平稳过渡，政务公开目录、内容等更加健全完善，及时发布完善机构职能、领导分工、政府文件、部门文件、重点领域公开、执法结果等信息，确保应当公开的内容及时公开。建立“谁提供、谁发布、谁负责”的工作机制，要求对平台内容及时更新补充完善。对县政府要求和文件进行落实。县局抽调专门人员进行政务公开工作，及时对平台建设和信息发布进行对接、反馈和督促，确保政务信息公开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4"/>
          <w:szCs w:val="24"/>
        </w:rPr>
      </w:pPr>
      <w:r>
        <w:rPr>
          <w:rStyle w:val="10"/>
          <w:rFonts w:hint="eastAsia" w:ascii="仿宋_GB2312" w:hAnsi="微软雅黑" w:eastAsia="仿宋_GB2312" w:cs="仿宋_GB2312"/>
          <w:b/>
          <w:i w:val="0"/>
          <w:caps w:val="0"/>
          <w:color w:val="000000"/>
          <w:spacing w:val="0"/>
          <w:sz w:val="32"/>
          <w:szCs w:val="32"/>
          <w:bdr w:val="none" w:color="auto" w:sz="0" w:space="0"/>
          <w:shd w:val="clear" w:fill="FFFFFF"/>
        </w:rPr>
        <w:t>（五）监督保障情况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bdr w:val="none" w:color="auto" w:sz="0" w:space="0"/>
          <w:shd w:val="clear" w:fill="FFFFFF"/>
          <w:lang w:val="en-US" w:eastAsia="zh-CN"/>
        </w:rPr>
        <w:t xml:space="preserve">    </w:t>
      </w:r>
      <w:r>
        <w:rPr>
          <w:rFonts w:hint="eastAsia" w:ascii="仿宋_GB2312" w:hAnsi="微软雅黑" w:eastAsia="仿宋_GB2312" w:cs="仿宋_GB2312"/>
          <w:i w:val="0"/>
          <w:caps w:val="0"/>
          <w:color w:val="000000"/>
          <w:spacing w:val="0"/>
          <w:sz w:val="32"/>
          <w:szCs w:val="32"/>
          <w:bdr w:val="none" w:color="auto" w:sz="0" w:space="0"/>
          <w:shd w:val="clear" w:fill="FFFFFF"/>
        </w:rPr>
        <w:t>建立政府信息监督保障机制，遵循“谁公开，谁审查，谁负责”的原则，保证政府信息公开的安全。局</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机关</w:t>
      </w:r>
      <w:r>
        <w:rPr>
          <w:rFonts w:hint="eastAsia" w:ascii="仿宋_GB2312" w:hAnsi="微软雅黑" w:eastAsia="仿宋_GB2312" w:cs="仿宋_GB2312"/>
          <w:i w:val="0"/>
          <w:caps w:val="0"/>
          <w:color w:val="000000"/>
          <w:spacing w:val="0"/>
          <w:sz w:val="32"/>
          <w:szCs w:val="32"/>
          <w:bdr w:val="none" w:color="auto" w:sz="0" w:space="0"/>
          <w:shd w:val="clear" w:fill="FFFFFF"/>
        </w:rPr>
        <w:t>各科室、</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局属事业单位</w:t>
      </w:r>
      <w:r>
        <w:rPr>
          <w:rFonts w:hint="eastAsia" w:ascii="仿宋_GB2312" w:hAnsi="微软雅黑" w:eastAsia="仿宋_GB2312" w:cs="仿宋_GB2312"/>
          <w:i w:val="0"/>
          <w:caps w:val="0"/>
          <w:color w:val="000000"/>
          <w:spacing w:val="0"/>
          <w:sz w:val="32"/>
          <w:szCs w:val="32"/>
          <w:bdr w:val="none" w:color="auto" w:sz="0" w:space="0"/>
          <w:shd w:val="clear" w:fill="FFFFFF"/>
        </w:rPr>
        <w:t>是政务公开信息发布的直接主体，起到第一道防线的作用。局</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办公室</w:t>
      </w:r>
      <w:r>
        <w:rPr>
          <w:rFonts w:hint="eastAsia" w:ascii="仿宋_GB2312" w:hAnsi="微软雅黑" w:eastAsia="仿宋_GB2312" w:cs="仿宋_GB2312"/>
          <w:i w:val="0"/>
          <w:caps w:val="0"/>
          <w:color w:val="000000"/>
          <w:spacing w:val="0"/>
          <w:sz w:val="32"/>
          <w:szCs w:val="32"/>
          <w:bdr w:val="none" w:color="auto" w:sz="0" w:space="0"/>
          <w:shd w:val="clear" w:fill="FFFFFF"/>
        </w:rPr>
        <w:t>是协调综合部门，起到查漏补缺的作用，对发现的政务公开的问题和错误及时进行纠正。对县大数据中心发现督导的问题，及时组织进行整改落实反馈，做到立查立改，边查边改。</w:t>
      </w:r>
    </w:p>
    <w:p>
      <w:pPr>
        <w:numPr>
          <w:numId w:val="0"/>
        </w:numPr>
        <w:tabs>
          <w:tab w:val="left" w:pos="0"/>
        </w:tabs>
        <w:spacing w:line="560" w:lineRule="exact"/>
        <w:ind w:firstLine="640" w:firstLineChars="200"/>
        <w:jc w:val="both"/>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rPr>
        <w:t>主动公开政府信息情况</w:t>
      </w:r>
    </w:p>
    <w:tbl>
      <w:tblPr>
        <w:tblStyle w:val="7"/>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jc w:val="center"/>
              <w:rPr>
                <w:b w:val="0"/>
                <w:bCs w:val="0"/>
                <w:sz w:val="21"/>
                <w:szCs w:val="21"/>
                <w:highlight w:val="none"/>
              </w:rPr>
            </w:pPr>
            <w:r>
              <w:rPr>
                <w:rFonts w:hint="eastAsia" w:ascii="黑体" w:hAnsi="黑体" w:eastAsia="黑体" w:cs="黑体"/>
                <w:b w:val="0"/>
                <w:bCs w:val="0"/>
                <w:sz w:val="21"/>
                <w:szCs w:val="21"/>
                <w:highlight w:val="none"/>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本年新公开数量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本年增/减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176</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+70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155</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本年增/减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233</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+77</w:t>
            </w:r>
          </w:p>
        </w:tc>
        <w:tc>
          <w:tcPr>
            <w:tcW w:w="1995" w:type="dxa"/>
            <w:tcBorders>
              <w:top w:val="single" w:color="000000" w:sz="2" w:space="0"/>
              <w:left w:val="single" w:color="000000" w:sz="2" w:space="0"/>
              <w:bottom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110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+110</w:t>
            </w:r>
          </w:p>
        </w:tc>
        <w:tc>
          <w:tcPr>
            <w:tcW w:w="1995" w:type="dxa"/>
            <w:tcBorders>
              <w:top w:val="single" w:color="000000" w:sz="2" w:space="0"/>
              <w:left w:val="single" w:color="000000" w:sz="2" w:space="0"/>
              <w:bottom w:val="single" w:color="000000" w:sz="2" w:space="0"/>
            </w:tcBorders>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上一年项目数量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w:t>
            </w:r>
          </w:p>
        </w:tc>
        <w:tc>
          <w:tcPr>
            <w:tcW w:w="3883" w:type="dxa"/>
            <w:gridSpan w:val="2"/>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采购项目数量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jc w:val="center"/>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政府集中采购</w:t>
            </w:r>
          </w:p>
        </w:tc>
        <w:tc>
          <w:tcPr>
            <w:tcW w:w="1842" w:type="dxa"/>
            <w:tcBorders>
              <w:top w:val="single" w:color="000000" w:sz="2" w:space="0"/>
              <w:left w:val="single" w:color="000000" w:sz="2" w:space="0"/>
              <w:right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3883" w:type="dxa"/>
            <w:gridSpan w:val="2"/>
            <w:tcBorders>
              <w:top w:val="single" w:color="000000" w:sz="2" w:space="0"/>
              <w:left w:val="single" w:color="000000" w:sz="2" w:space="0"/>
            </w:tcBorders>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bl>
    <w:p>
      <w:pPr>
        <w:numPr>
          <w:numId w:val="0"/>
        </w:numPr>
        <w:tabs>
          <w:tab w:val="left" w:pos="0"/>
        </w:tabs>
        <w:spacing w:line="560" w:lineRule="exact"/>
        <w:ind w:firstLine="640" w:firstLineChars="200"/>
        <w:jc w:val="both"/>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三、</w:t>
      </w:r>
      <w:r>
        <w:rPr>
          <w:rFonts w:hint="eastAsia" w:ascii="黑体" w:hAnsi="黑体" w:eastAsia="黑体" w:cs="黑体"/>
          <w:b w:val="0"/>
          <w:bCs w:val="0"/>
          <w:sz w:val="32"/>
          <w:szCs w:val="32"/>
          <w:highlight w:val="none"/>
        </w:rPr>
        <w:t>收到和处理政府信息公开申请情况</w:t>
      </w:r>
    </w:p>
    <w:tbl>
      <w:tblPr>
        <w:tblStyle w:val="8"/>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134"/>
        <w:gridCol w:w="1887"/>
        <w:gridCol w:w="565"/>
        <w:gridCol w:w="635"/>
        <w:gridCol w:w="635"/>
        <w:gridCol w:w="775"/>
        <w:gridCol w:w="775"/>
        <w:gridCol w:w="496"/>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jc w:val="both"/>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（本列数据的勾稽关系为：第一项加第二项之和，等于第三项加第四项之和）</w:t>
            </w:r>
          </w:p>
        </w:tc>
        <w:tc>
          <w:tcPr>
            <w:tcW w:w="0" w:type="auto"/>
            <w:gridSpan w:val="7"/>
            <w:vAlign w:val="center"/>
          </w:tcPr>
          <w:p>
            <w:pPr>
              <w:jc w:val="center"/>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jc w:val="both"/>
              <w:rPr>
                <w:rFonts w:ascii="黑体" w:hAnsi="黑体" w:eastAsia="黑体" w:cs="黑体"/>
                <w:b w:val="0"/>
                <w:bCs w:val="0"/>
                <w:sz w:val="21"/>
                <w:szCs w:val="21"/>
                <w:highlight w:val="none"/>
              </w:rPr>
            </w:pPr>
          </w:p>
        </w:tc>
        <w:tc>
          <w:tcPr>
            <w:tcW w:w="0" w:type="auto"/>
            <w:vMerge w:val="restart"/>
            <w:vAlign w:val="center"/>
          </w:tcPr>
          <w:p>
            <w:pPr>
              <w:jc w:val="both"/>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自然人</w:t>
            </w:r>
          </w:p>
        </w:tc>
        <w:tc>
          <w:tcPr>
            <w:tcW w:w="0" w:type="auto"/>
            <w:gridSpan w:val="5"/>
            <w:vAlign w:val="center"/>
          </w:tcPr>
          <w:p>
            <w:pPr>
              <w:jc w:val="center"/>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法人或其他组织</w:t>
            </w:r>
          </w:p>
        </w:tc>
        <w:tc>
          <w:tcPr>
            <w:tcW w:w="0" w:type="auto"/>
            <w:vMerge w:val="restart"/>
            <w:vAlign w:val="center"/>
          </w:tcPr>
          <w:p>
            <w:pPr>
              <w:jc w:val="both"/>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jc w:val="both"/>
              <w:rPr>
                <w:rFonts w:ascii="黑体" w:hAnsi="黑体" w:eastAsia="黑体" w:cs="黑体"/>
                <w:b w:val="0"/>
                <w:bCs w:val="0"/>
                <w:sz w:val="21"/>
                <w:szCs w:val="21"/>
                <w:highlight w:val="none"/>
              </w:rPr>
            </w:pPr>
          </w:p>
        </w:tc>
        <w:tc>
          <w:tcPr>
            <w:tcW w:w="0" w:type="auto"/>
            <w:vMerge w:val="continue"/>
            <w:vAlign w:val="center"/>
          </w:tcPr>
          <w:p>
            <w:pPr>
              <w:jc w:val="both"/>
              <w:rPr>
                <w:rFonts w:ascii="黑体" w:hAnsi="黑体" w:eastAsia="黑体" w:cs="黑体"/>
                <w:b w:val="0"/>
                <w:bCs w:val="0"/>
                <w:sz w:val="21"/>
                <w:szCs w:val="21"/>
                <w:highlight w:val="none"/>
              </w:rPr>
            </w:pPr>
          </w:p>
        </w:tc>
        <w:tc>
          <w:tcPr>
            <w:tcW w:w="0" w:type="auto"/>
            <w:vAlign w:val="center"/>
          </w:tcPr>
          <w:p>
            <w:pPr>
              <w:jc w:val="both"/>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商业企业</w:t>
            </w:r>
          </w:p>
        </w:tc>
        <w:tc>
          <w:tcPr>
            <w:tcW w:w="0" w:type="auto"/>
            <w:vAlign w:val="center"/>
          </w:tcPr>
          <w:p>
            <w:pPr>
              <w:jc w:val="both"/>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科研机构</w:t>
            </w:r>
          </w:p>
        </w:tc>
        <w:tc>
          <w:tcPr>
            <w:tcW w:w="0" w:type="auto"/>
            <w:vAlign w:val="center"/>
          </w:tcPr>
          <w:p>
            <w:pPr>
              <w:jc w:val="both"/>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社会公益组织</w:t>
            </w:r>
          </w:p>
        </w:tc>
        <w:tc>
          <w:tcPr>
            <w:tcW w:w="0" w:type="auto"/>
            <w:vAlign w:val="center"/>
          </w:tcPr>
          <w:p>
            <w:pPr>
              <w:jc w:val="both"/>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法律服务机构</w:t>
            </w:r>
          </w:p>
        </w:tc>
        <w:tc>
          <w:tcPr>
            <w:tcW w:w="0" w:type="auto"/>
            <w:vAlign w:val="center"/>
          </w:tcPr>
          <w:p>
            <w:pPr>
              <w:jc w:val="both"/>
              <w:rPr>
                <w:rFonts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其他</w:t>
            </w:r>
          </w:p>
        </w:tc>
        <w:tc>
          <w:tcPr>
            <w:tcW w:w="0" w:type="auto"/>
            <w:vMerge w:val="continue"/>
            <w:vAlign w:val="center"/>
          </w:tcPr>
          <w:p>
            <w:pPr>
              <w:jc w:val="both"/>
              <w:rPr>
                <w:rFonts w:asciiTheme="minorHAnsi" w:hAnsiTheme="minorHAnsi" w:eastAsiaTheme="minorEastAsia" w:cstheme="minorBidi"/>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一、本年新收政府信息公开申请数量</w:t>
            </w:r>
          </w:p>
        </w:tc>
        <w:tc>
          <w:tcPr>
            <w:tcW w:w="0" w:type="auto"/>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35</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二、上年结转政府信息公开申请数量</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三、本年度办理结果</w:t>
            </w:r>
          </w:p>
        </w:tc>
        <w:tc>
          <w:tcPr>
            <w:tcW w:w="0" w:type="auto"/>
            <w:gridSpan w:val="2"/>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（一）予以公开</w:t>
            </w:r>
          </w:p>
        </w:tc>
        <w:tc>
          <w:tcPr>
            <w:tcW w:w="0" w:type="auto"/>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35</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gridSpan w:val="2"/>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（二）部分公开（区分处理的，只计这一情形，不计其他情形）</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restart"/>
            <w:vAlign w:val="center"/>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（三）不予公开</w:t>
            </w: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1．属于国家秘密</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vAlign w:val="center"/>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2．其他法律行政法规禁止公开</w:t>
            </w:r>
          </w:p>
        </w:tc>
        <w:tc>
          <w:tcPr>
            <w:tcW w:w="0" w:type="auto"/>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vAlign w:val="center"/>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3．危及“三安全一稳定”</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vAlign w:val="center"/>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4．保护第三方合法权益</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vAlign w:val="center"/>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5．属于三类内部事务信息</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vAlign w:val="center"/>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6．属于四类过程性信息</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vAlign w:val="center"/>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7．属于行政执法案卷</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vAlign w:val="center"/>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8．属于行政查询事项</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restart"/>
            <w:vAlign w:val="center"/>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（四）无法提供</w:t>
            </w: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1．本单位不掌握相关政府信息</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vAlign w:val="center"/>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2．没有现成信息需要另行制作</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vAlign w:val="center"/>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3．补正后申请内容仍不明确</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restart"/>
            <w:vAlign w:val="center"/>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（五）不予处理</w:t>
            </w: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1．信访举报投诉类申请</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2．重复申请</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3．要求提供公开出版物</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4．无正当理由大量反复申请</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tcPr>
          <w:p>
            <w:pPr>
              <w:ind w:left="210" w:hanging="210" w:hangingChars="100"/>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5．要求行政机关确认或重新出具已获取信息</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gridSpan w:val="2"/>
            <w:vAlign w:val="center"/>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（六）其他处理</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jc w:val="both"/>
              <w:rPr>
                <w:rFonts w:asciiTheme="minorEastAsia" w:hAnsiTheme="minorEastAsia" w:eastAsiaTheme="minorEastAsia" w:cstheme="minorEastAsia"/>
                <w:b w:val="0"/>
                <w:bCs w:val="0"/>
                <w:sz w:val="21"/>
                <w:szCs w:val="21"/>
                <w:highlight w:val="none"/>
              </w:rPr>
            </w:pPr>
          </w:p>
        </w:tc>
        <w:tc>
          <w:tcPr>
            <w:tcW w:w="0" w:type="auto"/>
            <w:gridSpan w:val="2"/>
            <w:vAlign w:val="center"/>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（七）总计</w:t>
            </w:r>
          </w:p>
        </w:tc>
        <w:tc>
          <w:tcPr>
            <w:tcW w:w="0" w:type="auto"/>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35</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jc w:val="both"/>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四、结转下年度继续办理</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c>
          <w:tcPr>
            <w:tcW w:w="0" w:type="auto"/>
            <w:vAlign w:val="center"/>
          </w:tcPr>
          <w:p>
            <w:pPr>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0</w:t>
            </w:r>
          </w:p>
        </w:tc>
      </w:tr>
    </w:tbl>
    <w:p>
      <w:pPr>
        <w:numPr>
          <w:numId w:val="0"/>
        </w:numPr>
        <w:tabs>
          <w:tab w:val="left" w:pos="0"/>
        </w:tabs>
        <w:spacing w:line="560" w:lineRule="exact"/>
        <w:ind w:firstLine="640" w:firstLineChars="200"/>
        <w:jc w:val="both"/>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四、</w:t>
      </w:r>
      <w:r>
        <w:rPr>
          <w:rFonts w:hint="eastAsia" w:ascii="黑体" w:hAnsi="黑体" w:eastAsia="黑体" w:cs="黑体"/>
          <w:b w:val="0"/>
          <w:bCs w:val="0"/>
          <w:sz w:val="32"/>
          <w:szCs w:val="32"/>
          <w:highlight w:val="none"/>
        </w:rPr>
        <w:t>政府信息公开行政复议、行政诉讼情况</w:t>
      </w:r>
    </w:p>
    <w:tbl>
      <w:tblPr>
        <w:tblStyle w:val="8"/>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94"/>
        <w:gridCol w:w="594"/>
        <w:gridCol w:w="594"/>
        <w:gridCol w:w="462"/>
        <w:gridCol w:w="595"/>
        <w:gridCol w:w="595"/>
        <w:gridCol w:w="595"/>
        <w:gridCol w:w="595"/>
        <w:gridCol w:w="462"/>
        <w:gridCol w:w="595"/>
        <w:gridCol w:w="595"/>
        <w:gridCol w:w="595"/>
        <w:gridCol w:w="595"/>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autoSpaceDE/>
              <w:autoSpaceDN/>
              <w:jc w:val="center"/>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行政复议</w:t>
            </w:r>
          </w:p>
        </w:tc>
        <w:tc>
          <w:tcPr>
            <w:tcW w:w="0" w:type="auto"/>
            <w:gridSpan w:val="10"/>
            <w:vAlign w:val="center"/>
          </w:tcPr>
          <w:p>
            <w:pPr>
              <w:autoSpaceDE/>
              <w:autoSpaceDN/>
              <w:jc w:val="center"/>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autoSpaceDE/>
              <w:autoSpaceDN/>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结果维持</w:t>
            </w:r>
          </w:p>
        </w:tc>
        <w:tc>
          <w:tcPr>
            <w:tcW w:w="0" w:type="auto"/>
            <w:vMerge w:val="restart"/>
            <w:vAlign w:val="center"/>
          </w:tcPr>
          <w:p>
            <w:pPr>
              <w:autoSpaceDE/>
              <w:autoSpaceDN/>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结果纠正</w:t>
            </w:r>
          </w:p>
        </w:tc>
        <w:tc>
          <w:tcPr>
            <w:tcW w:w="0" w:type="auto"/>
            <w:vMerge w:val="restart"/>
            <w:vAlign w:val="center"/>
          </w:tcPr>
          <w:p>
            <w:pPr>
              <w:autoSpaceDE/>
              <w:autoSpaceDN/>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其他结果</w:t>
            </w:r>
          </w:p>
        </w:tc>
        <w:tc>
          <w:tcPr>
            <w:tcW w:w="0" w:type="auto"/>
            <w:vMerge w:val="restart"/>
            <w:vAlign w:val="center"/>
          </w:tcPr>
          <w:p>
            <w:pPr>
              <w:autoSpaceDE/>
              <w:autoSpaceDN/>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尚未审结</w:t>
            </w:r>
          </w:p>
        </w:tc>
        <w:tc>
          <w:tcPr>
            <w:tcW w:w="0" w:type="auto"/>
            <w:vMerge w:val="restart"/>
            <w:vAlign w:val="center"/>
          </w:tcPr>
          <w:p>
            <w:pPr>
              <w:autoSpaceDE/>
              <w:autoSpaceDN/>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总计</w:t>
            </w:r>
          </w:p>
        </w:tc>
        <w:tc>
          <w:tcPr>
            <w:tcW w:w="0" w:type="auto"/>
            <w:gridSpan w:val="5"/>
            <w:vAlign w:val="center"/>
          </w:tcPr>
          <w:p>
            <w:pPr>
              <w:autoSpaceDE/>
              <w:autoSpaceDN/>
              <w:jc w:val="center"/>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未经复议直接起诉</w:t>
            </w:r>
          </w:p>
        </w:tc>
        <w:tc>
          <w:tcPr>
            <w:tcW w:w="0" w:type="auto"/>
            <w:gridSpan w:val="5"/>
            <w:vAlign w:val="center"/>
          </w:tcPr>
          <w:p>
            <w:pPr>
              <w:autoSpaceDE/>
              <w:autoSpaceDN/>
              <w:jc w:val="center"/>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both"/>
              <w:rPr>
                <w:rFonts w:ascii="黑体" w:hAnsi="黑体" w:eastAsia="黑体" w:cs="黑体"/>
                <w:b w:val="0"/>
                <w:bCs w:val="0"/>
                <w:sz w:val="18"/>
                <w:szCs w:val="18"/>
                <w:highlight w:val="none"/>
              </w:rPr>
            </w:pPr>
          </w:p>
        </w:tc>
        <w:tc>
          <w:tcPr>
            <w:tcW w:w="0" w:type="auto"/>
            <w:vMerge w:val="continue"/>
            <w:vAlign w:val="center"/>
          </w:tcPr>
          <w:p>
            <w:pPr>
              <w:jc w:val="both"/>
              <w:rPr>
                <w:rFonts w:ascii="黑体" w:hAnsi="黑体" w:eastAsia="黑体" w:cs="黑体"/>
                <w:b w:val="0"/>
                <w:bCs w:val="0"/>
                <w:sz w:val="18"/>
                <w:szCs w:val="18"/>
                <w:highlight w:val="none"/>
              </w:rPr>
            </w:pPr>
          </w:p>
        </w:tc>
        <w:tc>
          <w:tcPr>
            <w:tcW w:w="0" w:type="auto"/>
            <w:vMerge w:val="continue"/>
            <w:vAlign w:val="center"/>
          </w:tcPr>
          <w:p>
            <w:pPr>
              <w:jc w:val="both"/>
              <w:rPr>
                <w:rFonts w:ascii="黑体" w:hAnsi="黑体" w:eastAsia="黑体" w:cs="黑体"/>
                <w:b w:val="0"/>
                <w:bCs w:val="0"/>
                <w:sz w:val="18"/>
                <w:szCs w:val="18"/>
                <w:highlight w:val="none"/>
              </w:rPr>
            </w:pPr>
          </w:p>
        </w:tc>
        <w:tc>
          <w:tcPr>
            <w:tcW w:w="0" w:type="auto"/>
            <w:vMerge w:val="continue"/>
            <w:vAlign w:val="center"/>
          </w:tcPr>
          <w:p>
            <w:pPr>
              <w:jc w:val="both"/>
              <w:rPr>
                <w:rFonts w:ascii="黑体" w:hAnsi="黑体" w:eastAsia="黑体" w:cs="黑体"/>
                <w:b w:val="0"/>
                <w:bCs w:val="0"/>
                <w:sz w:val="18"/>
                <w:szCs w:val="18"/>
                <w:highlight w:val="none"/>
              </w:rPr>
            </w:pPr>
          </w:p>
        </w:tc>
        <w:tc>
          <w:tcPr>
            <w:tcW w:w="0" w:type="auto"/>
            <w:vMerge w:val="continue"/>
            <w:vAlign w:val="center"/>
          </w:tcPr>
          <w:p>
            <w:pPr>
              <w:jc w:val="both"/>
              <w:rPr>
                <w:rFonts w:ascii="黑体" w:hAnsi="黑体" w:eastAsia="黑体" w:cs="黑体"/>
                <w:b w:val="0"/>
                <w:bCs w:val="0"/>
                <w:sz w:val="18"/>
                <w:szCs w:val="18"/>
                <w:highlight w:val="none"/>
              </w:rPr>
            </w:pPr>
          </w:p>
        </w:tc>
        <w:tc>
          <w:tcPr>
            <w:tcW w:w="0" w:type="auto"/>
            <w:vAlign w:val="center"/>
          </w:tcPr>
          <w:p>
            <w:pPr>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结果维持</w:t>
            </w:r>
          </w:p>
        </w:tc>
        <w:tc>
          <w:tcPr>
            <w:tcW w:w="0" w:type="auto"/>
            <w:vAlign w:val="center"/>
          </w:tcPr>
          <w:p>
            <w:pPr>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结果纠正</w:t>
            </w:r>
          </w:p>
        </w:tc>
        <w:tc>
          <w:tcPr>
            <w:tcW w:w="0" w:type="auto"/>
            <w:vAlign w:val="center"/>
          </w:tcPr>
          <w:p>
            <w:pPr>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其他结果</w:t>
            </w:r>
          </w:p>
        </w:tc>
        <w:tc>
          <w:tcPr>
            <w:tcW w:w="0" w:type="auto"/>
            <w:vAlign w:val="center"/>
          </w:tcPr>
          <w:p>
            <w:pPr>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尚未审结</w:t>
            </w:r>
          </w:p>
        </w:tc>
        <w:tc>
          <w:tcPr>
            <w:tcW w:w="0" w:type="auto"/>
            <w:vAlign w:val="center"/>
          </w:tcPr>
          <w:p>
            <w:pPr>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总计</w:t>
            </w:r>
          </w:p>
        </w:tc>
        <w:tc>
          <w:tcPr>
            <w:tcW w:w="0" w:type="auto"/>
            <w:vAlign w:val="center"/>
          </w:tcPr>
          <w:p>
            <w:pPr>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结果维持</w:t>
            </w:r>
          </w:p>
        </w:tc>
        <w:tc>
          <w:tcPr>
            <w:tcW w:w="0" w:type="auto"/>
            <w:vAlign w:val="center"/>
          </w:tcPr>
          <w:p>
            <w:pPr>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结果纠正</w:t>
            </w:r>
          </w:p>
        </w:tc>
        <w:tc>
          <w:tcPr>
            <w:tcW w:w="0" w:type="auto"/>
            <w:vAlign w:val="center"/>
          </w:tcPr>
          <w:p>
            <w:pPr>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其他结果</w:t>
            </w:r>
          </w:p>
        </w:tc>
        <w:tc>
          <w:tcPr>
            <w:tcW w:w="0" w:type="auto"/>
            <w:vAlign w:val="center"/>
          </w:tcPr>
          <w:p>
            <w:pPr>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尚未审结</w:t>
            </w:r>
          </w:p>
        </w:tc>
        <w:tc>
          <w:tcPr>
            <w:tcW w:w="0" w:type="auto"/>
            <w:vAlign w:val="center"/>
          </w:tcPr>
          <w:p>
            <w:pPr>
              <w:jc w:val="both"/>
              <w:rPr>
                <w:rFonts w:ascii="黑体" w:hAnsi="黑体" w:eastAsia="黑体" w:cs="黑体"/>
                <w:b w:val="0"/>
                <w:bCs w:val="0"/>
                <w:sz w:val="18"/>
                <w:szCs w:val="18"/>
                <w:highlight w:val="none"/>
              </w:rPr>
            </w:pPr>
            <w:r>
              <w:rPr>
                <w:rFonts w:hint="eastAsia" w:ascii="黑体" w:hAnsi="黑体" w:eastAsia="黑体" w:cs="黑体"/>
                <w:b w:val="0"/>
                <w:bCs w:val="0"/>
                <w:sz w:val="18"/>
                <w:szCs w:val="18"/>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default"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3</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3</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c>
          <w:tcPr>
            <w:tcW w:w="0" w:type="auto"/>
            <w:vAlign w:val="center"/>
          </w:tcPr>
          <w:p>
            <w:pPr>
              <w:jc w:val="center"/>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highlight w:val="none"/>
                <w:lang w:val="en-US" w:eastAsia="zh-CN"/>
              </w:rPr>
              <w:t>0</w:t>
            </w:r>
          </w:p>
        </w:tc>
      </w:tr>
    </w:tbl>
    <w:p>
      <w:pPr>
        <w:numPr>
          <w:numId w:val="0"/>
        </w:numPr>
        <w:tabs>
          <w:tab w:val="left" w:pos="0"/>
        </w:tabs>
        <w:spacing w:line="560" w:lineRule="exact"/>
        <w:ind w:firstLine="640" w:firstLineChars="200"/>
        <w:jc w:val="both"/>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五、</w:t>
      </w:r>
      <w:r>
        <w:rPr>
          <w:rFonts w:hint="eastAsia" w:ascii="黑体" w:hAnsi="黑体" w:eastAsia="黑体" w:cs="黑体"/>
          <w:b w:val="0"/>
          <w:bCs w:val="0"/>
          <w:sz w:val="32"/>
          <w:szCs w:val="32"/>
          <w:highlight w:val="none"/>
        </w:rPr>
        <w:t>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0"/>
          <w:sz w:val="32"/>
          <w:szCs w:val="32"/>
          <w:highlight w:val="none"/>
          <w:lang w:val="zh-CN" w:eastAsia="zh-CN" w:bidi="zh-CN"/>
        </w:rPr>
      </w:pPr>
      <w:r>
        <w:rPr>
          <w:rFonts w:hint="eastAsia" w:ascii="仿宋_GB2312" w:hAnsi="仿宋_GB2312" w:eastAsia="仿宋_GB2312" w:cs="仿宋_GB2312"/>
          <w:b w:val="0"/>
          <w:bCs w:val="0"/>
          <w:kern w:val="0"/>
          <w:sz w:val="32"/>
          <w:szCs w:val="32"/>
          <w:highlight w:val="none"/>
          <w:lang w:val="en-US" w:eastAsia="zh-CN" w:bidi="zh-CN"/>
        </w:rPr>
        <w:t>（一）存在问题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0"/>
          <w:sz w:val="32"/>
          <w:szCs w:val="32"/>
          <w:highlight w:val="none"/>
          <w:lang w:val="zh-CN" w:eastAsia="zh-CN" w:bidi="zh-CN"/>
        </w:rPr>
      </w:pPr>
      <w:r>
        <w:rPr>
          <w:rFonts w:hint="eastAsia" w:ascii="仿宋_GB2312" w:hAnsi="仿宋_GB2312" w:eastAsia="仿宋_GB2312" w:cs="仿宋_GB2312"/>
          <w:b w:val="0"/>
          <w:bCs w:val="0"/>
          <w:kern w:val="0"/>
          <w:sz w:val="32"/>
          <w:szCs w:val="32"/>
          <w:highlight w:val="none"/>
          <w:lang w:val="en-US" w:eastAsia="zh-CN" w:bidi="zh-CN"/>
        </w:rPr>
        <w:t>一是对政务公开工作的重要性还未认识到位，日常工作中为民服务的重心依旧放在完善本职工作上，专职工作机构有待健全。二是公开内容比较简单，公开面还不够广，有时公开连续性不强，部门公开栏目更新较为迟缓。三是政务公开的重点不够突出、不够全面，信息质量有待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0"/>
          <w:sz w:val="32"/>
          <w:szCs w:val="32"/>
          <w:highlight w:val="none"/>
          <w:lang w:val="zh-CN" w:eastAsia="zh-CN" w:bidi="zh-CN"/>
        </w:rPr>
      </w:pPr>
      <w:r>
        <w:rPr>
          <w:rFonts w:hint="eastAsia" w:ascii="仿宋_GB2312" w:hAnsi="仿宋_GB2312" w:eastAsia="仿宋_GB2312" w:cs="仿宋_GB2312"/>
          <w:b w:val="0"/>
          <w:bCs w:val="0"/>
          <w:kern w:val="0"/>
          <w:sz w:val="32"/>
          <w:szCs w:val="32"/>
          <w:highlight w:val="none"/>
          <w:lang w:val="en-US" w:eastAsia="zh-CN" w:bidi="zh-CN"/>
        </w:rPr>
        <w:t>（二）改进措施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0"/>
          <w:sz w:val="32"/>
          <w:szCs w:val="32"/>
          <w:highlight w:val="none"/>
          <w:lang w:val="zh-CN" w:eastAsia="zh-CN" w:bidi="zh-CN"/>
        </w:rPr>
      </w:pPr>
      <w:r>
        <w:rPr>
          <w:rFonts w:hint="eastAsia" w:ascii="仿宋_GB2312" w:hAnsi="仿宋_GB2312" w:eastAsia="仿宋_GB2312" w:cs="仿宋_GB2312"/>
          <w:b w:val="0"/>
          <w:bCs w:val="0"/>
          <w:kern w:val="0"/>
          <w:sz w:val="32"/>
          <w:szCs w:val="32"/>
          <w:highlight w:val="none"/>
          <w:lang w:val="zh-CN" w:eastAsia="zh-CN" w:bidi="zh-CN"/>
        </w:rPr>
        <w:t>下一步，我局将进一步健全完善信息公开长效工作机制，确保政府信息公开工作人员到位、责任到位，不断夯实工作基础。一是加大政务公开力度。在公开的时间上，采取固定公开和临时公开相结合的方式。通过政务公开，使依法行政的工作要求和标准置于群众的监督之下，有力促进工作效率和工作质量的提高。二是加强局官方微博、微信公众号建设和管理，积极更新和维护，并积极探索新的科学高效的工作方法，进一步优化政府信息公开渠道，丰富公开形式，不断拓展政府信息公开层面，为宣传自然资源管理工作服好务。</w:t>
      </w:r>
    </w:p>
    <w:p>
      <w:pPr>
        <w:numPr>
          <w:numId w:val="0"/>
        </w:numPr>
        <w:tabs>
          <w:tab w:val="left" w:pos="0"/>
        </w:tabs>
        <w:spacing w:line="560" w:lineRule="exact"/>
        <w:ind w:firstLine="640" w:firstLineChars="200"/>
        <w:jc w:val="both"/>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六、</w:t>
      </w:r>
      <w:r>
        <w:rPr>
          <w:rFonts w:hint="eastAsia" w:ascii="黑体" w:hAnsi="黑体" w:eastAsia="黑体" w:cs="黑体"/>
          <w:b w:val="0"/>
          <w:bCs w:val="0"/>
          <w:sz w:val="32"/>
          <w:szCs w:val="32"/>
          <w:highlight w:val="none"/>
        </w:rPr>
        <w:t>其他需要报告的事项</w:t>
      </w:r>
    </w:p>
    <w:p>
      <w:pPr>
        <w:spacing w:line="560" w:lineRule="exact"/>
        <w:ind w:firstLine="640" w:firstLineChars="200"/>
        <w:jc w:val="both"/>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无。</w:t>
      </w:r>
    </w:p>
    <w:p>
      <w:pPr>
        <w:rPr>
          <w:b w:val="0"/>
          <w:bCs w:val="0"/>
          <w:highlight w:val="none"/>
        </w:rPr>
      </w:pPr>
    </w:p>
    <w:p>
      <w:pPr>
        <w:rPr>
          <w:b w:val="0"/>
          <w:bCs w:val="0"/>
          <w:highlight w:val="none"/>
        </w:rPr>
      </w:pPr>
    </w:p>
    <w:p>
      <w:pPr>
        <w:rPr>
          <w:b w:val="0"/>
          <w:bCs w:val="0"/>
          <w:highlight w:val="none"/>
        </w:rPr>
      </w:pPr>
    </w:p>
    <w:p>
      <w:pPr>
        <w:ind w:firstLine="5120" w:firstLineChars="1600"/>
        <w:rPr>
          <w:rFonts w:hint="default" w:ascii="仿宋_GB2312" w:hAnsi="仿宋_GB2312" w:eastAsia="仿宋_GB2312" w:cs="仿宋_GB2312"/>
          <w:b w:val="0"/>
          <w:bCs w:val="0"/>
          <w:kern w:val="0"/>
          <w:sz w:val="32"/>
          <w:szCs w:val="32"/>
          <w:highlight w:val="none"/>
          <w:lang w:val="en-US" w:eastAsia="zh-CN" w:bidi="zh-CN"/>
        </w:rPr>
      </w:pPr>
      <w:r>
        <w:rPr>
          <w:rFonts w:hint="eastAsia" w:ascii="仿宋_GB2312" w:hAnsi="仿宋_GB2312" w:eastAsia="仿宋_GB2312" w:cs="仿宋_GB2312"/>
          <w:b w:val="0"/>
          <w:bCs w:val="0"/>
          <w:kern w:val="0"/>
          <w:sz w:val="32"/>
          <w:szCs w:val="32"/>
          <w:highlight w:val="none"/>
          <w:lang w:val="en-US" w:eastAsia="zh-CN" w:bidi="zh-CN"/>
        </w:rPr>
        <w:t>2021年1月28日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6C4581"/>
    <w:rsid w:val="000241C2"/>
    <w:rsid w:val="000C2A30"/>
    <w:rsid w:val="001D66FE"/>
    <w:rsid w:val="0037372C"/>
    <w:rsid w:val="00595E2E"/>
    <w:rsid w:val="0064248D"/>
    <w:rsid w:val="007B47B3"/>
    <w:rsid w:val="00A715CD"/>
    <w:rsid w:val="00C21D15"/>
    <w:rsid w:val="00C4680E"/>
    <w:rsid w:val="00C67D3A"/>
    <w:rsid w:val="00C9748C"/>
    <w:rsid w:val="00CF1925"/>
    <w:rsid w:val="00D450F0"/>
    <w:rsid w:val="00E16996"/>
    <w:rsid w:val="00E8333A"/>
    <w:rsid w:val="00FD67B4"/>
    <w:rsid w:val="01EF393B"/>
    <w:rsid w:val="02734C3F"/>
    <w:rsid w:val="0390460C"/>
    <w:rsid w:val="039A3E8E"/>
    <w:rsid w:val="03D7591B"/>
    <w:rsid w:val="03FA286C"/>
    <w:rsid w:val="042F1DE8"/>
    <w:rsid w:val="05997F1A"/>
    <w:rsid w:val="06744A70"/>
    <w:rsid w:val="06DA0A58"/>
    <w:rsid w:val="072E33FD"/>
    <w:rsid w:val="073D6A9E"/>
    <w:rsid w:val="075610CE"/>
    <w:rsid w:val="084F78FD"/>
    <w:rsid w:val="088920B6"/>
    <w:rsid w:val="08B63E2C"/>
    <w:rsid w:val="0A9F18CE"/>
    <w:rsid w:val="0B457B30"/>
    <w:rsid w:val="0B730203"/>
    <w:rsid w:val="0B916278"/>
    <w:rsid w:val="0BA80A37"/>
    <w:rsid w:val="0BBC32B0"/>
    <w:rsid w:val="0C091275"/>
    <w:rsid w:val="0C1E369B"/>
    <w:rsid w:val="0C7D0542"/>
    <w:rsid w:val="0C974147"/>
    <w:rsid w:val="0D57260A"/>
    <w:rsid w:val="0D720C48"/>
    <w:rsid w:val="0DEF563B"/>
    <w:rsid w:val="0E355100"/>
    <w:rsid w:val="0EDA7310"/>
    <w:rsid w:val="0F591B6F"/>
    <w:rsid w:val="0FDC5A39"/>
    <w:rsid w:val="10187509"/>
    <w:rsid w:val="101E101B"/>
    <w:rsid w:val="103C293D"/>
    <w:rsid w:val="113905B5"/>
    <w:rsid w:val="116479CD"/>
    <w:rsid w:val="117F33C9"/>
    <w:rsid w:val="11C1186D"/>
    <w:rsid w:val="120F09BA"/>
    <w:rsid w:val="121E6936"/>
    <w:rsid w:val="136970BF"/>
    <w:rsid w:val="1393144D"/>
    <w:rsid w:val="13C818C5"/>
    <w:rsid w:val="14A8254A"/>
    <w:rsid w:val="15177F22"/>
    <w:rsid w:val="1536679D"/>
    <w:rsid w:val="157846BC"/>
    <w:rsid w:val="15F17944"/>
    <w:rsid w:val="16383F6A"/>
    <w:rsid w:val="179516D8"/>
    <w:rsid w:val="17C54D24"/>
    <w:rsid w:val="18904F00"/>
    <w:rsid w:val="19E060E8"/>
    <w:rsid w:val="1A2A1C45"/>
    <w:rsid w:val="1AB11C36"/>
    <w:rsid w:val="1B2763C2"/>
    <w:rsid w:val="1C8449B3"/>
    <w:rsid w:val="1C886F18"/>
    <w:rsid w:val="1C8B0361"/>
    <w:rsid w:val="1CA07D81"/>
    <w:rsid w:val="1CA16882"/>
    <w:rsid w:val="1CB37AD1"/>
    <w:rsid w:val="1D3A617F"/>
    <w:rsid w:val="1D5B3DF2"/>
    <w:rsid w:val="1D8C1728"/>
    <w:rsid w:val="1E461ADF"/>
    <w:rsid w:val="1F4314C1"/>
    <w:rsid w:val="1F433891"/>
    <w:rsid w:val="1F7A63F3"/>
    <w:rsid w:val="1F8F5FE1"/>
    <w:rsid w:val="20EF1A82"/>
    <w:rsid w:val="20F44186"/>
    <w:rsid w:val="21091025"/>
    <w:rsid w:val="21C31632"/>
    <w:rsid w:val="21EC3859"/>
    <w:rsid w:val="22407D4E"/>
    <w:rsid w:val="226C4581"/>
    <w:rsid w:val="229679A7"/>
    <w:rsid w:val="234F59BA"/>
    <w:rsid w:val="237F4CBF"/>
    <w:rsid w:val="25123FE5"/>
    <w:rsid w:val="252E2024"/>
    <w:rsid w:val="259026D2"/>
    <w:rsid w:val="25BB081D"/>
    <w:rsid w:val="25DE5E65"/>
    <w:rsid w:val="260D5828"/>
    <w:rsid w:val="262B1761"/>
    <w:rsid w:val="263374F8"/>
    <w:rsid w:val="267A6460"/>
    <w:rsid w:val="26B55CAA"/>
    <w:rsid w:val="275B3F2D"/>
    <w:rsid w:val="275E7049"/>
    <w:rsid w:val="2854138E"/>
    <w:rsid w:val="299E27E6"/>
    <w:rsid w:val="29BC58B6"/>
    <w:rsid w:val="29D13D60"/>
    <w:rsid w:val="2A1426C6"/>
    <w:rsid w:val="2A7371B8"/>
    <w:rsid w:val="2B0961F6"/>
    <w:rsid w:val="2B6E6DCD"/>
    <w:rsid w:val="2C216CF4"/>
    <w:rsid w:val="2C62707A"/>
    <w:rsid w:val="2C9E4497"/>
    <w:rsid w:val="2CCA5123"/>
    <w:rsid w:val="2D4D7CC5"/>
    <w:rsid w:val="2D5436DD"/>
    <w:rsid w:val="2DBA13F2"/>
    <w:rsid w:val="2DF76BF4"/>
    <w:rsid w:val="2EB96778"/>
    <w:rsid w:val="2EEC2A8E"/>
    <w:rsid w:val="2F2716EE"/>
    <w:rsid w:val="2FBA4C8F"/>
    <w:rsid w:val="2FC622BB"/>
    <w:rsid w:val="30036F8D"/>
    <w:rsid w:val="302B6EC2"/>
    <w:rsid w:val="30DB5CBC"/>
    <w:rsid w:val="317B7637"/>
    <w:rsid w:val="31C212BC"/>
    <w:rsid w:val="32704E90"/>
    <w:rsid w:val="328C42AC"/>
    <w:rsid w:val="32AC4590"/>
    <w:rsid w:val="330442AB"/>
    <w:rsid w:val="336F00C0"/>
    <w:rsid w:val="336F5D2F"/>
    <w:rsid w:val="33B32FCA"/>
    <w:rsid w:val="34685083"/>
    <w:rsid w:val="34854AA2"/>
    <w:rsid w:val="35914289"/>
    <w:rsid w:val="35AE4AF0"/>
    <w:rsid w:val="35D554EC"/>
    <w:rsid w:val="363E1B53"/>
    <w:rsid w:val="363E25D5"/>
    <w:rsid w:val="36514B2F"/>
    <w:rsid w:val="36B80A30"/>
    <w:rsid w:val="36E86C67"/>
    <w:rsid w:val="37022F8C"/>
    <w:rsid w:val="375E4A8A"/>
    <w:rsid w:val="37916874"/>
    <w:rsid w:val="388515AF"/>
    <w:rsid w:val="38DE17A1"/>
    <w:rsid w:val="39616225"/>
    <w:rsid w:val="398F6E9F"/>
    <w:rsid w:val="3A465481"/>
    <w:rsid w:val="3A8100FB"/>
    <w:rsid w:val="3AA8203E"/>
    <w:rsid w:val="3AE85731"/>
    <w:rsid w:val="3B1761FC"/>
    <w:rsid w:val="3B721D1C"/>
    <w:rsid w:val="3B7D4662"/>
    <w:rsid w:val="3C6D4BB2"/>
    <w:rsid w:val="3C6F6A0B"/>
    <w:rsid w:val="3CC12553"/>
    <w:rsid w:val="3CC42726"/>
    <w:rsid w:val="3D062C9E"/>
    <w:rsid w:val="3E8E0381"/>
    <w:rsid w:val="3F673E53"/>
    <w:rsid w:val="40393E67"/>
    <w:rsid w:val="41BB7615"/>
    <w:rsid w:val="41DC77B5"/>
    <w:rsid w:val="421E2B3C"/>
    <w:rsid w:val="42207238"/>
    <w:rsid w:val="42472436"/>
    <w:rsid w:val="42CD5058"/>
    <w:rsid w:val="42DD5FB8"/>
    <w:rsid w:val="43EB3540"/>
    <w:rsid w:val="44265DAC"/>
    <w:rsid w:val="442C26B4"/>
    <w:rsid w:val="44A00745"/>
    <w:rsid w:val="44AD1E43"/>
    <w:rsid w:val="45750051"/>
    <w:rsid w:val="45990CFE"/>
    <w:rsid w:val="46090E2F"/>
    <w:rsid w:val="46B3386D"/>
    <w:rsid w:val="46FD0EE9"/>
    <w:rsid w:val="473854F5"/>
    <w:rsid w:val="489F426C"/>
    <w:rsid w:val="496C21B9"/>
    <w:rsid w:val="4AE22478"/>
    <w:rsid w:val="4AF84E60"/>
    <w:rsid w:val="4BA54C70"/>
    <w:rsid w:val="4BEE6204"/>
    <w:rsid w:val="4CB156B8"/>
    <w:rsid w:val="4DC81F94"/>
    <w:rsid w:val="4DE97F77"/>
    <w:rsid w:val="4DEB115E"/>
    <w:rsid w:val="4E3F7B34"/>
    <w:rsid w:val="4EBC4B37"/>
    <w:rsid w:val="4ED1424C"/>
    <w:rsid w:val="4EE6424F"/>
    <w:rsid w:val="4F6C7B29"/>
    <w:rsid w:val="4F9F4C9A"/>
    <w:rsid w:val="500859DA"/>
    <w:rsid w:val="51FD1DDC"/>
    <w:rsid w:val="52604FF9"/>
    <w:rsid w:val="52BE128F"/>
    <w:rsid w:val="55690269"/>
    <w:rsid w:val="55970191"/>
    <w:rsid w:val="56B80112"/>
    <w:rsid w:val="587A4A0F"/>
    <w:rsid w:val="58F06A78"/>
    <w:rsid w:val="59592BA6"/>
    <w:rsid w:val="59946F1E"/>
    <w:rsid w:val="59A45D9A"/>
    <w:rsid w:val="59B21CB5"/>
    <w:rsid w:val="5AA02A62"/>
    <w:rsid w:val="5ADC2DBC"/>
    <w:rsid w:val="5ADC6D4A"/>
    <w:rsid w:val="5AEE44F9"/>
    <w:rsid w:val="5B4D42BB"/>
    <w:rsid w:val="5BD02E07"/>
    <w:rsid w:val="5C8C40A2"/>
    <w:rsid w:val="5CF64C85"/>
    <w:rsid w:val="5D153776"/>
    <w:rsid w:val="5D1905D9"/>
    <w:rsid w:val="5D690B69"/>
    <w:rsid w:val="5EA952E4"/>
    <w:rsid w:val="5F6D0481"/>
    <w:rsid w:val="6089192F"/>
    <w:rsid w:val="60C412AB"/>
    <w:rsid w:val="61B01D69"/>
    <w:rsid w:val="621264A9"/>
    <w:rsid w:val="62337532"/>
    <w:rsid w:val="629807A4"/>
    <w:rsid w:val="634D57D8"/>
    <w:rsid w:val="634F2EB8"/>
    <w:rsid w:val="63556D2D"/>
    <w:rsid w:val="63710C5F"/>
    <w:rsid w:val="644D627C"/>
    <w:rsid w:val="647C1F0A"/>
    <w:rsid w:val="650D1408"/>
    <w:rsid w:val="659A38FF"/>
    <w:rsid w:val="659E0CE5"/>
    <w:rsid w:val="65D1086D"/>
    <w:rsid w:val="65D42BBA"/>
    <w:rsid w:val="66FE4D4A"/>
    <w:rsid w:val="67621B71"/>
    <w:rsid w:val="67A2105D"/>
    <w:rsid w:val="682B436B"/>
    <w:rsid w:val="6A02054A"/>
    <w:rsid w:val="6B6C7DAB"/>
    <w:rsid w:val="6BCF3538"/>
    <w:rsid w:val="6C34734B"/>
    <w:rsid w:val="6C575259"/>
    <w:rsid w:val="6C696D3F"/>
    <w:rsid w:val="6CB557E9"/>
    <w:rsid w:val="6D5E2A7B"/>
    <w:rsid w:val="6D5E4C52"/>
    <w:rsid w:val="6F02317C"/>
    <w:rsid w:val="6F7B56B4"/>
    <w:rsid w:val="70335F53"/>
    <w:rsid w:val="70FD12BD"/>
    <w:rsid w:val="716777F6"/>
    <w:rsid w:val="718406C9"/>
    <w:rsid w:val="71DA2F84"/>
    <w:rsid w:val="73CE14C8"/>
    <w:rsid w:val="746D11DF"/>
    <w:rsid w:val="74F012BB"/>
    <w:rsid w:val="75145E34"/>
    <w:rsid w:val="751A4EE8"/>
    <w:rsid w:val="752028B3"/>
    <w:rsid w:val="753F50A6"/>
    <w:rsid w:val="75E92B5E"/>
    <w:rsid w:val="763C787D"/>
    <w:rsid w:val="77486B13"/>
    <w:rsid w:val="780F160C"/>
    <w:rsid w:val="784D2C13"/>
    <w:rsid w:val="787E6DCB"/>
    <w:rsid w:val="789E6DC6"/>
    <w:rsid w:val="79134D5B"/>
    <w:rsid w:val="79496DA0"/>
    <w:rsid w:val="79ED7C4A"/>
    <w:rsid w:val="79EE5957"/>
    <w:rsid w:val="7A2026C5"/>
    <w:rsid w:val="7A513D53"/>
    <w:rsid w:val="7C4230AA"/>
    <w:rsid w:val="7C453CA2"/>
    <w:rsid w:val="7C6E4166"/>
    <w:rsid w:val="7CA87111"/>
    <w:rsid w:val="7D530983"/>
    <w:rsid w:val="7D554E3F"/>
    <w:rsid w:val="7D9135B2"/>
    <w:rsid w:val="7DD0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eastAsia="仿宋_GB2312" w:cs="Arial"/>
      <w:b/>
      <w:bCs/>
      <w:kern w:val="0"/>
      <w:sz w:val="32"/>
      <w:szCs w:val="32"/>
    </w:rPr>
  </w:style>
  <w:style w:type="paragraph" w:styleId="3">
    <w:name w:val="Body Text"/>
    <w:basedOn w:val="1"/>
    <w:qFormat/>
    <w:uiPriority w:val="1"/>
    <w:pPr>
      <w:ind w:left="151"/>
    </w:pPr>
    <w:rPr>
      <w:sz w:val="32"/>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table" w:styleId="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方正仿宋_GBK" w:hAnsi="方正仿宋_GBK" w:eastAsia="方正仿宋_GBK" w:cs="方正仿宋_GBK"/>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955</Words>
  <Characters>5446</Characters>
  <Lines>45</Lines>
  <Paragraphs>12</Paragraphs>
  <TotalTime>15</TotalTime>
  <ScaleCrop>false</ScaleCrop>
  <LinksUpToDate>false</LinksUpToDate>
  <CharactersWithSpaces>6389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2021-01-19T02:25:00Z</dcterms:created>
  <dc:creator>Darren</dc:creator>
  <cp:lastModifiedBy>兔兔兔</cp:lastModifiedBy>
  <cp:lastPrinted>2021-01-20T02:22:00Z</cp:lastPrinted>
  <dcterms:modified xsi:type="dcterms:W3CDTF">2021-02-04T02:29:03Z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