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highlight w:val="none"/>
          <w:lang w:eastAsia="zh-CN"/>
        </w:rPr>
      </w:pPr>
      <w:r>
        <w:rPr>
          <w:rFonts w:hint="eastAsia" w:ascii="方正小标宋简体" w:hAnsi="方正小标宋简体" w:eastAsia="方正小标宋简体" w:cs="方正小标宋简体"/>
          <w:b w:val="0"/>
          <w:bCs w:val="0"/>
          <w:sz w:val="44"/>
          <w:szCs w:val="44"/>
          <w:highlight w:val="none"/>
          <w:lang w:eastAsia="zh-CN"/>
        </w:rPr>
        <w:t>沂源县自然资源局</w:t>
      </w:r>
    </w:p>
    <w:p>
      <w:pPr>
        <w:keepNext w:val="0"/>
        <w:keepLines w:val="0"/>
        <w:pageBreakBefore w:val="0"/>
        <w:kinsoku/>
        <w:wordWrap/>
        <w:overflowPunct/>
        <w:topLinePunct w:val="0"/>
        <w:autoSpaceDE w:val="0"/>
        <w:autoSpaceDN w:val="0"/>
        <w:bidi w:val="0"/>
        <w:adjustRightInd/>
        <w:snapToGrid/>
        <w:spacing w:line="580" w:lineRule="exact"/>
        <w:jc w:val="center"/>
        <w:textAlignment w:val="auto"/>
        <w:rPr>
          <w:rFonts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2021年</w:t>
      </w:r>
      <w:r>
        <w:rPr>
          <w:rFonts w:hint="eastAsia" w:ascii="方正小标宋简体" w:hAnsi="方正小标宋简体" w:eastAsia="方正小标宋简体" w:cs="方正小标宋简体"/>
          <w:b w:val="0"/>
          <w:bCs w:val="0"/>
          <w:sz w:val="44"/>
          <w:szCs w:val="44"/>
          <w:highlight w:val="none"/>
        </w:rPr>
        <w:t>政府信息公开工作年度报告</w:t>
      </w:r>
    </w:p>
    <w:p>
      <w:pPr>
        <w:keepNext w:val="0"/>
        <w:keepLines w:val="0"/>
        <w:pageBreakBefore w:val="0"/>
        <w:kinsoku/>
        <w:wordWrap/>
        <w:overflowPunct/>
        <w:topLinePunct w:val="0"/>
        <w:autoSpaceDE w:val="0"/>
        <w:autoSpaceDN w:val="0"/>
        <w:bidi w:val="0"/>
        <w:adjustRightInd/>
        <w:snapToGrid/>
        <w:spacing w:line="580" w:lineRule="exact"/>
        <w:jc w:val="both"/>
        <w:textAlignment w:val="auto"/>
        <w:rPr>
          <w:rFonts w:ascii="仿宋_GB2312" w:hAnsi="仿宋_GB2312" w:eastAsia="仿宋_GB2312" w:cs="仿宋_GB2312"/>
          <w:b w:val="0"/>
          <w:bCs w:val="0"/>
          <w:sz w:val="32"/>
          <w:szCs w:val="32"/>
          <w:highlight w:val="none"/>
        </w:rPr>
      </w:pPr>
    </w:p>
    <w:p>
      <w:pPr>
        <w:keepNext w:val="0"/>
        <w:keepLines w:val="0"/>
        <w:pageBreakBefore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highlight w:val="none"/>
          <w:lang w:val="en-US"/>
        </w:rPr>
      </w:pPr>
      <w:r>
        <w:rPr>
          <w:rFonts w:hint="eastAsia" w:ascii="仿宋_GB2312" w:hAnsi="仿宋_GB2312" w:eastAsia="仿宋_GB2312" w:cs="仿宋_GB2312"/>
          <w:b w:val="0"/>
          <w:bCs w:val="0"/>
          <w:sz w:val="32"/>
          <w:szCs w:val="32"/>
          <w:highlight w:val="none"/>
          <w:lang w:val="en-US"/>
        </w:rPr>
        <w:t>按照《</w:t>
      </w:r>
      <w:r>
        <w:rPr>
          <w:rFonts w:hint="eastAsia" w:ascii="仿宋_GB2312" w:hAnsi="仿宋_GB2312" w:eastAsia="仿宋_GB2312" w:cs="仿宋_GB2312"/>
          <w:b w:val="0"/>
          <w:bCs w:val="0"/>
          <w:sz w:val="32"/>
          <w:szCs w:val="32"/>
          <w:highlight w:val="none"/>
          <w:lang w:val="en-US" w:eastAsia="zh-CN"/>
        </w:rPr>
        <w:t>中华人民共和国政府信息公开条例</w:t>
      </w:r>
      <w:r>
        <w:rPr>
          <w:rFonts w:hint="eastAsia" w:ascii="仿宋_GB2312" w:hAnsi="仿宋_GB2312" w:eastAsia="仿宋_GB2312" w:cs="仿宋_GB2312"/>
          <w:b w:val="0"/>
          <w:bCs w:val="0"/>
          <w:sz w:val="32"/>
          <w:szCs w:val="32"/>
          <w:highlight w:val="none"/>
          <w:lang w:val="en-US"/>
        </w:rPr>
        <w:t>》和《国务院办公厅政府信息与政务公开办公室关于</w:t>
      </w:r>
      <w:r>
        <w:rPr>
          <w:rFonts w:hint="eastAsia" w:ascii="仿宋_GB2312" w:hAnsi="仿宋_GB2312" w:eastAsia="仿宋_GB2312" w:cs="仿宋_GB2312"/>
          <w:b w:val="0"/>
          <w:bCs w:val="0"/>
          <w:sz w:val="32"/>
          <w:szCs w:val="32"/>
          <w:highlight w:val="none"/>
          <w:lang w:val="en-US" w:eastAsia="zh-CN"/>
        </w:rPr>
        <w:t>中华人民共和国</w:t>
      </w:r>
      <w:r>
        <w:rPr>
          <w:rFonts w:hint="eastAsia" w:ascii="仿宋_GB2312" w:hAnsi="仿宋_GB2312" w:eastAsia="仿宋_GB2312" w:cs="仿宋_GB2312"/>
          <w:b w:val="0"/>
          <w:bCs w:val="0"/>
          <w:sz w:val="32"/>
          <w:szCs w:val="32"/>
          <w:highlight w:val="none"/>
          <w:lang w:val="en-US"/>
        </w:rPr>
        <w:t>政府信息公开工作年度报告</w:t>
      </w:r>
      <w:r>
        <w:rPr>
          <w:rFonts w:hint="eastAsia" w:ascii="仿宋_GB2312" w:hAnsi="仿宋_GB2312" w:eastAsia="仿宋_GB2312" w:cs="仿宋_GB2312"/>
          <w:b w:val="0"/>
          <w:bCs w:val="0"/>
          <w:sz w:val="32"/>
          <w:szCs w:val="32"/>
          <w:highlight w:val="none"/>
          <w:lang w:val="en-US" w:eastAsia="zh-CN"/>
        </w:rPr>
        <w:t>格式的通知</w:t>
      </w:r>
      <w:r>
        <w:rPr>
          <w:rFonts w:hint="eastAsia" w:ascii="仿宋_GB2312" w:hAnsi="仿宋_GB2312" w:eastAsia="仿宋_GB2312" w:cs="仿宋_GB2312"/>
          <w:b w:val="0"/>
          <w:bCs w:val="0"/>
          <w:sz w:val="32"/>
          <w:szCs w:val="32"/>
          <w:highlight w:val="none"/>
          <w:lang w:val="en-US"/>
        </w:rPr>
        <w:t>》(国办公开办函〔20</w:t>
      </w:r>
      <w:r>
        <w:rPr>
          <w:rFonts w:hint="eastAsia" w:ascii="仿宋_GB2312" w:hAnsi="仿宋_GB2312" w:eastAsia="仿宋_GB2312" w:cs="仿宋_GB2312"/>
          <w:b w:val="0"/>
          <w:bCs w:val="0"/>
          <w:sz w:val="32"/>
          <w:szCs w:val="32"/>
          <w:highlight w:val="none"/>
          <w:lang w:val="en-US" w:eastAsia="zh-CN"/>
        </w:rPr>
        <w:t>21</w:t>
      </w:r>
      <w:r>
        <w:rPr>
          <w:rFonts w:hint="eastAsia" w:ascii="仿宋_GB2312" w:hAnsi="仿宋_GB2312" w:eastAsia="仿宋_GB2312" w:cs="仿宋_GB2312"/>
          <w:b w:val="0"/>
          <w:bCs w:val="0"/>
          <w:sz w:val="32"/>
          <w:szCs w:val="32"/>
          <w:highlight w:val="none"/>
          <w:lang w:val="en-US"/>
        </w:rPr>
        <w:t>〕</w:t>
      </w: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lang w:val="en-US"/>
        </w:rPr>
        <w:t>0号)要求，结合</w:t>
      </w:r>
      <w:r>
        <w:rPr>
          <w:rFonts w:hint="eastAsia" w:ascii="仿宋_GB2312" w:hAnsi="仿宋_GB2312" w:eastAsia="仿宋_GB2312" w:cs="仿宋_GB2312"/>
          <w:b w:val="0"/>
          <w:bCs w:val="0"/>
          <w:kern w:val="0"/>
          <w:sz w:val="32"/>
          <w:szCs w:val="32"/>
          <w:highlight w:val="none"/>
          <w:lang w:val="en-US" w:eastAsia="zh-CN" w:bidi="zh-CN"/>
        </w:rPr>
        <w:t>我局政府信息公开工作实际，编制发布本报告</w:t>
      </w:r>
      <w:r>
        <w:rPr>
          <w:rFonts w:hint="eastAsia" w:ascii="仿宋_GB2312" w:hAnsi="仿宋_GB2312" w:eastAsia="仿宋_GB2312" w:cs="仿宋_GB2312"/>
          <w:b w:val="0"/>
          <w:bCs w:val="0"/>
          <w:sz w:val="32"/>
          <w:szCs w:val="32"/>
          <w:highlight w:val="none"/>
          <w:lang w:val="en-US"/>
        </w:rPr>
        <w:t>。</w:t>
      </w:r>
    </w:p>
    <w:p>
      <w:pPr>
        <w:keepNext w:val="0"/>
        <w:keepLines w:val="0"/>
        <w:pageBreakBefore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本报告内容包括总体情况、主动公开政府信息情况、收到和处理政府信息公开申请情况、政府信息公开行政复议、行政诉讼情况、存在的主要问题和改进情况、其他需要报告的事项。本报告中所列数据的统计期限自2021年1月1日起至2021年12月31日止。</w:t>
      </w:r>
    </w:p>
    <w:p>
      <w:pPr>
        <w:keepNext w:val="0"/>
        <w:keepLines w:val="0"/>
        <w:pageBreakBefore w:val="0"/>
        <w:numPr>
          <w:ilvl w:val="0"/>
          <w:numId w:val="0"/>
        </w:numPr>
        <w:tabs>
          <w:tab w:val="left" w:pos="0"/>
        </w:tabs>
        <w:kinsoku/>
        <w:wordWrap/>
        <w:overflowPunct/>
        <w:topLinePunct w:val="0"/>
        <w:autoSpaceDE w:val="0"/>
        <w:autoSpaceDN w:val="0"/>
        <w:bidi w:val="0"/>
        <w:adjustRightInd/>
        <w:snapToGrid/>
        <w:spacing w:line="580" w:lineRule="exact"/>
        <w:ind w:firstLine="640" w:firstLineChars="200"/>
        <w:jc w:val="both"/>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一、</w:t>
      </w:r>
      <w:r>
        <w:rPr>
          <w:rFonts w:hint="eastAsia" w:ascii="黑体" w:hAnsi="黑体" w:eastAsia="黑体" w:cs="黑体"/>
          <w:b w:val="0"/>
          <w:bCs w:val="0"/>
          <w:sz w:val="32"/>
          <w:szCs w:val="32"/>
          <w:highlight w:val="none"/>
        </w:rPr>
        <w:t>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ascii="仿宋_GB2312" w:hAnsi="微软雅黑" w:eastAsia="仿宋_GB2312" w:cs="仿宋_GB2312"/>
          <w:i w:val="0"/>
          <w:caps w:val="0"/>
          <w:color w:val="000000"/>
          <w:spacing w:val="0"/>
          <w:sz w:val="32"/>
          <w:szCs w:val="32"/>
        </w:rPr>
      </w:pPr>
      <w:r>
        <w:rPr>
          <w:rFonts w:ascii="仿宋_GB2312" w:hAnsi="微软雅黑" w:eastAsia="仿宋_GB2312" w:cs="仿宋_GB2312"/>
          <w:i w:val="0"/>
          <w:caps w:val="0"/>
          <w:color w:val="000000"/>
          <w:spacing w:val="0"/>
          <w:sz w:val="32"/>
          <w:szCs w:val="32"/>
        </w:rPr>
        <w:t>20</w:t>
      </w:r>
      <w:r>
        <w:rPr>
          <w:rFonts w:hint="eastAsia" w:ascii="仿宋_GB2312" w:hAnsi="微软雅黑" w:eastAsia="仿宋_GB2312" w:cs="仿宋_GB2312"/>
          <w:i w:val="0"/>
          <w:caps w:val="0"/>
          <w:color w:val="000000"/>
          <w:spacing w:val="0"/>
          <w:sz w:val="32"/>
          <w:szCs w:val="32"/>
        </w:rPr>
        <w:t>2</w:t>
      </w:r>
      <w:r>
        <w:rPr>
          <w:rFonts w:hint="eastAsia" w:ascii="仿宋_GB2312" w:hAnsi="微软雅黑" w:eastAsia="仿宋_GB2312" w:cs="仿宋_GB2312"/>
          <w:i w:val="0"/>
          <w:caps w:val="0"/>
          <w:color w:val="000000"/>
          <w:spacing w:val="0"/>
          <w:sz w:val="32"/>
          <w:szCs w:val="32"/>
          <w:lang w:val="en-US" w:eastAsia="zh-CN"/>
        </w:rPr>
        <w:t>1</w:t>
      </w:r>
      <w:r>
        <w:rPr>
          <w:rFonts w:hint="eastAsia" w:ascii="仿宋_GB2312" w:hAnsi="微软雅黑" w:eastAsia="仿宋_GB2312" w:cs="仿宋_GB2312"/>
          <w:i w:val="0"/>
          <w:caps w:val="0"/>
          <w:color w:val="000000"/>
          <w:spacing w:val="0"/>
          <w:sz w:val="32"/>
          <w:szCs w:val="32"/>
        </w:rPr>
        <w:t>年，</w:t>
      </w:r>
      <w:r>
        <w:rPr>
          <w:rFonts w:hint="eastAsia" w:ascii="仿宋_GB2312" w:hAnsi="微软雅黑" w:eastAsia="仿宋_GB2312" w:cs="仿宋_GB2312"/>
          <w:i w:val="0"/>
          <w:caps w:val="0"/>
          <w:color w:val="000000"/>
          <w:spacing w:val="0"/>
          <w:sz w:val="32"/>
          <w:szCs w:val="32"/>
          <w:lang w:eastAsia="zh-CN"/>
        </w:rPr>
        <w:t>我局按照</w:t>
      </w:r>
      <w:r>
        <w:rPr>
          <w:rFonts w:hint="eastAsia" w:ascii="仿宋_GB2312" w:hAnsi="微软雅黑" w:eastAsia="仿宋_GB2312" w:cs="仿宋_GB2312"/>
          <w:i w:val="0"/>
          <w:caps w:val="0"/>
          <w:color w:val="000000"/>
          <w:spacing w:val="0"/>
          <w:sz w:val="32"/>
          <w:szCs w:val="32"/>
        </w:rPr>
        <w:t>《中华人民共和国政府信息公开条例》和</w:t>
      </w:r>
      <w:r>
        <w:rPr>
          <w:rFonts w:hint="eastAsia" w:ascii="仿宋_GB2312" w:hAnsi="微软雅黑" w:eastAsia="仿宋_GB2312" w:cs="仿宋_GB2312"/>
          <w:i w:val="0"/>
          <w:caps w:val="0"/>
          <w:color w:val="000000"/>
          <w:spacing w:val="0"/>
          <w:sz w:val="32"/>
          <w:szCs w:val="32"/>
          <w:lang w:eastAsia="zh-CN"/>
        </w:rPr>
        <w:t>沂源县人民政府办公室</w:t>
      </w:r>
      <w:r>
        <w:rPr>
          <w:rFonts w:hint="eastAsia" w:ascii="仿宋_GB2312" w:hAnsi="微软雅黑" w:eastAsia="仿宋_GB2312" w:cs="仿宋_GB2312"/>
          <w:i w:val="0"/>
          <w:caps w:val="0"/>
          <w:color w:val="000000"/>
          <w:spacing w:val="0"/>
          <w:sz w:val="32"/>
          <w:szCs w:val="32"/>
        </w:rPr>
        <w:t>《关于印发2021年沂源县政务公开工作要点的通知》（源政办字〔202</w:t>
      </w:r>
      <w:r>
        <w:rPr>
          <w:rFonts w:hint="eastAsia" w:ascii="仿宋_GB2312" w:hAnsi="微软雅黑" w:eastAsia="仿宋_GB2312" w:cs="仿宋_GB2312"/>
          <w:i w:val="0"/>
          <w:caps w:val="0"/>
          <w:color w:val="000000"/>
          <w:spacing w:val="0"/>
          <w:sz w:val="32"/>
          <w:szCs w:val="32"/>
          <w:lang w:val="en-US" w:eastAsia="zh-CN"/>
        </w:rPr>
        <w:t>1</w:t>
      </w:r>
      <w:r>
        <w:rPr>
          <w:rFonts w:hint="eastAsia" w:ascii="仿宋_GB2312" w:hAnsi="微软雅黑" w:eastAsia="仿宋_GB2312" w:cs="仿宋_GB2312"/>
          <w:i w:val="0"/>
          <w:caps w:val="0"/>
          <w:color w:val="000000"/>
          <w:spacing w:val="0"/>
          <w:sz w:val="32"/>
          <w:szCs w:val="32"/>
        </w:rPr>
        <w:t>〕</w:t>
      </w:r>
      <w:r>
        <w:rPr>
          <w:rFonts w:hint="eastAsia" w:ascii="仿宋_GB2312" w:hAnsi="微软雅黑" w:eastAsia="仿宋_GB2312" w:cs="仿宋_GB2312"/>
          <w:i w:val="0"/>
          <w:caps w:val="0"/>
          <w:color w:val="000000"/>
          <w:spacing w:val="0"/>
          <w:sz w:val="32"/>
          <w:szCs w:val="32"/>
          <w:lang w:val="en-US" w:eastAsia="zh-CN"/>
        </w:rPr>
        <w:t>21</w:t>
      </w:r>
      <w:r>
        <w:rPr>
          <w:rFonts w:hint="eastAsia" w:ascii="仿宋_GB2312" w:hAnsi="微软雅黑" w:eastAsia="仿宋_GB2312" w:cs="仿宋_GB2312"/>
          <w:i w:val="0"/>
          <w:caps w:val="0"/>
          <w:color w:val="000000"/>
          <w:spacing w:val="0"/>
          <w:sz w:val="32"/>
          <w:szCs w:val="32"/>
        </w:rPr>
        <w:t>号）要求，围绕</w:t>
      </w:r>
      <w:r>
        <w:rPr>
          <w:rFonts w:hint="eastAsia" w:ascii="仿宋_GB2312" w:hAnsi="微软雅黑" w:eastAsia="仿宋_GB2312" w:cs="仿宋_GB2312"/>
          <w:i w:val="0"/>
          <w:caps w:val="0"/>
          <w:color w:val="000000"/>
          <w:spacing w:val="0"/>
          <w:sz w:val="32"/>
          <w:szCs w:val="32"/>
          <w:lang w:eastAsia="zh-CN"/>
        </w:rPr>
        <w:t>自然资源</w:t>
      </w:r>
      <w:r>
        <w:rPr>
          <w:rFonts w:hint="eastAsia" w:ascii="仿宋_GB2312" w:hAnsi="微软雅黑" w:eastAsia="仿宋_GB2312" w:cs="仿宋_GB2312"/>
          <w:i w:val="0"/>
          <w:caps w:val="0"/>
          <w:color w:val="000000"/>
          <w:spacing w:val="0"/>
          <w:sz w:val="32"/>
          <w:szCs w:val="32"/>
        </w:rPr>
        <w:t>中心</w:t>
      </w:r>
      <w:r>
        <w:rPr>
          <w:rFonts w:hint="eastAsia" w:ascii="仿宋_GB2312" w:hAnsi="微软雅黑" w:eastAsia="仿宋_GB2312" w:cs="仿宋_GB2312"/>
          <w:i w:val="0"/>
          <w:caps w:val="0"/>
          <w:color w:val="000000"/>
          <w:spacing w:val="0"/>
          <w:sz w:val="32"/>
          <w:szCs w:val="32"/>
          <w:lang w:eastAsia="zh-CN"/>
        </w:rPr>
        <w:t>工作</w:t>
      </w:r>
      <w:r>
        <w:rPr>
          <w:rFonts w:hint="eastAsia" w:ascii="仿宋_GB2312" w:hAnsi="微软雅黑" w:eastAsia="仿宋_GB2312" w:cs="仿宋_GB2312"/>
          <w:i w:val="0"/>
          <w:caps w:val="0"/>
          <w:color w:val="000000"/>
          <w:spacing w:val="0"/>
          <w:sz w:val="32"/>
          <w:szCs w:val="32"/>
        </w:rPr>
        <w:t>，</w:t>
      </w:r>
      <w:r>
        <w:rPr>
          <w:rFonts w:hint="eastAsia" w:ascii="仿宋_GB2312" w:hAnsi="微软雅黑" w:eastAsia="仿宋_GB2312" w:cs="仿宋_GB2312"/>
          <w:i w:val="0"/>
          <w:caps w:val="0"/>
          <w:color w:val="000000"/>
          <w:spacing w:val="0"/>
          <w:sz w:val="32"/>
          <w:szCs w:val="32"/>
          <w:lang w:val="en-US" w:eastAsia="zh-CN"/>
        </w:rPr>
        <w:t>进一步提高政务公开法治化、标准化、规范化水平，充分发挥政务公开在建设服务政府、法治政府、效能政府、廉洁政府等方面的促进作用，为全县经济社会高质量发展作出新贡献</w:t>
      </w:r>
      <w:r>
        <w:rPr>
          <w:rFonts w:hint="eastAsia" w:ascii="仿宋_GB2312" w:hAnsi="微软雅黑" w:eastAsia="仿宋_GB2312" w:cs="仿宋_GB2312"/>
          <w:i w:val="0"/>
          <w:caps w:val="0"/>
          <w:color w:val="000000"/>
          <w:spacing w:val="0"/>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right="0" w:firstLine="643" w:firstLineChars="200"/>
        <w:jc w:val="left"/>
        <w:textAlignment w:val="auto"/>
        <w:rPr>
          <w:rFonts w:hint="eastAsia" w:ascii="仿宋_GB2312" w:hAnsi="仿宋_GB2312" w:eastAsia="仿宋_GB2312" w:cs="仿宋_GB2312"/>
          <w:b/>
          <w:bCs/>
          <w:i w:val="0"/>
          <w:caps w:val="0"/>
          <w:color w:val="000000"/>
          <w:spacing w:val="0"/>
          <w:sz w:val="32"/>
          <w:szCs w:val="32"/>
        </w:rPr>
      </w:pPr>
      <w:r>
        <w:rPr>
          <w:rFonts w:hint="eastAsia" w:ascii="仿宋_GB2312" w:hAnsi="仿宋_GB2312" w:eastAsia="仿宋_GB2312" w:cs="仿宋_GB2312"/>
          <w:b/>
          <w:bCs/>
          <w:i w:val="0"/>
          <w:caps w:val="0"/>
          <w:color w:val="000000"/>
          <w:spacing w:val="0"/>
          <w:sz w:val="32"/>
          <w:szCs w:val="32"/>
        </w:rPr>
        <w:t>（一）主动公开情况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000000"/>
          <w:spacing w:val="0"/>
          <w:sz w:val="32"/>
          <w:szCs w:val="32"/>
        </w:rPr>
      </w:pPr>
      <w:r>
        <w:rPr>
          <w:rFonts w:hint="eastAsia" w:ascii="仿宋_GB2312" w:hAnsi="微软雅黑" w:eastAsia="仿宋_GB2312" w:cs="仿宋_GB2312"/>
          <w:i w:val="0"/>
          <w:caps w:val="0"/>
          <w:color w:val="000000"/>
          <w:spacing w:val="0"/>
          <w:sz w:val="32"/>
          <w:szCs w:val="32"/>
        </w:rPr>
        <w:t> 202</w:t>
      </w:r>
      <w:r>
        <w:rPr>
          <w:rFonts w:hint="eastAsia" w:ascii="仿宋_GB2312" w:hAnsi="微软雅黑" w:eastAsia="仿宋_GB2312" w:cs="仿宋_GB2312"/>
          <w:i w:val="0"/>
          <w:caps w:val="0"/>
          <w:color w:val="000000"/>
          <w:spacing w:val="0"/>
          <w:sz w:val="32"/>
          <w:szCs w:val="32"/>
          <w:lang w:val="en-US" w:eastAsia="zh-CN"/>
        </w:rPr>
        <w:t>1</w:t>
      </w:r>
      <w:r>
        <w:rPr>
          <w:rFonts w:hint="eastAsia" w:ascii="仿宋_GB2312" w:hAnsi="微软雅黑" w:eastAsia="仿宋_GB2312" w:cs="仿宋_GB2312"/>
          <w:i w:val="0"/>
          <w:caps w:val="0"/>
          <w:color w:val="000000"/>
          <w:spacing w:val="0"/>
          <w:sz w:val="32"/>
          <w:szCs w:val="32"/>
        </w:rPr>
        <w:t>年，</w:t>
      </w:r>
      <w:r>
        <w:rPr>
          <w:rFonts w:hint="eastAsia" w:ascii="仿宋_GB2312" w:hAnsi="微软雅黑" w:eastAsia="仿宋_GB2312" w:cs="仿宋_GB2312"/>
          <w:i w:val="0"/>
          <w:caps w:val="0"/>
          <w:color w:val="000000"/>
          <w:spacing w:val="0"/>
          <w:sz w:val="32"/>
          <w:szCs w:val="32"/>
          <w:lang w:val="en-US" w:eastAsia="zh-CN"/>
        </w:rPr>
        <w:t>我局共主动公开政府信息1111条，</w:t>
      </w:r>
      <w:r>
        <w:rPr>
          <w:rFonts w:hint="eastAsia" w:eastAsia="仿宋_GB2312"/>
          <w:color w:val="auto"/>
          <w:sz w:val="32"/>
          <w:szCs w:val="32"/>
          <w:shd w:val="clear" w:color="auto" w:fill="FFFFFF"/>
          <w:lang w:val="en-US" w:eastAsia="zh-CN"/>
        </w:rPr>
        <w:t>其中，</w:t>
      </w:r>
      <w:r>
        <w:rPr>
          <w:rFonts w:hint="eastAsia" w:ascii="仿宋_GB2312" w:hAnsi="微软雅黑" w:eastAsia="仿宋_GB2312" w:cs="仿宋_GB2312"/>
          <w:i w:val="0"/>
          <w:caps w:val="0"/>
          <w:color w:val="000000"/>
          <w:spacing w:val="0"/>
          <w:sz w:val="32"/>
          <w:szCs w:val="32"/>
          <w:lang w:eastAsia="zh-CN"/>
        </w:rPr>
        <w:t>通过政府网站</w:t>
      </w:r>
      <w:r>
        <w:rPr>
          <w:rFonts w:hint="eastAsia" w:ascii="仿宋_GB2312" w:hAnsi="微软雅黑" w:eastAsia="仿宋_GB2312" w:cs="仿宋_GB2312"/>
          <w:i w:val="0"/>
          <w:caps w:val="0"/>
          <w:color w:val="000000"/>
          <w:spacing w:val="0"/>
          <w:sz w:val="32"/>
          <w:szCs w:val="32"/>
        </w:rPr>
        <w:t>主动公开政府信息</w:t>
      </w:r>
      <w:r>
        <w:rPr>
          <w:rFonts w:hint="eastAsia" w:ascii="仿宋_GB2312" w:hAnsi="微软雅黑" w:eastAsia="仿宋_GB2312" w:cs="仿宋_GB2312"/>
          <w:i w:val="0"/>
          <w:caps w:val="0"/>
          <w:color w:val="000000"/>
          <w:spacing w:val="0"/>
          <w:sz w:val="32"/>
          <w:szCs w:val="32"/>
          <w:lang w:val="en-US" w:eastAsia="zh-CN"/>
        </w:rPr>
        <w:t>196</w:t>
      </w:r>
      <w:r>
        <w:rPr>
          <w:rFonts w:hint="eastAsia" w:ascii="仿宋_GB2312" w:hAnsi="微软雅黑" w:eastAsia="仿宋_GB2312" w:cs="仿宋_GB2312"/>
          <w:i w:val="0"/>
          <w:caps w:val="0"/>
          <w:color w:val="000000"/>
          <w:spacing w:val="0"/>
          <w:sz w:val="32"/>
          <w:szCs w:val="32"/>
        </w:rPr>
        <w:t>条</w:t>
      </w:r>
      <w:r>
        <w:rPr>
          <w:rFonts w:hint="eastAsia" w:ascii="仿宋_GB2312" w:hAnsi="微软雅黑" w:eastAsia="仿宋_GB2312" w:cs="仿宋_GB2312"/>
          <w:i w:val="0"/>
          <w:caps w:val="0"/>
          <w:color w:val="000000"/>
          <w:spacing w:val="0"/>
          <w:sz w:val="32"/>
          <w:szCs w:val="32"/>
          <w:lang w:eastAsia="zh-CN"/>
        </w:rPr>
        <w:t>，微信公众号发布信息</w:t>
      </w:r>
      <w:r>
        <w:rPr>
          <w:rFonts w:hint="eastAsia" w:ascii="仿宋_GB2312" w:hAnsi="微软雅黑" w:eastAsia="仿宋_GB2312" w:cs="仿宋_GB2312"/>
          <w:i w:val="0"/>
          <w:caps w:val="0"/>
          <w:color w:val="000000"/>
          <w:spacing w:val="0"/>
          <w:sz w:val="32"/>
          <w:szCs w:val="32"/>
          <w:lang w:val="en-US" w:eastAsia="zh-CN"/>
        </w:rPr>
        <w:t>85条，</w:t>
      </w:r>
      <w:r>
        <w:rPr>
          <w:rFonts w:hint="eastAsia" w:ascii="仿宋_GB2312" w:hAnsi="微软雅黑" w:eastAsia="仿宋_GB2312" w:cs="仿宋_GB2312"/>
          <w:i w:val="0"/>
          <w:caps w:val="0"/>
          <w:color w:val="000000"/>
          <w:spacing w:val="0"/>
          <w:sz w:val="32"/>
          <w:szCs w:val="32"/>
          <w:highlight w:val="none"/>
          <w:lang w:val="en-US" w:eastAsia="zh-CN"/>
        </w:rPr>
        <w:t>政务微博发布信息830条</w:t>
      </w:r>
      <w:r>
        <w:rPr>
          <w:rFonts w:hint="eastAsia" w:ascii="仿宋_GB2312" w:hAnsi="微软雅黑" w:eastAsia="仿宋_GB2312" w:cs="仿宋_GB2312"/>
          <w:i w:val="0"/>
          <w:caps w:val="0"/>
          <w:color w:val="000000"/>
          <w:spacing w:val="0"/>
          <w:sz w:val="32"/>
          <w:szCs w:val="32"/>
          <w:highlight w:val="none"/>
          <w:lang w:eastAsia="zh-CN"/>
        </w:rPr>
        <w:t>，进</w:t>
      </w:r>
      <w:r>
        <w:rPr>
          <w:rFonts w:hint="eastAsia" w:ascii="仿宋_GB2312" w:hAnsi="微软雅黑" w:eastAsia="仿宋_GB2312" w:cs="仿宋_GB2312"/>
          <w:i w:val="0"/>
          <w:caps w:val="0"/>
          <w:color w:val="000000"/>
          <w:spacing w:val="0"/>
          <w:sz w:val="32"/>
          <w:szCs w:val="32"/>
          <w:lang w:eastAsia="zh-CN"/>
        </w:rPr>
        <w:t>一步拓宽了公开渠道</w:t>
      </w:r>
      <w:r>
        <w:rPr>
          <w:rFonts w:hint="eastAsia" w:ascii="仿宋_GB2312" w:hAnsi="微软雅黑" w:eastAsia="仿宋_GB2312" w:cs="仿宋_GB2312"/>
          <w:i w:val="0"/>
          <w:caps w:val="0"/>
          <w:color w:val="000000"/>
          <w:spacing w:val="0"/>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000000"/>
          <w:spacing w:val="0"/>
          <w:sz w:val="32"/>
          <w:szCs w:val="32"/>
        </w:rPr>
      </w:pPr>
      <w:r>
        <w:drawing>
          <wp:anchor distT="0" distB="0" distL="114300" distR="114300" simplePos="0" relativeHeight="251659264" behindDoc="1" locked="0" layoutInCell="1" allowOverlap="1">
            <wp:simplePos x="0" y="0"/>
            <wp:positionH relativeFrom="column">
              <wp:posOffset>204470</wp:posOffset>
            </wp:positionH>
            <wp:positionV relativeFrom="paragraph">
              <wp:posOffset>224155</wp:posOffset>
            </wp:positionV>
            <wp:extent cx="4818380" cy="3285490"/>
            <wp:effectExtent l="5080" t="4445" r="15240" b="62865"/>
            <wp:wrapThrough wrapText="bothSides">
              <wp:wrapPolygon>
                <wp:start x="-23" y="-29"/>
                <wp:lineTo x="-23" y="21763"/>
                <wp:lineTo x="21498" y="21763"/>
                <wp:lineTo x="21498" y="-29"/>
                <wp:lineTo x="-23" y="-29"/>
              </wp:wrapPolygon>
            </wp:wrapThrough>
            <wp:docPr id="2"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000000"/>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000000"/>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000000"/>
          <w:spacing w:val="0"/>
          <w:sz w:val="32"/>
          <w:szCs w:val="32"/>
          <w:lang w:eastAsia="zh-CN"/>
        </w:rPr>
      </w:pPr>
      <w:r>
        <w:rPr>
          <w:rFonts w:hint="eastAsia" w:ascii="仿宋_GB2312" w:hAnsi="微软雅黑" w:eastAsia="仿宋_GB2312" w:cs="仿宋_GB2312"/>
          <w:i w:val="0"/>
          <w:caps w:val="0"/>
          <w:color w:val="000000"/>
          <w:spacing w:val="0"/>
          <w:sz w:val="32"/>
          <w:szCs w:val="32"/>
          <w:lang w:eastAsia="zh-CN"/>
        </w:rPr>
        <w:t>一是做好了重点领域信息公开。围绕自然资源中心工作，对经济社会发展、规划计划、重点民生、重要决策</w:t>
      </w:r>
      <w:r>
        <w:rPr>
          <w:rFonts w:hint="eastAsia" w:ascii="仿宋_GB2312" w:hAnsi="微软雅黑" w:eastAsia="仿宋_GB2312" w:cs="仿宋_GB2312"/>
          <w:i w:val="0"/>
          <w:caps w:val="0"/>
          <w:color w:val="000000"/>
          <w:spacing w:val="0"/>
          <w:sz w:val="32"/>
          <w:szCs w:val="32"/>
          <w:shd w:val="clear" w:fill="FFFFFF"/>
          <w:lang w:eastAsia="zh-CN"/>
        </w:rPr>
        <w:t>、土地征收、国有土地使用权出让、矿业权市场、自然灾害信息</w:t>
      </w:r>
      <w:r>
        <w:rPr>
          <w:rFonts w:hint="eastAsia" w:ascii="仿宋_GB2312" w:hAnsi="微软雅黑" w:eastAsia="仿宋_GB2312" w:cs="仿宋_GB2312"/>
          <w:i w:val="0"/>
          <w:caps w:val="0"/>
          <w:color w:val="000000"/>
          <w:spacing w:val="0"/>
          <w:sz w:val="32"/>
          <w:szCs w:val="32"/>
          <w:lang w:eastAsia="zh-CN"/>
        </w:rPr>
        <w:t>等方面，定期公开工作进展，</w:t>
      </w:r>
      <w:r>
        <w:rPr>
          <w:rFonts w:hint="eastAsia" w:ascii="仿宋_GB2312" w:hAnsi="微软雅黑" w:eastAsia="仿宋_GB2312" w:cs="仿宋_GB2312"/>
          <w:i w:val="0"/>
          <w:caps w:val="0"/>
          <w:color w:val="000000"/>
          <w:spacing w:val="0"/>
          <w:sz w:val="32"/>
          <w:szCs w:val="32"/>
          <w:shd w:val="clear" w:fill="FFFFFF"/>
        </w:rPr>
        <w:t>自觉接受群众和社会的监督。</w:t>
      </w:r>
    </w:p>
    <w:p>
      <w:pPr>
        <w:keepNext w:val="0"/>
        <w:keepLines w:val="0"/>
        <w:pageBreakBefore w:val="0"/>
        <w:kinsoku/>
        <w:wordWrap/>
        <w:overflowPunct/>
        <w:topLinePunct w:val="0"/>
        <w:autoSpaceDE w:val="0"/>
        <w:autoSpaceDN w:val="0"/>
        <w:bidi w:val="0"/>
        <w:adjustRightInd/>
        <w:snapToGrid/>
        <w:spacing w:line="580" w:lineRule="exact"/>
        <w:ind w:firstLine="640" w:firstLineChars="200"/>
        <w:jc w:val="left"/>
        <w:textAlignment w:val="auto"/>
        <w:rPr>
          <w:rFonts w:hint="eastAsia" w:ascii="仿宋_GB2312" w:hAnsi="微软雅黑" w:eastAsia="仿宋_GB2312" w:cs="仿宋_GB2312"/>
          <w:i w:val="0"/>
          <w:caps w:val="0"/>
          <w:color w:val="000000"/>
          <w:spacing w:val="0"/>
          <w:sz w:val="32"/>
          <w:szCs w:val="32"/>
          <w:lang w:eastAsia="zh-CN"/>
        </w:rPr>
      </w:pPr>
      <w:r>
        <w:rPr>
          <w:rFonts w:hint="eastAsia" w:ascii="仿宋_GB2312" w:hAnsi="微软雅黑" w:eastAsia="仿宋_GB2312" w:cs="仿宋_GB2312"/>
          <w:i w:val="0"/>
          <w:caps w:val="0"/>
          <w:color w:val="000000"/>
          <w:spacing w:val="0"/>
          <w:sz w:val="32"/>
          <w:szCs w:val="32"/>
          <w:lang w:eastAsia="zh-CN"/>
        </w:rPr>
        <w:t>二是做好常规性信息公开。对机构职能、职责清单、政策文件、部门会议、财政收支、领导信息、人事任免等常规性工作，根据工作实际及时更新，提高群众的知情权。</w:t>
      </w:r>
    </w:p>
    <w:p>
      <w:pPr>
        <w:keepNext w:val="0"/>
        <w:keepLines w:val="0"/>
        <w:pageBreakBefore w:val="0"/>
        <w:kinsoku/>
        <w:wordWrap/>
        <w:overflowPunct/>
        <w:topLinePunct w:val="0"/>
        <w:autoSpaceDE w:val="0"/>
        <w:autoSpaceDN w:val="0"/>
        <w:bidi w:val="0"/>
        <w:adjustRightInd/>
        <w:snapToGrid/>
        <w:spacing w:line="580" w:lineRule="exact"/>
        <w:ind w:firstLine="640" w:firstLineChars="200"/>
        <w:jc w:val="left"/>
        <w:textAlignment w:val="auto"/>
        <w:rPr>
          <w:rFonts w:hint="eastAsia" w:ascii="仿宋_GB2312" w:hAnsi="微软雅黑" w:eastAsia="仿宋_GB2312" w:cs="仿宋_GB2312"/>
          <w:i w:val="0"/>
          <w:caps w:val="0"/>
          <w:color w:val="000000"/>
          <w:spacing w:val="0"/>
          <w:sz w:val="32"/>
          <w:szCs w:val="32"/>
          <w:lang w:eastAsia="zh-CN"/>
        </w:rPr>
      </w:pPr>
      <w:r>
        <w:rPr>
          <w:rFonts w:hint="eastAsia" w:ascii="仿宋_GB2312" w:hAnsi="微软雅黑" w:eastAsia="仿宋_GB2312" w:cs="仿宋_GB2312"/>
          <w:i w:val="0"/>
          <w:caps w:val="0"/>
          <w:color w:val="000000"/>
          <w:spacing w:val="0"/>
          <w:sz w:val="32"/>
          <w:szCs w:val="32"/>
          <w:lang w:eastAsia="zh-CN"/>
        </w:rPr>
        <w:t>三是多渠道做好政务公开工作。通过微信公众号、政务微博定期发布工作动态、转发国家政策，进一步拓展了信息公开的广度深度。</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微软雅黑" w:eastAsia="仿宋_GB2312" w:cs="仿宋_GB2312"/>
          <w:i w:val="0"/>
          <w:caps w:val="0"/>
          <w:color w:val="000000"/>
          <w:spacing w:val="0"/>
          <w:sz w:val="32"/>
          <w:szCs w:val="32"/>
          <w:lang w:val="en-US" w:eastAsia="zh-CN"/>
        </w:rPr>
        <w:t>2021年，</w:t>
      </w:r>
      <w:r>
        <w:rPr>
          <w:rFonts w:hint="eastAsia" w:ascii="仿宋_GB2312" w:hAnsi="微软雅黑" w:eastAsia="仿宋_GB2312" w:cs="仿宋_GB2312"/>
          <w:i w:val="0"/>
          <w:caps w:val="0"/>
          <w:color w:val="000000"/>
          <w:spacing w:val="0"/>
          <w:sz w:val="32"/>
          <w:szCs w:val="32"/>
          <w:lang w:eastAsia="zh-CN"/>
        </w:rPr>
        <w:t>主动公开部门会议</w:t>
      </w:r>
      <w:r>
        <w:rPr>
          <w:rFonts w:hint="eastAsia" w:ascii="仿宋_GB2312" w:hAnsi="微软雅黑" w:eastAsia="仿宋_GB2312" w:cs="仿宋_GB2312"/>
          <w:i w:val="0"/>
          <w:caps w:val="0"/>
          <w:color w:val="000000"/>
          <w:spacing w:val="0"/>
          <w:sz w:val="32"/>
          <w:szCs w:val="32"/>
          <w:lang w:val="en-US" w:eastAsia="zh-CN"/>
        </w:rPr>
        <w:t>7次</w:t>
      </w:r>
      <w:r>
        <w:rPr>
          <w:rFonts w:hint="eastAsia" w:ascii="仿宋_GB2312" w:hAnsi="微软雅黑" w:eastAsia="仿宋_GB2312" w:cs="仿宋_GB2312"/>
          <w:i w:val="0"/>
          <w:caps w:val="0"/>
          <w:color w:val="000000"/>
          <w:spacing w:val="0"/>
          <w:sz w:val="32"/>
          <w:szCs w:val="32"/>
          <w:lang w:eastAsia="zh-CN"/>
        </w:rPr>
        <w:t>，政策法规</w:t>
      </w:r>
      <w:r>
        <w:rPr>
          <w:rFonts w:hint="eastAsia" w:ascii="仿宋_GB2312" w:hAnsi="微软雅黑" w:eastAsia="仿宋_GB2312" w:cs="仿宋_GB2312"/>
          <w:i w:val="0"/>
          <w:caps w:val="0"/>
          <w:color w:val="000000"/>
          <w:spacing w:val="0"/>
          <w:sz w:val="32"/>
          <w:szCs w:val="32"/>
          <w:lang w:val="en-US" w:eastAsia="zh-CN"/>
        </w:rPr>
        <w:t>2件，</w:t>
      </w:r>
      <w:r>
        <w:rPr>
          <w:rFonts w:hint="eastAsia" w:ascii="仿宋_GB2312" w:hAnsi="微软雅黑" w:eastAsia="仿宋_GB2312" w:cs="仿宋_GB2312"/>
          <w:i w:val="0"/>
          <w:caps w:val="0"/>
          <w:color w:val="000000"/>
          <w:spacing w:val="0"/>
          <w:sz w:val="32"/>
          <w:szCs w:val="32"/>
          <w:lang w:eastAsia="zh-CN"/>
        </w:rPr>
        <w:t>部门文件</w:t>
      </w:r>
      <w:r>
        <w:rPr>
          <w:rFonts w:hint="eastAsia" w:ascii="仿宋_GB2312" w:hAnsi="微软雅黑" w:eastAsia="仿宋_GB2312" w:cs="仿宋_GB2312"/>
          <w:i w:val="0"/>
          <w:caps w:val="0"/>
          <w:color w:val="000000"/>
          <w:spacing w:val="0"/>
          <w:sz w:val="32"/>
          <w:szCs w:val="32"/>
          <w:lang w:val="en-US" w:eastAsia="zh-CN"/>
        </w:rPr>
        <w:t>7</w:t>
      </w:r>
      <w:r>
        <w:rPr>
          <w:rFonts w:hint="eastAsia" w:ascii="仿宋_GB2312" w:hAnsi="微软雅黑" w:eastAsia="仿宋_GB2312" w:cs="仿宋_GB2312"/>
          <w:i w:val="0"/>
          <w:caps w:val="0"/>
          <w:color w:val="000000"/>
          <w:spacing w:val="0"/>
          <w:sz w:val="32"/>
          <w:szCs w:val="32"/>
          <w:lang w:eastAsia="zh-CN"/>
        </w:rPr>
        <w:t>件，政策解读</w:t>
      </w:r>
      <w:r>
        <w:rPr>
          <w:rFonts w:hint="eastAsia" w:ascii="仿宋_GB2312" w:hAnsi="微软雅黑" w:eastAsia="仿宋_GB2312" w:cs="仿宋_GB2312"/>
          <w:i w:val="0"/>
          <w:caps w:val="0"/>
          <w:color w:val="000000"/>
          <w:spacing w:val="0"/>
          <w:sz w:val="32"/>
          <w:szCs w:val="32"/>
          <w:lang w:val="en-US" w:eastAsia="zh-CN"/>
        </w:rPr>
        <w:t>11件，</w:t>
      </w:r>
      <w:r>
        <w:rPr>
          <w:rFonts w:hint="eastAsia" w:ascii="仿宋_GB2312" w:hAnsi="微软雅黑" w:eastAsia="仿宋_GB2312" w:cs="仿宋_GB2312"/>
          <w:i w:val="0"/>
          <w:caps w:val="0"/>
          <w:color w:val="000000"/>
          <w:spacing w:val="0"/>
          <w:sz w:val="32"/>
          <w:szCs w:val="32"/>
          <w:lang w:eastAsia="zh-CN"/>
        </w:rPr>
        <w:t>积极采用主要负责人解读、图片解读、视频解读等多种形式进行解读。</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w:t>
      </w:r>
      <w:r>
        <w:rPr>
          <w:rFonts w:hint="eastAsia" w:ascii="仿宋_GB2312" w:hAnsi="仿宋_GB2312" w:eastAsia="仿宋_GB2312" w:cs="仿宋_GB2312"/>
          <w:sz w:val="32"/>
          <w:szCs w:val="32"/>
          <w:lang w:eastAsia="zh-CN"/>
        </w:rPr>
        <w:t>办理回复</w:t>
      </w:r>
      <w:r>
        <w:rPr>
          <w:rFonts w:hint="eastAsia" w:ascii="仿宋_GB2312" w:hAnsi="仿宋_GB2312" w:eastAsia="仿宋_GB2312" w:cs="仿宋_GB2312"/>
          <w:sz w:val="32"/>
          <w:szCs w:val="32"/>
        </w:rPr>
        <w:t>12345投诉热线</w:t>
      </w:r>
      <w:r>
        <w:rPr>
          <w:rFonts w:hint="eastAsia" w:ascii="仿宋_GB2312" w:hAnsi="仿宋_GB2312" w:eastAsia="仿宋_GB2312" w:cs="仿宋_GB2312"/>
          <w:sz w:val="32"/>
          <w:szCs w:val="32"/>
          <w:lang w:val="en-US" w:eastAsia="zh-CN"/>
        </w:rPr>
        <w:t>1430</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满意率</w:t>
      </w:r>
      <w:r>
        <w:rPr>
          <w:rFonts w:hint="eastAsia" w:ascii="仿宋_GB2312" w:hAnsi="仿宋_GB2312" w:eastAsia="仿宋_GB2312" w:cs="仿宋_GB2312"/>
          <w:sz w:val="32"/>
          <w:szCs w:val="32"/>
          <w:lang w:val="en-US" w:eastAsia="zh-CN"/>
        </w:rPr>
        <w:t>88.3%。</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640" w:right="0" w:firstLine="0"/>
        <w:jc w:val="both"/>
        <w:textAlignment w:val="auto"/>
        <w:rPr>
          <w:rFonts w:hint="eastAsia" w:ascii="微软雅黑" w:hAnsi="微软雅黑" w:eastAsia="微软雅黑" w:cs="微软雅黑"/>
          <w:i w:val="0"/>
          <w:caps w:val="0"/>
          <w:color w:val="000000"/>
          <w:spacing w:val="0"/>
          <w:sz w:val="24"/>
          <w:szCs w:val="24"/>
        </w:rPr>
      </w:pPr>
      <w:r>
        <w:rPr>
          <w:rFonts w:hint="eastAsia" w:ascii="仿宋_GB2312" w:hAnsi="仿宋_GB2312" w:eastAsia="仿宋_GB2312" w:cs="仿宋_GB2312"/>
          <w:sz w:val="32"/>
          <w:szCs w:val="32"/>
          <w:lang w:eastAsia="zh-CN"/>
        </w:rPr>
        <w:drawing>
          <wp:anchor distT="0" distB="0" distL="114300" distR="114300" simplePos="0" relativeHeight="251662336" behindDoc="1" locked="0" layoutInCell="1" allowOverlap="1">
            <wp:simplePos x="0" y="0"/>
            <wp:positionH relativeFrom="column">
              <wp:posOffset>-57150</wp:posOffset>
            </wp:positionH>
            <wp:positionV relativeFrom="paragraph">
              <wp:posOffset>135890</wp:posOffset>
            </wp:positionV>
            <wp:extent cx="5461635" cy="3694430"/>
            <wp:effectExtent l="0" t="0" r="5715" b="0"/>
            <wp:wrapTight wrapText="bothSides">
              <wp:wrapPolygon>
                <wp:start x="0" y="0"/>
                <wp:lineTo x="0" y="21496"/>
                <wp:lineTo x="21547" y="21496"/>
                <wp:lineTo x="21547" y="0"/>
                <wp:lineTo x="0" y="0"/>
              </wp:wrapPolygon>
            </wp:wrapTight>
            <wp:docPr id="4" name="图片 4" descr="164335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3351719"/>
                    <pic:cNvPicPr>
                      <a:picLocks noChangeAspect="1"/>
                    </pic:cNvPicPr>
                  </pic:nvPicPr>
                  <pic:blipFill>
                    <a:blip r:embed="rId6"/>
                    <a:stretch>
                      <a:fillRect/>
                    </a:stretch>
                  </pic:blipFill>
                  <pic:spPr>
                    <a:xfrm>
                      <a:off x="0" y="0"/>
                      <a:ext cx="5461635" cy="3694430"/>
                    </a:xfrm>
                    <a:prstGeom prst="rect">
                      <a:avLst/>
                    </a:prstGeom>
                  </pic:spPr>
                </pic:pic>
              </a:graphicData>
            </a:graphic>
          </wp:anchor>
        </w:drawing>
      </w:r>
      <w:r>
        <w:rPr>
          <w:rStyle w:val="10"/>
          <w:rFonts w:hint="eastAsia" w:ascii="仿宋_GB2312" w:hAnsi="微软雅黑" w:eastAsia="仿宋_GB2312" w:cs="仿宋_GB2312"/>
          <w:b/>
          <w:i w:val="0"/>
          <w:caps w:val="0"/>
          <w:color w:val="000000"/>
          <w:spacing w:val="0"/>
          <w:sz w:val="32"/>
          <w:szCs w:val="32"/>
          <w:shd w:val="clear" w:fill="FFFFFF"/>
        </w:rPr>
        <w:t>（二）依申请公开情况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仿宋_GB2312" w:hAnsi="微软雅黑" w:eastAsia="仿宋_GB2312" w:cs="仿宋_GB2312"/>
          <w:i w:val="0"/>
          <w:caps w:val="0"/>
          <w:color w:val="000000"/>
          <w:spacing w:val="0"/>
          <w:sz w:val="32"/>
          <w:szCs w:val="32"/>
          <w:shd w:val="clear" w:fill="FFFFFF"/>
          <w:lang w:val="en-US" w:eastAsia="zh-CN"/>
        </w:rPr>
      </w:pPr>
      <w:r>
        <w:rPr>
          <w:rFonts w:hint="eastAsia" w:ascii="仿宋_GB2312" w:hAnsi="微软雅黑" w:eastAsia="仿宋_GB2312" w:cs="仿宋_GB2312"/>
          <w:i w:val="0"/>
          <w:caps w:val="0"/>
          <w:color w:val="000000"/>
          <w:spacing w:val="0"/>
          <w:sz w:val="32"/>
          <w:szCs w:val="32"/>
          <w:shd w:val="clear" w:fill="FFFFFF"/>
          <w:lang w:val="en-US" w:eastAsia="zh-CN"/>
        </w:rPr>
        <w:t>在门户网站设立依申请公开专栏，由专人负责接收、审查及答复工作。</w:t>
      </w:r>
      <w:r>
        <w:rPr>
          <w:rFonts w:hint="eastAsia" w:ascii="仿宋_GB2312" w:hAnsi="微软雅黑" w:eastAsia="仿宋_GB2312" w:cs="仿宋_GB2312"/>
          <w:i w:val="0"/>
          <w:caps w:val="0"/>
          <w:color w:val="000000"/>
          <w:spacing w:val="0"/>
          <w:sz w:val="32"/>
          <w:szCs w:val="32"/>
          <w:shd w:val="clear" w:fill="FFFFFF"/>
        </w:rPr>
        <w:t>202</w:t>
      </w:r>
      <w:r>
        <w:rPr>
          <w:rFonts w:hint="eastAsia" w:ascii="仿宋_GB2312" w:hAnsi="微软雅黑" w:eastAsia="仿宋_GB2312" w:cs="仿宋_GB2312"/>
          <w:i w:val="0"/>
          <w:caps w:val="0"/>
          <w:color w:val="000000"/>
          <w:spacing w:val="0"/>
          <w:sz w:val="32"/>
          <w:szCs w:val="32"/>
          <w:shd w:val="clear" w:fill="FFFFFF"/>
          <w:lang w:val="en-US" w:eastAsia="zh-CN"/>
        </w:rPr>
        <w:t>1</w:t>
      </w:r>
      <w:r>
        <w:rPr>
          <w:rFonts w:hint="eastAsia" w:ascii="仿宋_GB2312" w:hAnsi="微软雅黑" w:eastAsia="仿宋_GB2312" w:cs="仿宋_GB2312"/>
          <w:i w:val="0"/>
          <w:caps w:val="0"/>
          <w:color w:val="000000"/>
          <w:spacing w:val="0"/>
          <w:sz w:val="32"/>
          <w:szCs w:val="32"/>
          <w:shd w:val="clear" w:fill="FFFFFF"/>
        </w:rPr>
        <w:t>年，通过各种渠道收到有关政府信息公</w:t>
      </w:r>
      <w:r>
        <w:rPr>
          <w:rFonts w:hint="eastAsia" w:ascii="仿宋_GB2312" w:hAnsi="微软雅黑" w:eastAsia="仿宋_GB2312" w:cs="仿宋_GB2312"/>
          <w:i w:val="0"/>
          <w:caps w:val="0"/>
          <w:color w:val="000000"/>
          <w:spacing w:val="0"/>
          <w:sz w:val="32"/>
          <w:szCs w:val="32"/>
          <w:shd w:val="clear" w:fill="FFFFFF"/>
          <w:lang w:val="en-US" w:eastAsia="zh-CN"/>
        </w:rPr>
        <w:t>开申请33件，主要涉及土地征收、规划等方面，均按期进行了答复。其中，予以公开11件，部分公开7件，无法提供15件。2021年，没有因政府信息公开被申请行政复议件；因政府信息公开被提起行政诉讼1件，经后期补正信息，已撤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drawing>
          <wp:anchor distT="0" distB="0" distL="114300" distR="114300" simplePos="0" relativeHeight="251660288" behindDoc="1" locked="0" layoutInCell="1" allowOverlap="1">
            <wp:simplePos x="0" y="0"/>
            <wp:positionH relativeFrom="column">
              <wp:posOffset>144145</wp:posOffset>
            </wp:positionH>
            <wp:positionV relativeFrom="paragraph">
              <wp:posOffset>175260</wp:posOffset>
            </wp:positionV>
            <wp:extent cx="5057775" cy="2999740"/>
            <wp:effectExtent l="4445" t="4445" r="62230" b="62865"/>
            <wp:wrapTight wrapText="bothSides">
              <wp:wrapPolygon>
                <wp:start x="-19" y="-32"/>
                <wp:lineTo x="-19" y="21778"/>
                <wp:lineTo x="21540" y="21778"/>
                <wp:lineTo x="21540" y="-32"/>
                <wp:lineTo x="-19" y="-32"/>
              </wp:wrapPolygon>
            </wp:wrapTight>
            <wp:docPr id="3" name="图表 2" descr="7b0a202020202263686172745265734964223a2022323034373231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Style w:val="10"/>
          <w:rFonts w:hint="eastAsia" w:ascii="仿宋_GB2312" w:hAnsi="微软雅黑" w:eastAsia="仿宋_GB2312" w:cs="仿宋_GB2312"/>
          <w:b/>
          <w:i w:val="0"/>
          <w:caps w:val="0"/>
          <w:color w:val="000000"/>
          <w:spacing w:val="0"/>
          <w:sz w:val="32"/>
          <w:szCs w:val="32"/>
          <w:shd w:val="clear" w:fill="FFFFFF"/>
        </w:rPr>
        <w:t>（三）政府信息管理情况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right="0" w:firstLine="640" w:firstLineChars="200"/>
        <w:jc w:val="both"/>
        <w:textAlignment w:val="auto"/>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2"/>
          <w:szCs w:val="32"/>
          <w:shd w:val="clear" w:fill="FFFFFF"/>
          <w:lang w:eastAsia="zh-CN"/>
        </w:rPr>
        <w:drawing>
          <wp:anchor distT="0" distB="0" distL="114300" distR="114300" simplePos="0" relativeHeight="251663360" behindDoc="1" locked="0" layoutInCell="1" allowOverlap="1">
            <wp:simplePos x="0" y="0"/>
            <wp:positionH relativeFrom="column">
              <wp:posOffset>142240</wp:posOffset>
            </wp:positionH>
            <wp:positionV relativeFrom="paragraph">
              <wp:posOffset>1860550</wp:posOffset>
            </wp:positionV>
            <wp:extent cx="5046345" cy="3172460"/>
            <wp:effectExtent l="0" t="0" r="1905" b="8890"/>
            <wp:wrapTight wrapText="bothSides">
              <wp:wrapPolygon>
                <wp:start x="0" y="0"/>
                <wp:lineTo x="0" y="21531"/>
                <wp:lineTo x="21527" y="21531"/>
                <wp:lineTo x="21527" y="0"/>
                <wp:lineTo x="0" y="0"/>
              </wp:wrapPolygon>
            </wp:wrapTight>
            <wp:docPr id="5" name="图片 5" descr="1643341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43341151(1)"/>
                    <pic:cNvPicPr>
                      <a:picLocks noChangeAspect="1"/>
                    </pic:cNvPicPr>
                  </pic:nvPicPr>
                  <pic:blipFill>
                    <a:blip r:embed="rId8"/>
                    <a:stretch>
                      <a:fillRect/>
                    </a:stretch>
                  </pic:blipFill>
                  <pic:spPr>
                    <a:xfrm>
                      <a:off x="0" y="0"/>
                      <a:ext cx="5046345" cy="3172460"/>
                    </a:xfrm>
                    <a:prstGeom prst="rect">
                      <a:avLst/>
                    </a:prstGeom>
                  </pic:spPr>
                </pic:pic>
              </a:graphicData>
            </a:graphic>
          </wp:anchor>
        </w:drawing>
      </w:r>
      <w:r>
        <w:rPr>
          <w:rFonts w:hint="eastAsia" w:ascii="仿宋_GB2312" w:hAnsi="微软雅黑" w:eastAsia="仿宋_GB2312" w:cs="仿宋_GB2312"/>
          <w:i w:val="0"/>
          <w:caps w:val="0"/>
          <w:color w:val="000000"/>
          <w:spacing w:val="0"/>
          <w:sz w:val="32"/>
          <w:szCs w:val="32"/>
          <w:shd w:val="clear" w:fill="FFFFFF"/>
          <w:lang w:eastAsia="zh-CN"/>
        </w:rPr>
        <w:t>按照政府信息主动公开内容，编制《沂源县自然资源局政府信息主动公开基本目录》，按照目录分门别类梳理需主动公开信息，建立健全政府信息公开审查机制，</w:t>
      </w:r>
      <w:r>
        <w:rPr>
          <w:rFonts w:hint="eastAsia" w:ascii="仿宋_GB2312" w:hAnsi="微软雅黑" w:eastAsia="仿宋_GB2312" w:cs="仿宋_GB2312"/>
          <w:i w:val="0"/>
          <w:caps w:val="0"/>
          <w:color w:val="000000"/>
          <w:spacing w:val="0"/>
          <w:sz w:val="32"/>
          <w:szCs w:val="32"/>
          <w:shd w:val="clear" w:fill="FFFFFF"/>
        </w:rPr>
        <w:t>按照“谁公开、谁负责”的原则，将信息公开责任落实到各科室具体责任人，</w:t>
      </w:r>
      <w:r>
        <w:rPr>
          <w:rFonts w:hint="eastAsia" w:ascii="仿宋_GB2312" w:hAnsi="微软雅黑" w:eastAsia="仿宋_GB2312" w:cs="仿宋_GB2312"/>
          <w:i w:val="0"/>
          <w:caps w:val="0"/>
          <w:color w:val="000000"/>
          <w:spacing w:val="0"/>
          <w:sz w:val="32"/>
          <w:szCs w:val="32"/>
          <w:shd w:val="clear" w:fill="FFFFFF"/>
          <w:lang w:eastAsia="zh-CN"/>
        </w:rPr>
        <w:t>将发布的信息严格做好</w:t>
      </w:r>
      <w:r>
        <w:rPr>
          <w:rFonts w:ascii="仿宋_GB2312" w:hAnsi="宋体" w:eastAsia="仿宋_GB2312" w:cs="仿宋_GB2312"/>
          <w:i w:val="0"/>
          <w:iCs w:val="0"/>
          <w:caps w:val="0"/>
          <w:color w:val="333333"/>
          <w:spacing w:val="0"/>
          <w:sz w:val="31"/>
          <w:szCs w:val="31"/>
        </w:rPr>
        <w:t>保密性审查和合法性审查</w:t>
      </w:r>
      <w:r>
        <w:rPr>
          <w:rFonts w:hint="eastAsia" w:ascii="仿宋_GB2312" w:hAnsi="微软雅黑" w:eastAsia="仿宋_GB2312" w:cs="仿宋_GB2312"/>
          <w:i w:val="0"/>
          <w:caps w:val="0"/>
          <w:color w:val="000000"/>
          <w:spacing w:val="0"/>
          <w:sz w:val="32"/>
          <w:szCs w:val="32"/>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Style w:val="10"/>
          <w:rFonts w:hint="eastAsia" w:ascii="仿宋_GB2312" w:hAnsi="微软雅黑" w:eastAsia="仿宋_GB2312" w:cs="仿宋_GB2312"/>
          <w:b/>
          <w:i w:val="0"/>
          <w:caps w:val="0"/>
          <w:color w:val="000000"/>
          <w:spacing w:val="0"/>
          <w:sz w:val="32"/>
          <w:szCs w:val="32"/>
          <w:shd w:val="clear" w:fill="FFFFFF"/>
        </w:rPr>
        <w:t>（四）</w:t>
      </w:r>
      <w:r>
        <w:rPr>
          <w:rStyle w:val="10"/>
          <w:rFonts w:hint="eastAsia" w:ascii="仿宋_GB2312" w:hAnsi="微软雅黑" w:eastAsia="仿宋_GB2312" w:cs="仿宋_GB2312"/>
          <w:b/>
          <w:i w:val="0"/>
          <w:caps w:val="0"/>
          <w:color w:val="000000"/>
          <w:spacing w:val="0"/>
          <w:sz w:val="32"/>
          <w:szCs w:val="32"/>
          <w:shd w:val="clear" w:fill="FFFFFF"/>
          <w:lang w:eastAsia="zh-CN"/>
        </w:rPr>
        <w:t>政府信息公开</w:t>
      </w:r>
      <w:r>
        <w:rPr>
          <w:rStyle w:val="10"/>
          <w:rFonts w:hint="eastAsia" w:ascii="仿宋_GB2312" w:hAnsi="微软雅黑" w:eastAsia="仿宋_GB2312" w:cs="仿宋_GB2312"/>
          <w:b/>
          <w:i w:val="0"/>
          <w:caps w:val="0"/>
          <w:color w:val="000000"/>
          <w:spacing w:val="0"/>
          <w:sz w:val="32"/>
          <w:szCs w:val="32"/>
          <w:shd w:val="clear" w:fill="FFFFFF"/>
        </w:rPr>
        <w:t>平台建设情况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仿宋_GB2312" w:hAnsi="微软雅黑" w:eastAsia="仿宋_GB2312" w:cs="仿宋_GB2312"/>
          <w:i w:val="0"/>
          <w:caps w:val="0"/>
          <w:color w:val="000000"/>
          <w:spacing w:val="0"/>
          <w:sz w:val="32"/>
          <w:szCs w:val="32"/>
          <w:shd w:val="clear" w:fill="FFFFFF"/>
          <w:lang w:eastAsia="zh-CN"/>
        </w:rPr>
      </w:pPr>
      <w:r>
        <w:rPr>
          <w:rFonts w:hint="eastAsia" w:ascii="仿宋_GB2312" w:hAnsi="微软雅黑" w:eastAsia="仿宋_GB2312" w:cs="仿宋_GB2312"/>
          <w:i w:val="0"/>
          <w:caps w:val="0"/>
          <w:color w:val="000000"/>
          <w:spacing w:val="0"/>
          <w:sz w:val="32"/>
          <w:szCs w:val="32"/>
          <w:shd w:val="clear" w:fill="FFFFFF"/>
          <w:lang w:eastAsia="zh-CN"/>
        </w:rPr>
        <w:drawing>
          <wp:anchor distT="0" distB="0" distL="114300" distR="114300" simplePos="0" relativeHeight="251661312" behindDoc="1" locked="0" layoutInCell="1" allowOverlap="1">
            <wp:simplePos x="0" y="0"/>
            <wp:positionH relativeFrom="column">
              <wp:posOffset>2921635</wp:posOffset>
            </wp:positionH>
            <wp:positionV relativeFrom="paragraph">
              <wp:posOffset>23495</wp:posOffset>
            </wp:positionV>
            <wp:extent cx="2628900" cy="3566795"/>
            <wp:effectExtent l="0" t="0" r="0" b="14605"/>
            <wp:wrapTight wrapText="bothSides">
              <wp:wrapPolygon>
                <wp:start x="0" y="0"/>
                <wp:lineTo x="0" y="21458"/>
                <wp:lineTo x="21443" y="21458"/>
                <wp:lineTo x="21443" y="0"/>
                <wp:lineTo x="0" y="0"/>
              </wp:wrapPolygon>
            </wp:wrapTight>
            <wp:docPr id="1" name="图片 1" descr="39dc3c654a278f3684e85aaee9ece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9dc3c654a278f3684e85aaee9ece6a"/>
                    <pic:cNvPicPr>
                      <a:picLocks noChangeAspect="1"/>
                    </pic:cNvPicPr>
                  </pic:nvPicPr>
                  <pic:blipFill>
                    <a:blip r:embed="rId9"/>
                    <a:stretch>
                      <a:fillRect/>
                    </a:stretch>
                  </pic:blipFill>
                  <pic:spPr>
                    <a:xfrm>
                      <a:off x="0" y="0"/>
                      <a:ext cx="2628900" cy="3566795"/>
                    </a:xfrm>
                    <a:prstGeom prst="rect">
                      <a:avLst/>
                    </a:prstGeom>
                  </pic:spPr>
                </pic:pic>
              </a:graphicData>
            </a:graphic>
          </wp:anchor>
        </w:drawing>
      </w:r>
      <w:r>
        <w:rPr>
          <w:rFonts w:hint="eastAsia" w:ascii="仿宋_GB2312" w:hAnsi="微软雅黑" w:eastAsia="仿宋_GB2312" w:cs="仿宋_GB2312"/>
          <w:i w:val="0"/>
          <w:caps w:val="0"/>
          <w:color w:val="000000"/>
          <w:spacing w:val="0"/>
          <w:sz w:val="32"/>
          <w:szCs w:val="32"/>
          <w:shd w:val="clear" w:fill="FFFFFF"/>
        </w:rPr>
        <w:t>充分发挥沂源县人民政府网站的平台作用，</w:t>
      </w:r>
      <w:r>
        <w:rPr>
          <w:rFonts w:hint="eastAsia" w:ascii="仿宋_GB2312" w:hAnsi="微软雅黑" w:eastAsia="仿宋_GB2312" w:cs="仿宋_GB2312"/>
          <w:i w:val="0"/>
          <w:caps w:val="0"/>
          <w:color w:val="000000"/>
          <w:spacing w:val="0"/>
          <w:sz w:val="32"/>
          <w:szCs w:val="32"/>
          <w:shd w:val="clear" w:fill="FFFFFF"/>
          <w:lang w:eastAsia="zh-CN"/>
        </w:rPr>
        <w:t>根据县政府要求，对融公开平台进一步完善，按照一级、二级目录分类，及时上传更新信息</w:t>
      </w:r>
      <w:r>
        <w:rPr>
          <w:rFonts w:hint="eastAsia" w:ascii="仿宋_GB2312" w:hAnsi="微软雅黑" w:eastAsia="仿宋_GB2312" w:cs="仿宋_GB2312"/>
          <w:i w:val="0"/>
          <w:caps w:val="0"/>
          <w:color w:val="000000"/>
          <w:spacing w:val="0"/>
          <w:sz w:val="32"/>
          <w:szCs w:val="32"/>
          <w:shd w:val="clear" w:fill="FFFFFF"/>
        </w:rPr>
        <w:t>，确保应当公开的内容及时公开</w:t>
      </w:r>
      <w:r>
        <w:rPr>
          <w:rFonts w:hint="eastAsia" w:ascii="仿宋_GB2312" w:hAnsi="微软雅黑" w:eastAsia="仿宋_GB2312" w:cs="仿宋_GB2312"/>
          <w:i w:val="0"/>
          <w:caps w:val="0"/>
          <w:color w:val="000000"/>
          <w:spacing w:val="0"/>
          <w:sz w:val="32"/>
          <w:szCs w:val="32"/>
          <w:shd w:val="clear" w:fill="FFFFFF"/>
          <w:lang w:eastAsia="zh-CN"/>
        </w:rPr>
        <w:t>。增加互动管理平台，设立民生连线、依申请公开、信息公开意见箱栏目，方便与公众互动交流。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微软雅黑" w:hAnsi="微软雅黑" w:eastAsia="微软雅黑" w:cs="微软雅黑"/>
          <w:i w:val="0"/>
          <w:caps w:val="0"/>
          <w:color w:val="000000"/>
          <w:spacing w:val="0"/>
          <w:sz w:val="24"/>
          <w:szCs w:val="24"/>
        </w:rPr>
      </w:pPr>
      <w:r>
        <w:rPr>
          <w:rStyle w:val="10"/>
          <w:rFonts w:hint="eastAsia" w:ascii="仿宋_GB2312" w:hAnsi="微软雅黑" w:eastAsia="仿宋_GB2312" w:cs="仿宋_GB2312"/>
          <w:b/>
          <w:i w:val="0"/>
          <w:caps w:val="0"/>
          <w:color w:val="000000"/>
          <w:spacing w:val="0"/>
          <w:sz w:val="32"/>
          <w:szCs w:val="32"/>
          <w:shd w:val="clear" w:fill="FFFFFF"/>
        </w:rPr>
        <w:t>（五）监督保障情况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仿宋_GB2312" w:hAnsi="微软雅黑" w:eastAsia="仿宋_GB2312" w:cs="仿宋_GB2312"/>
          <w:i w:val="0"/>
          <w:caps w:val="0"/>
          <w:color w:val="000000"/>
          <w:spacing w:val="0"/>
          <w:sz w:val="32"/>
          <w:szCs w:val="32"/>
          <w:shd w:val="clear" w:fill="FFFFFF"/>
          <w:lang w:val="en-US" w:eastAsia="zh-CN"/>
        </w:rPr>
      </w:pPr>
      <w:r>
        <w:rPr>
          <w:rFonts w:hint="eastAsia" w:ascii="仿宋_GB2312" w:hAnsi="微软雅黑" w:eastAsia="仿宋_GB2312" w:cs="仿宋_GB2312"/>
          <w:i w:val="0"/>
          <w:caps w:val="0"/>
          <w:color w:val="000000"/>
          <w:spacing w:val="0"/>
          <w:sz w:val="32"/>
          <w:szCs w:val="32"/>
          <w:shd w:val="clear" w:fill="FFFFFF"/>
        </w:rPr>
        <w:drawing>
          <wp:anchor distT="0" distB="0" distL="114300" distR="114300" simplePos="0" relativeHeight="251664384" behindDoc="1" locked="0" layoutInCell="1" allowOverlap="1">
            <wp:simplePos x="0" y="0"/>
            <wp:positionH relativeFrom="column">
              <wp:posOffset>114300</wp:posOffset>
            </wp:positionH>
            <wp:positionV relativeFrom="paragraph">
              <wp:posOffset>1184275</wp:posOffset>
            </wp:positionV>
            <wp:extent cx="5088890" cy="3374390"/>
            <wp:effectExtent l="0" t="0" r="0" b="16510"/>
            <wp:wrapTight wrapText="bothSides">
              <wp:wrapPolygon>
                <wp:start x="0" y="0"/>
                <wp:lineTo x="0" y="21462"/>
                <wp:lineTo x="21508" y="21462"/>
                <wp:lineTo x="21508" y="0"/>
                <wp:lineTo x="0" y="0"/>
              </wp:wrapPolygon>
            </wp:wrapTight>
            <wp:docPr id="6" name="图片 6" descr="1643352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43352240(1)"/>
                    <pic:cNvPicPr>
                      <a:picLocks noChangeAspect="1"/>
                    </pic:cNvPicPr>
                  </pic:nvPicPr>
                  <pic:blipFill>
                    <a:blip r:embed="rId10"/>
                    <a:stretch>
                      <a:fillRect/>
                    </a:stretch>
                  </pic:blipFill>
                  <pic:spPr>
                    <a:xfrm>
                      <a:off x="0" y="0"/>
                      <a:ext cx="5088890" cy="3374390"/>
                    </a:xfrm>
                    <a:prstGeom prst="rect">
                      <a:avLst/>
                    </a:prstGeom>
                  </pic:spPr>
                </pic:pic>
              </a:graphicData>
            </a:graphic>
          </wp:anchor>
        </w:drawing>
      </w:r>
      <w:r>
        <w:rPr>
          <w:rFonts w:hint="eastAsia" w:ascii="仿宋_GB2312" w:hAnsi="微软雅黑" w:eastAsia="仿宋_GB2312" w:cs="仿宋_GB2312"/>
          <w:i w:val="0"/>
          <w:caps w:val="0"/>
          <w:color w:val="000000"/>
          <w:spacing w:val="0"/>
          <w:sz w:val="32"/>
          <w:szCs w:val="32"/>
          <w:shd w:val="clear" w:fill="FFFFFF"/>
          <w:lang w:val="en-US" w:eastAsia="zh-CN"/>
        </w:rPr>
        <w:t>加强组织领导，成立分管领导任组长的政务公开领导小组，安排专人负责政务公开工作。</w:t>
      </w:r>
      <w:r>
        <w:rPr>
          <w:rFonts w:hint="eastAsia" w:ascii="仿宋_GB2312" w:hAnsi="微软雅黑" w:eastAsia="仿宋_GB2312" w:cs="仿宋_GB2312"/>
          <w:i w:val="0"/>
          <w:caps w:val="0"/>
          <w:color w:val="000000"/>
          <w:spacing w:val="0"/>
          <w:sz w:val="32"/>
          <w:szCs w:val="32"/>
          <w:shd w:val="clear" w:fill="FFFFFF"/>
        </w:rPr>
        <w:t>建立政府信息监督保障机制，遵循“谁公开</w:t>
      </w:r>
      <w:r>
        <w:rPr>
          <w:rFonts w:hint="eastAsia" w:ascii="仿宋_GB2312" w:hAnsi="微软雅黑" w:eastAsia="仿宋_GB2312" w:cs="仿宋_GB2312"/>
          <w:i w:val="0"/>
          <w:caps w:val="0"/>
          <w:color w:val="000000"/>
          <w:spacing w:val="0"/>
          <w:sz w:val="32"/>
          <w:szCs w:val="32"/>
          <w:shd w:val="clear" w:fill="FFFFFF"/>
          <w:lang w:eastAsia="zh-CN"/>
        </w:rPr>
        <w:t>、</w:t>
      </w:r>
      <w:r>
        <w:rPr>
          <w:rFonts w:hint="eastAsia" w:ascii="仿宋_GB2312" w:hAnsi="微软雅黑" w:eastAsia="仿宋_GB2312" w:cs="仿宋_GB2312"/>
          <w:i w:val="0"/>
          <w:caps w:val="0"/>
          <w:color w:val="000000"/>
          <w:spacing w:val="0"/>
          <w:sz w:val="32"/>
          <w:szCs w:val="32"/>
          <w:shd w:val="clear" w:fill="FFFFFF"/>
        </w:rPr>
        <w:t>谁审查</w:t>
      </w:r>
      <w:r>
        <w:rPr>
          <w:rFonts w:hint="eastAsia" w:ascii="仿宋_GB2312" w:hAnsi="微软雅黑" w:eastAsia="仿宋_GB2312" w:cs="仿宋_GB2312"/>
          <w:i w:val="0"/>
          <w:caps w:val="0"/>
          <w:color w:val="000000"/>
          <w:spacing w:val="0"/>
          <w:sz w:val="32"/>
          <w:szCs w:val="32"/>
          <w:shd w:val="clear" w:fill="FFFFFF"/>
          <w:lang w:eastAsia="zh-CN"/>
        </w:rPr>
        <w:t>、</w:t>
      </w:r>
      <w:r>
        <w:rPr>
          <w:rFonts w:hint="eastAsia" w:ascii="仿宋_GB2312" w:hAnsi="微软雅黑" w:eastAsia="仿宋_GB2312" w:cs="仿宋_GB2312"/>
          <w:i w:val="0"/>
          <w:caps w:val="0"/>
          <w:color w:val="000000"/>
          <w:spacing w:val="0"/>
          <w:sz w:val="32"/>
          <w:szCs w:val="32"/>
          <w:shd w:val="clear" w:fill="FFFFFF"/>
        </w:rPr>
        <w:t>谁负责”的原则，保证政府信息公开的安全</w:t>
      </w:r>
      <w:r>
        <w:rPr>
          <w:rFonts w:hint="eastAsia" w:ascii="仿宋_GB2312" w:hAnsi="微软雅黑" w:eastAsia="仿宋_GB2312" w:cs="仿宋_GB2312"/>
          <w:i w:val="0"/>
          <w:caps w:val="0"/>
          <w:color w:val="000000"/>
          <w:spacing w:val="0"/>
          <w:sz w:val="32"/>
          <w:szCs w:val="32"/>
          <w:shd w:val="clear" w:fill="FFFFFF"/>
          <w:lang w:eastAsia="zh-CN"/>
        </w:rPr>
        <w:t>性</w:t>
      </w:r>
      <w:r>
        <w:rPr>
          <w:rFonts w:hint="eastAsia" w:ascii="仿宋_GB2312" w:hAnsi="微软雅黑" w:eastAsia="仿宋_GB2312" w:cs="仿宋_GB2312"/>
          <w:i w:val="0"/>
          <w:caps w:val="0"/>
          <w:color w:val="000000"/>
          <w:spacing w:val="0"/>
          <w:sz w:val="32"/>
          <w:szCs w:val="32"/>
          <w:shd w:val="clear" w:fill="FFFFFF"/>
        </w:rPr>
        <w:t>。局</w:t>
      </w:r>
      <w:r>
        <w:rPr>
          <w:rFonts w:hint="eastAsia" w:ascii="仿宋_GB2312" w:hAnsi="微软雅黑" w:eastAsia="仿宋_GB2312" w:cs="仿宋_GB2312"/>
          <w:i w:val="0"/>
          <w:caps w:val="0"/>
          <w:color w:val="000000"/>
          <w:spacing w:val="0"/>
          <w:sz w:val="32"/>
          <w:szCs w:val="32"/>
          <w:shd w:val="clear" w:fill="FFFFFF"/>
          <w:lang w:eastAsia="zh-CN"/>
        </w:rPr>
        <w:t>机关</w:t>
      </w:r>
      <w:r>
        <w:rPr>
          <w:rFonts w:hint="eastAsia" w:ascii="仿宋_GB2312" w:hAnsi="微软雅黑" w:eastAsia="仿宋_GB2312" w:cs="仿宋_GB2312"/>
          <w:i w:val="0"/>
          <w:caps w:val="0"/>
          <w:color w:val="000000"/>
          <w:spacing w:val="0"/>
          <w:sz w:val="32"/>
          <w:szCs w:val="32"/>
          <w:shd w:val="clear" w:fill="FFFFFF"/>
        </w:rPr>
        <w:t>各科室、</w:t>
      </w:r>
      <w:r>
        <w:rPr>
          <w:rFonts w:hint="eastAsia" w:ascii="仿宋_GB2312" w:hAnsi="微软雅黑" w:eastAsia="仿宋_GB2312" w:cs="仿宋_GB2312"/>
          <w:i w:val="0"/>
          <w:caps w:val="0"/>
          <w:color w:val="000000"/>
          <w:spacing w:val="0"/>
          <w:sz w:val="32"/>
          <w:szCs w:val="32"/>
          <w:shd w:val="clear" w:fill="FFFFFF"/>
          <w:lang w:eastAsia="zh-CN"/>
        </w:rPr>
        <w:t>局属事业单位</w:t>
      </w:r>
      <w:r>
        <w:rPr>
          <w:rFonts w:hint="eastAsia" w:ascii="仿宋_GB2312" w:hAnsi="微软雅黑" w:eastAsia="仿宋_GB2312" w:cs="仿宋_GB2312"/>
          <w:i w:val="0"/>
          <w:caps w:val="0"/>
          <w:color w:val="000000"/>
          <w:spacing w:val="0"/>
          <w:sz w:val="32"/>
          <w:szCs w:val="32"/>
          <w:shd w:val="clear" w:fill="FFFFFF"/>
        </w:rPr>
        <w:t>是政务公开信息发布的直接主体，起到第一道防线的作用。局</w:t>
      </w:r>
      <w:r>
        <w:rPr>
          <w:rFonts w:hint="eastAsia" w:ascii="仿宋_GB2312" w:hAnsi="微软雅黑" w:eastAsia="仿宋_GB2312" w:cs="仿宋_GB2312"/>
          <w:i w:val="0"/>
          <w:caps w:val="0"/>
          <w:color w:val="000000"/>
          <w:spacing w:val="0"/>
          <w:sz w:val="32"/>
          <w:szCs w:val="32"/>
          <w:shd w:val="clear" w:fill="FFFFFF"/>
          <w:lang w:eastAsia="zh-CN"/>
        </w:rPr>
        <w:t>办公室</w:t>
      </w:r>
      <w:r>
        <w:rPr>
          <w:rFonts w:hint="eastAsia" w:ascii="仿宋_GB2312" w:hAnsi="微软雅黑" w:eastAsia="仿宋_GB2312" w:cs="仿宋_GB2312"/>
          <w:i w:val="0"/>
          <w:caps w:val="0"/>
          <w:color w:val="000000"/>
          <w:spacing w:val="0"/>
          <w:sz w:val="32"/>
          <w:szCs w:val="32"/>
          <w:shd w:val="clear" w:fill="FFFFFF"/>
        </w:rPr>
        <w:t>是综合协调部门，起到查漏补缺的作用，对发现的政务公开的问题和错误及时进行纠正。对县大数据中心发现督导的问题，及时组织进行整改落实反馈，做到立查立改，边查边改。</w:t>
      </w:r>
      <w:r>
        <w:rPr>
          <w:rFonts w:hint="eastAsia" w:ascii="仿宋_GB2312" w:hAnsi="微软雅黑" w:eastAsia="仿宋_GB2312" w:cs="仿宋_GB2312"/>
          <w:i w:val="0"/>
          <w:caps w:val="0"/>
          <w:color w:val="000000"/>
          <w:spacing w:val="0"/>
          <w:sz w:val="32"/>
          <w:szCs w:val="32"/>
          <w:shd w:val="clear" w:fill="FFFFFF"/>
          <w:lang w:eastAsia="zh-CN"/>
        </w:rPr>
        <w:t>我局每半年组织开展一次政务公开专题培训，确保高质量完成政府信息公开工作。</w:t>
      </w:r>
    </w:p>
    <w:p>
      <w:pPr>
        <w:numPr>
          <w:ilvl w:val="0"/>
          <w:numId w:val="0"/>
        </w:numPr>
        <w:tabs>
          <w:tab w:val="left" w:pos="0"/>
        </w:tabs>
        <w:spacing w:line="560" w:lineRule="exact"/>
        <w:ind w:firstLine="640" w:firstLineChars="200"/>
        <w:jc w:val="both"/>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二、</w:t>
      </w:r>
      <w:r>
        <w:rPr>
          <w:rFonts w:hint="eastAsia" w:ascii="黑体" w:hAnsi="黑体" w:eastAsia="黑体" w:cs="黑体"/>
          <w:b w:val="0"/>
          <w:bCs w:val="0"/>
          <w:sz w:val="32"/>
          <w:szCs w:val="32"/>
          <w:highlight w:val="none"/>
        </w:rPr>
        <w:t>主动公开政府信息情况</w:t>
      </w:r>
    </w:p>
    <w:tbl>
      <w:tblPr>
        <w:tblStyle w:val="7"/>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4" w:hRule="atLeast"/>
        </w:trPr>
        <w:tc>
          <w:tcPr>
            <w:tcW w:w="8234" w:type="dxa"/>
            <w:gridSpan w:val="4"/>
            <w:tcBorders>
              <w:bottom w:val="single" w:color="000000" w:sz="2" w:space="0"/>
            </w:tcBorders>
            <w:shd w:val="clear" w:color="auto" w:fill="9CC2E5" w:themeFill="accent1" w:themeFillTint="99"/>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第二十条</w:t>
            </w:r>
            <w:r>
              <w:rPr>
                <w:rFonts w:hint="eastAsia" w:ascii="仿宋_GB2312" w:hAnsi="仿宋_GB2312" w:eastAsia="仿宋_GB2312" w:cs="仿宋_GB2312"/>
                <w:b w:val="0"/>
                <w:bCs w:val="0"/>
                <w:sz w:val="28"/>
                <w:szCs w:val="28"/>
                <w:highlight w:val="none"/>
                <w:lang w:val="en-US" w:eastAsia="zh-CN"/>
              </w:rPr>
              <w:t xml:space="preserve">  </w:t>
            </w:r>
            <w:r>
              <w:rPr>
                <w:rFonts w:hint="eastAsia" w:ascii="仿宋_GB2312" w:hAnsi="仿宋_GB2312" w:eastAsia="仿宋_GB2312" w:cs="仿宋_GB2312"/>
                <w:b w:val="0"/>
                <w:bCs w:val="0"/>
                <w:sz w:val="28"/>
                <w:szCs w:val="28"/>
                <w:highlight w:val="none"/>
              </w:rPr>
              <w:t>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rPr>
              <w:t>本年</w:t>
            </w:r>
            <w:r>
              <w:rPr>
                <w:rFonts w:hint="eastAsia" w:ascii="仿宋_GB2312" w:hAnsi="仿宋_GB2312" w:eastAsia="仿宋_GB2312" w:cs="仿宋_GB2312"/>
                <w:b w:val="0"/>
                <w:bCs w:val="0"/>
                <w:sz w:val="28"/>
                <w:szCs w:val="28"/>
                <w:highlight w:val="none"/>
                <w:lang w:eastAsia="zh-CN"/>
              </w:rPr>
              <w:t>制发件数</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eastAsia="zh-CN"/>
              </w:rPr>
              <w:t>本年废止件数</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现行有效件数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eastAsia="zh-CN"/>
              </w:rPr>
              <w:t>行政</w:t>
            </w:r>
            <w:r>
              <w:rPr>
                <w:rFonts w:hint="eastAsia" w:ascii="仿宋_GB2312" w:hAnsi="仿宋_GB2312" w:eastAsia="仿宋_GB2312" w:cs="仿宋_GB2312"/>
                <w:b w:val="0"/>
                <w:bCs w:val="0"/>
                <w:sz w:val="28"/>
                <w:szCs w:val="28"/>
                <w:highlight w:val="none"/>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8234" w:type="dxa"/>
            <w:gridSpan w:val="4"/>
            <w:tcBorders>
              <w:top w:val="single" w:color="000000" w:sz="2" w:space="0"/>
              <w:bottom w:val="single" w:color="000000" w:sz="2" w:space="0"/>
            </w:tcBorders>
            <w:shd w:val="clear" w:color="auto" w:fill="9CC2E5" w:themeFill="accent1" w:themeFillTint="99"/>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第二十条</w:t>
            </w:r>
            <w:r>
              <w:rPr>
                <w:rFonts w:hint="eastAsia" w:ascii="仿宋_GB2312" w:hAnsi="仿宋_GB2312" w:eastAsia="仿宋_GB2312" w:cs="仿宋_GB2312"/>
                <w:b w:val="0"/>
                <w:bCs w:val="0"/>
                <w:sz w:val="28"/>
                <w:szCs w:val="28"/>
                <w:highlight w:val="none"/>
                <w:lang w:val="en-US" w:eastAsia="zh-CN"/>
              </w:rPr>
              <w:t xml:space="preserve">  </w:t>
            </w:r>
            <w:r>
              <w:rPr>
                <w:rFonts w:hint="eastAsia" w:ascii="仿宋_GB2312" w:hAnsi="仿宋_GB2312" w:eastAsia="仿宋_GB2312" w:cs="仿宋_GB2312"/>
                <w:b w:val="0"/>
                <w:bCs w:val="0"/>
                <w:sz w:val="28"/>
                <w:szCs w:val="28"/>
                <w:highlight w:val="none"/>
              </w:rPr>
              <w:t>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eastAsia="zh-CN"/>
              </w:rPr>
              <w:t>本年</w:t>
            </w:r>
            <w:r>
              <w:rPr>
                <w:rFonts w:hint="eastAsia" w:ascii="仿宋_GB2312" w:hAnsi="仿宋_GB2312" w:eastAsia="仿宋_GB2312" w:cs="仿宋_GB2312"/>
                <w:b w:val="0"/>
                <w:bCs w:val="0"/>
                <w:sz w:val="28"/>
                <w:szCs w:val="28"/>
                <w:highlight w:val="none"/>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行政许可</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1683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8234" w:type="dxa"/>
            <w:gridSpan w:val="4"/>
            <w:tcBorders>
              <w:top w:val="single" w:color="000000" w:sz="2" w:space="0"/>
              <w:bottom w:val="single" w:color="000000" w:sz="2" w:space="0"/>
            </w:tcBorders>
            <w:shd w:val="clear" w:color="auto" w:fill="9CC2E5" w:themeFill="accent1" w:themeFillTint="99"/>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第二十条</w:t>
            </w:r>
            <w:r>
              <w:rPr>
                <w:rFonts w:hint="eastAsia" w:ascii="仿宋_GB2312" w:hAnsi="仿宋_GB2312" w:eastAsia="仿宋_GB2312" w:cs="仿宋_GB2312"/>
                <w:b w:val="0"/>
                <w:bCs w:val="0"/>
                <w:sz w:val="28"/>
                <w:szCs w:val="28"/>
                <w:highlight w:val="none"/>
                <w:lang w:val="en-US" w:eastAsia="zh-CN"/>
              </w:rPr>
              <w:t xml:space="preserve">  </w:t>
            </w:r>
            <w:r>
              <w:rPr>
                <w:rFonts w:hint="eastAsia" w:ascii="仿宋_GB2312" w:hAnsi="仿宋_GB2312" w:eastAsia="仿宋_GB2312" w:cs="仿宋_GB2312"/>
                <w:b w:val="0"/>
                <w:bCs w:val="0"/>
                <w:sz w:val="28"/>
                <w:szCs w:val="28"/>
                <w:highlight w:val="none"/>
              </w:rPr>
              <w:t>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eastAsia="zh-CN"/>
              </w:rPr>
              <w:t>本年</w:t>
            </w:r>
            <w:r>
              <w:rPr>
                <w:rFonts w:hint="eastAsia" w:ascii="仿宋_GB2312" w:hAnsi="仿宋_GB2312" w:eastAsia="仿宋_GB2312" w:cs="仿宋_GB2312"/>
                <w:b w:val="0"/>
                <w:bCs w:val="0"/>
                <w:sz w:val="28"/>
                <w:szCs w:val="28"/>
                <w:highlight w:val="none"/>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行政处罚</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行政强制</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8234" w:type="dxa"/>
            <w:gridSpan w:val="4"/>
            <w:tcBorders>
              <w:top w:val="single" w:color="000000" w:sz="2" w:space="0"/>
              <w:bottom w:val="single" w:color="000000" w:sz="2" w:space="0"/>
            </w:tcBorders>
            <w:shd w:val="clear" w:color="auto" w:fill="9CC2E5" w:themeFill="accent1" w:themeFillTint="99"/>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第二十条</w:t>
            </w:r>
            <w:r>
              <w:rPr>
                <w:rFonts w:hint="eastAsia" w:ascii="仿宋_GB2312" w:hAnsi="仿宋_GB2312" w:eastAsia="仿宋_GB2312" w:cs="仿宋_GB2312"/>
                <w:b w:val="0"/>
                <w:bCs w:val="0"/>
                <w:sz w:val="28"/>
                <w:szCs w:val="28"/>
                <w:highlight w:val="none"/>
                <w:lang w:val="en-US" w:eastAsia="zh-CN"/>
              </w:rPr>
              <w:t xml:space="preserve">  </w:t>
            </w:r>
            <w:r>
              <w:rPr>
                <w:rFonts w:hint="eastAsia" w:ascii="仿宋_GB2312" w:hAnsi="仿宋_GB2312" w:eastAsia="仿宋_GB2312" w:cs="仿宋_GB2312"/>
                <w:b w:val="0"/>
                <w:bCs w:val="0"/>
                <w:sz w:val="28"/>
                <w:szCs w:val="28"/>
                <w:highlight w:val="none"/>
              </w:rPr>
              <w:t>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本年收费金额（单位：万元）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行政事业性收费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1207</w:t>
            </w:r>
          </w:p>
        </w:tc>
      </w:tr>
    </w:tbl>
    <w:p>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firstLine="640" w:firstLineChars="200"/>
        <w:jc w:val="both"/>
        <w:textAlignment w:val="auto"/>
        <w:rPr>
          <w:rFonts w:hint="eastAsia" w:ascii="黑体" w:hAnsi="黑体" w:eastAsia="黑体" w:cs="黑体"/>
          <w:b w:val="0"/>
          <w:bCs w:val="0"/>
          <w:sz w:val="32"/>
          <w:szCs w:val="32"/>
          <w:highlight w:val="none"/>
          <w:lang w:eastAsia="zh-CN"/>
        </w:rPr>
      </w:pPr>
    </w:p>
    <w:p>
      <w:pPr>
        <w:numPr>
          <w:ilvl w:val="0"/>
          <w:numId w:val="0"/>
        </w:numPr>
        <w:tabs>
          <w:tab w:val="left" w:pos="0"/>
        </w:tabs>
        <w:spacing w:line="560" w:lineRule="exact"/>
        <w:ind w:firstLine="640" w:firstLineChars="200"/>
        <w:jc w:val="both"/>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三、</w:t>
      </w:r>
      <w:r>
        <w:rPr>
          <w:rFonts w:hint="eastAsia" w:ascii="黑体" w:hAnsi="黑体" w:eastAsia="黑体" w:cs="黑体"/>
          <w:b w:val="0"/>
          <w:bCs w:val="0"/>
          <w:sz w:val="32"/>
          <w:szCs w:val="32"/>
          <w:highlight w:val="none"/>
        </w:rPr>
        <w:t>收到和处理政府信息公开申请情况</w:t>
      </w:r>
    </w:p>
    <w:tbl>
      <w:tblPr>
        <w:tblStyle w:val="8"/>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289"/>
        <w:gridCol w:w="3345"/>
        <w:gridCol w:w="456"/>
        <w:gridCol w:w="456"/>
        <w:gridCol w:w="456"/>
        <w:gridCol w:w="456"/>
        <w:gridCol w:w="456"/>
        <w:gridCol w:w="456"/>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0" w:type="auto"/>
            <w:gridSpan w:val="3"/>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（本列数据的勾稽关系为：第一项加第二项之和，等于第三项加第四项之和）</w:t>
            </w:r>
          </w:p>
        </w:tc>
        <w:tc>
          <w:tcPr>
            <w:tcW w:w="0" w:type="auto"/>
            <w:gridSpan w:val="7"/>
            <w:vAlign w:val="center"/>
          </w:tcPr>
          <w:p>
            <w:pPr>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0" w:type="auto"/>
            <w:gridSpan w:val="3"/>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自然人</w:t>
            </w:r>
          </w:p>
        </w:tc>
        <w:tc>
          <w:tcPr>
            <w:tcW w:w="0" w:type="auto"/>
            <w:gridSpan w:val="5"/>
            <w:vAlign w:val="center"/>
          </w:tcPr>
          <w:p>
            <w:pPr>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法人或其他组织</w:t>
            </w:r>
          </w:p>
        </w:tc>
        <w:tc>
          <w:tcPr>
            <w:tcW w:w="0" w:type="auto"/>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0" w:type="auto"/>
            <w:gridSpan w:val="3"/>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商业企业</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科研机构</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社会公益组织</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法律服务机构</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其他</w:t>
            </w:r>
          </w:p>
        </w:tc>
        <w:tc>
          <w:tcPr>
            <w:tcW w:w="0" w:type="auto"/>
            <w:vMerge w:val="continue"/>
            <w:vAlign w:val="center"/>
          </w:tcPr>
          <w:p>
            <w:pPr>
              <w:jc w:val="both"/>
              <w:rPr>
                <w:rFonts w:hint="eastAsia" w:ascii="仿宋_GB2312" w:hAnsi="仿宋_GB2312" w:eastAsia="仿宋_GB2312" w:cs="仿宋_GB2312"/>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0" w:type="auto"/>
            <w:gridSpan w:val="3"/>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一、本年新收政府信息公开申请数量</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33</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0" w:type="auto"/>
            <w:gridSpan w:val="3"/>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二、上年结转政府信息公开申请数量</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0" w:type="auto"/>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三、本年度办理结果</w:t>
            </w:r>
          </w:p>
        </w:tc>
        <w:tc>
          <w:tcPr>
            <w:tcW w:w="0" w:type="auto"/>
            <w:gridSpan w:val="2"/>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（一）予以公开</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11</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0" w:type="auto"/>
            <w:gridSpan w:val="2"/>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（二）部分公开（区分处理的，只计这一情形，不计其他情形）</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7</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（三）不予公开</w:t>
            </w: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1．属于国家秘密</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2．其他法律行政法规禁止公开</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3．危及“三安全一稳定”</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4．保护第三方合法权益</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5．属于三类内部事务信息</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6．属于四类过程性信息</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7．属于行政执法案卷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8．属于行政查询事项</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（四）无法提供</w:t>
            </w: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1．本单位不掌握相关政府信息</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15</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2．没有现成信息需要另行制作</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3．补正后申请内容仍不明确</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（五）不予处理</w:t>
            </w: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1．信访举报投诉类申请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2．重复申请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3．要求提供公开出版物</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tcPr>
          <w:p>
            <w:pPr>
              <w:jc w:val="both"/>
              <w:rPr>
                <w:rFonts w:hint="eastAsia" w:ascii="仿宋_GB2312" w:hAnsi="仿宋_GB2312" w:eastAsia="仿宋_GB2312" w:cs="仿宋_GB2312"/>
                <w:b w:val="0"/>
                <w:bCs w:val="0"/>
                <w:sz w:val="24"/>
                <w:szCs w:val="24"/>
                <w:highlight w:val="none"/>
              </w:rPr>
            </w:pPr>
          </w:p>
        </w:tc>
        <w:tc>
          <w:tcPr>
            <w:tcW w:w="3802" w:type="dxa"/>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4．无正当理由大量反复申请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tcPr>
          <w:p>
            <w:pPr>
              <w:jc w:val="both"/>
              <w:rPr>
                <w:rFonts w:hint="eastAsia" w:ascii="仿宋_GB2312" w:hAnsi="仿宋_GB2312" w:eastAsia="仿宋_GB2312" w:cs="仿宋_GB2312"/>
                <w:b w:val="0"/>
                <w:bCs w:val="0"/>
                <w:sz w:val="24"/>
                <w:szCs w:val="24"/>
                <w:highlight w:val="none"/>
              </w:rPr>
            </w:pPr>
          </w:p>
        </w:tc>
        <w:tc>
          <w:tcPr>
            <w:tcW w:w="3802" w:type="dxa"/>
          </w:tcPr>
          <w:p>
            <w:pPr>
              <w:ind w:left="210" w:hanging="240" w:hangingChars="100"/>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5．要求行政机关确认或重新出具已获取信息</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restart"/>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（六）其他处理</w:t>
            </w:r>
          </w:p>
        </w:tc>
        <w:tc>
          <w:tcPr>
            <w:tcW w:w="3802" w:type="dxa"/>
            <w:vAlign w:val="center"/>
          </w:tcPr>
          <w:p>
            <w:pPr>
              <w:jc w:val="both"/>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1.申请人无正当理由逾期不补正、行政机关不再处理其政府信息公开申请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vAlign w:val="center"/>
          </w:tcPr>
          <w:p>
            <w:pPr>
              <w:jc w:val="both"/>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2.申请人逾期未按收费通知要求缴纳费用、行政机关不再处理其政府信息公开申请</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1102"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3802" w:type="dxa"/>
            <w:vAlign w:val="center"/>
          </w:tcPr>
          <w:p>
            <w:pPr>
              <w:jc w:val="both"/>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3.其他</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0" w:type="auto"/>
            <w:vMerge w:val="continue"/>
          </w:tcPr>
          <w:p>
            <w:pPr>
              <w:jc w:val="both"/>
              <w:rPr>
                <w:rFonts w:hint="eastAsia" w:ascii="仿宋_GB2312" w:hAnsi="仿宋_GB2312" w:eastAsia="仿宋_GB2312" w:cs="仿宋_GB2312"/>
                <w:b w:val="0"/>
                <w:bCs w:val="0"/>
                <w:sz w:val="24"/>
                <w:szCs w:val="24"/>
                <w:highlight w:val="none"/>
              </w:rPr>
            </w:pPr>
          </w:p>
        </w:tc>
        <w:tc>
          <w:tcPr>
            <w:tcW w:w="0" w:type="auto"/>
            <w:gridSpan w:val="2"/>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（七）总计</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33</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四、结转下年度继续办理</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bl>
    <w:p>
      <w:pPr>
        <w:numPr>
          <w:ilvl w:val="0"/>
          <w:numId w:val="0"/>
        </w:numPr>
        <w:tabs>
          <w:tab w:val="left" w:pos="0"/>
        </w:tabs>
        <w:spacing w:line="560" w:lineRule="exact"/>
        <w:ind w:firstLine="640" w:firstLineChars="200"/>
        <w:jc w:val="both"/>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四、</w:t>
      </w:r>
      <w:r>
        <w:rPr>
          <w:rFonts w:hint="eastAsia" w:ascii="黑体" w:hAnsi="黑体" w:eastAsia="黑体" w:cs="黑体"/>
          <w:b w:val="0"/>
          <w:bCs w:val="0"/>
          <w:sz w:val="32"/>
          <w:szCs w:val="32"/>
          <w:highlight w:val="none"/>
        </w:rPr>
        <w:t>政府信息公开行政复议、行政诉讼情况</w:t>
      </w:r>
    </w:p>
    <w:tbl>
      <w:tblPr>
        <w:tblStyle w:val="8"/>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588"/>
        <w:gridCol w:w="588"/>
        <w:gridCol w:w="585"/>
        <w:gridCol w:w="499"/>
        <w:gridCol w:w="585"/>
        <w:gridCol w:w="585"/>
        <w:gridCol w:w="585"/>
        <w:gridCol w:w="585"/>
        <w:gridCol w:w="499"/>
        <w:gridCol w:w="585"/>
        <w:gridCol w:w="585"/>
        <w:gridCol w:w="585"/>
        <w:gridCol w:w="585"/>
        <w:gridCol w:w="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autoSpaceDE/>
              <w:autoSpaceDN/>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行政复议</w:t>
            </w:r>
          </w:p>
        </w:tc>
        <w:tc>
          <w:tcPr>
            <w:tcW w:w="0" w:type="auto"/>
            <w:gridSpan w:val="10"/>
            <w:vAlign w:val="center"/>
          </w:tcPr>
          <w:p>
            <w:pPr>
              <w:autoSpaceDE/>
              <w:autoSpaceDN/>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autoSpaceDE/>
              <w:autoSpaceDN/>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结果维持</w:t>
            </w:r>
          </w:p>
        </w:tc>
        <w:tc>
          <w:tcPr>
            <w:tcW w:w="585" w:type="dxa"/>
            <w:vMerge w:val="restart"/>
            <w:vAlign w:val="center"/>
          </w:tcPr>
          <w:p>
            <w:pPr>
              <w:autoSpaceDE/>
              <w:autoSpaceDN/>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结果纠正</w:t>
            </w:r>
          </w:p>
        </w:tc>
        <w:tc>
          <w:tcPr>
            <w:tcW w:w="585" w:type="dxa"/>
            <w:vMerge w:val="restart"/>
            <w:vAlign w:val="center"/>
          </w:tcPr>
          <w:p>
            <w:pPr>
              <w:autoSpaceDE/>
              <w:autoSpaceDN/>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其他结果</w:t>
            </w:r>
          </w:p>
        </w:tc>
        <w:tc>
          <w:tcPr>
            <w:tcW w:w="0" w:type="auto"/>
            <w:vMerge w:val="restart"/>
            <w:vAlign w:val="center"/>
          </w:tcPr>
          <w:p>
            <w:pPr>
              <w:autoSpaceDE/>
              <w:autoSpaceDN/>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尚未审结</w:t>
            </w:r>
          </w:p>
        </w:tc>
        <w:tc>
          <w:tcPr>
            <w:tcW w:w="0" w:type="auto"/>
            <w:vMerge w:val="restart"/>
            <w:vAlign w:val="center"/>
          </w:tcPr>
          <w:p>
            <w:pPr>
              <w:autoSpaceDE/>
              <w:autoSpaceDN/>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总计</w:t>
            </w:r>
          </w:p>
        </w:tc>
        <w:tc>
          <w:tcPr>
            <w:tcW w:w="0" w:type="auto"/>
            <w:gridSpan w:val="5"/>
            <w:vAlign w:val="center"/>
          </w:tcPr>
          <w:p>
            <w:pPr>
              <w:autoSpaceDE/>
              <w:autoSpaceDN/>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未经复议直接起诉</w:t>
            </w:r>
          </w:p>
        </w:tc>
        <w:tc>
          <w:tcPr>
            <w:tcW w:w="0" w:type="auto"/>
            <w:gridSpan w:val="5"/>
            <w:vAlign w:val="center"/>
          </w:tcPr>
          <w:p>
            <w:pPr>
              <w:autoSpaceDE/>
              <w:autoSpaceDN/>
              <w:jc w:val="center"/>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jc w:val="both"/>
              <w:rPr>
                <w:rFonts w:hint="eastAsia" w:ascii="仿宋_GB2312" w:hAnsi="仿宋_GB2312" w:eastAsia="仿宋_GB2312" w:cs="仿宋_GB2312"/>
                <w:b w:val="0"/>
                <w:bCs w:val="0"/>
                <w:sz w:val="24"/>
                <w:szCs w:val="24"/>
                <w:highlight w:val="none"/>
              </w:rPr>
            </w:pPr>
          </w:p>
        </w:tc>
        <w:tc>
          <w:tcPr>
            <w:tcW w:w="585"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585" w:type="dxa"/>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Merge w:val="continue"/>
            <w:vAlign w:val="center"/>
          </w:tcPr>
          <w:p>
            <w:pPr>
              <w:jc w:val="both"/>
              <w:rPr>
                <w:rFonts w:hint="eastAsia" w:ascii="仿宋_GB2312" w:hAnsi="仿宋_GB2312" w:eastAsia="仿宋_GB2312" w:cs="仿宋_GB2312"/>
                <w:b w:val="0"/>
                <w:bCs w:val="0"/>
                <w:sz w:val="24"/>
                <w:szCs w:val="24"/>
                <w:highlight w:val="none"/>
              </w:rPr>
            </w:pP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结果维持</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结果纠正</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其他结果</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尚未审结</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总计</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结果维持</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结果纠正</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其他结果</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尚未审结</w:t>
            </w:r>
          </w:p>
        </w:tc>
        <w:tc>
          <w:tcPr>
            <w:tcW w:w="0" w:type="auto"/>
            <w:vAlign w:val="center"/>
          </w:tcPr>
          <w:p>
            <w:pPr>
              <w:jc w:val="both"/>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585" w:type="dxa"/>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585" w:type="dxa"/>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c>
          <w:tcPr>
            <w:tcW w:w="0" w:type="auto"/>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0</w:t>
            </w:r>
          </w:p>
        </w:tc>
      </w:tr>
    </w:tbl>
    <w:p>
      <w:pPr>
        <w:keepNext w:val="0"/>
        <w:keepLines w:val="0"/>
        <w:pageBreakBefore w:val="0"/>
        <w:numPr>
          <w:ilvl w:val="0"/>
          <w:numId w:val="0"/>
        </w:numPr>
        <w:tabs>
          <w:tab w:val="left" w:pos="0"/>
        </w:tabs>
        <w:kinsoku/>
        <w:wordWrap/>
        <w:overflowPunct/>
        <w:topLinePunct w:val="0"/>
        <w:bidi w:val="0"/>
        <w:adjustRightInd/>
        <w:snapToGrid/>
        <w:spacing w:line="580" w:lineRule="exact"/>
        <w:ind w:firstLine="640" w:firstLineChars="200"/>
        <w:jc w:val="both"/>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五、</w:t>
      </w:r>
      <w:r>
        <w:rPr>
          <w:rFonts w:hint="eastAsia" w:ascii="黑体" w:hAnsi="黑体" w:eastAsia="黑体" w:cs="黑体"/>
          <w:b w:val="0"/>
          <w:bCs w:val="0"/>
          <w:sz w:val="32"/>
          <w:szCs w:val="32"/>
          <w:highlight w:val="none"/>
        </w:rPr>
        <w:t>存在的主要问题及改进情况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Style w:val="10"/>
          <w:rFonts w:ascii="仿宋_GB2312" w:hAnsi="微软雅黑" w:eastAsia="仿宋_GB2312" w:cs="仿宋_GB2312"/>
          <w:b/>
          <w:bCs/>
          <w:i w:val="0"/>
          <w:iCs w:val="0"/>
          <w:caps w:val="0"/>
          <w:color w:val="333333"/>
          <w:spacing w:val="0"/>
          <w:sz w:val="32"/>
          <w:szCs w:val="32"/>
          <w:bdr w:val="none" w:color="auto" w:sz="0" w:space="0"/>
          <w:shd w:val="clear" w:fill="FFFFFF"/>
        </w:rPr>
      </w:pPr>
      <w:r>
        <w:rPr>
          <w:rFonts w:hint="eastAsia" w:ascii="仿宋_GB2312" w:hAnsi="仿宋_GB2312" w:eastAsia="仿宋_GB2312" w:cs="仿宋_GB2312"/>
          <w:b w:val="0"/>
          <w:bCs w:val="0"/>
          <w:i w:val="0"/>
          <w:iCs w:val="0"/>
          <w:kern w:val="0"/>
          <w:sz w:val="32"/>
          <w:szCs w:val="32"/>
          <w:highlight w:val="none"/>
          <w:lang w:val="en-US" w:eastAsia="zh-CN" w:bidi="zh-CN"/>
        </w:rPr>
        <w:t>今年以来，在县委县政府的指导支持下，我局</w:t>
      </w:r>
      <w:bookmarkStart w:id="0" w:name="_GoBack"/>
      <w:bookmarkEnd w:id="0"/>
      <w:r>
        <w:rPr>
          <w:rFonts w:hint="eastAsia" w:ascii="仿宋_GB2312" w:hAnsi="仿宋_GB2312" w:eastAsia="仿宋_GB2312" w:cs="仿宋_GB2312"/>
          <w:b w:val="0"/>
          <w:bCs w:val="0"/>
          <w:i w:val="0"/>
          <w:iCs w:val="0"/>
          <w:kern w:val="0"/>
          <w:sz w:val="32"/>
          <w:szCs w:val="32"/>
          <w:highlight w:val="none"/>
          <w:lang w:val="en-US" w:eastAsia="zh-CN" w:bidi="zh-CN"/>
        </w:rPr>
        <w:t>在政务公开方面做了大量工作，取得了一定进展，但还存在一些问题和不足。</w:t>
      </w:r>
      <w:r>
        <w:rPr>
          <w:rStyle w:val="10"/>
          <w:rFonts w:ascii="仿宋_GB2312" w:hAnsi="微软雅黑" w:eastAsia="仿宋_GB2312" w:cs="仿宋_GB2312"/>
          <w:b w:val="0"/>
          <w:bCs w:val="0"/>
          <w:i w:val="0"/>
          <w:iCs w:val="0"/>
          <w:caps w:val="0"/>
          <w:color w:val="333333"/>
          <w:spacing w:val="0"/>
          <w:sz w:val="32"/>
          <w:szCs w:val="32"/>
          <w:bdr w:val="none" w:color="auto" w:sz="0" w:space="0"/>
          <w:shd w:val="clear" w:fill="FFFFFF"/>
        </w:rPr>
        <w:t>一是政府信息公开意识不强，公开时效性、公开内容</w:t>
      </w:r>
      <w:r>
        <w:rPr>
          <w:rStyle w:val="10"/>
          <w:rFonts w:hint="eastAsia" w:ascii="仿宋_GB2312" w:hAnsi="微软雅黑" w:eastAsia="仿宋_GB2312" w:cs="仿宋_GB2312"/>
          <w:b w:val="0"/>
          <w:bCs w:val="0"/>
          <w:i w:val="0"/>
          <w:iCs w:val="0"/>
          <w:caps w:val="0"/>
          <w:color w:val="333333"/>
          <w:spacing w:val="0"/>
          <w:sz w:val="32"/>
          <w:szCs w:val="32"/>
          <w:bdr w:val="none" w:color="auto" w:sz="0" w:space="0"/>
          <w:shd w:val="clear" w:fill="FFFFFF"/>
          <w:lang w:eastAsia="zh-CN"/>
        </w:rPr>
        <w:t>、</w:t>
      </w:r>
      <w:r>
        <w:rPr>
          <w:rStyle w:val="10"/>
          <w:rFonts w:ascii="仿宋_GB2312" w:hAnsi="微软雅黑" w:eastAsia="仿宋_GB2312" w:cs="仿宋_GB2312"/>
          <w:b w:val="0"/>
          <w:bCs w:val="0"/>
          <w:i w:val="0"/>
          <w:iCs w:val="0"/>
          <w:caps w:val="0"/>
          <w:color w:val="333333"/>
          <w:spacing w:val="0"/>
          <w:sz w:val="32"/>
          <w:szCs w:val="32"/>
          <w:bdr w:val="none" w:color="auto" w:sz="0" w:space="0"/>
          <w:shd w:val="clear" w:fill="FFFFFF"/>
        </w:rPr>
        <w:t>质量有待加强。二是</w:t>
      </w:r>
      <w:r>
        <w:rPr>
          <w:rFonts w:ascii="仿宋_GB2312" w:hAnsi="宋体" w:eastAsia="仿宋_GB2312" w:cs="仿宋_GB2312"/>
          <w:b w:val="0"/>
          <w:bCs w:val="0"/>
          <w:i w:val="0"/>
          <w:iCs w:val="0"/>
          <w:caps w:val="0"/>
          <w:color w:val="000000"/>
          <w:spacing w:val="0"/>
          <w:sz w:val="32"/>
          <w:szCs w:val="32"/>
          <w:shd w:val="clear" w:fill="FFFFFF"/>
        </w:rPr>
        <w:t>政府信息公开工作宣传氛围还不够浓厚，政府信息公开工作创新意识还有待进一步加强。</w:t>
      </w:r>
      <w:r>
        <w:rPr>
          <w:rStyle w:val="10"/>
          <w:rFonts w:ascii="仿宋_GB2312" w:hAnsi="微软雅黑" w:eastAsia="仿宋_GB2312" w:cs="仿宋_GB2312"/>
          <w:b w:val="0"/>
          <w:bCs w:val="0"/>
          <w:i w:val="0"/>
          <w:iCs w:val="0"/>
          <w:caps w:val="0"/>
          <w:color w:val="333333"/>
          <w:spacing w:val="0"/>
          <w:sz w:val="32"/>
          <w:szCs w:val="32"/>
          <w:bdr w:val="none" w:color="auto" w:sz="0" w:space="0"/>
          <w:shd w:val="clear" w:fill="FFFFFF"/>
        </w:rPr>
        <w:t>三是</w:t>
      </w:r>
      <w:r>
        <w:rPr>
          <w:rStyle w:val="10"/>
          <w:rFonts w:hint="eastAsia" w:ascii="仿宋_GB2312" w:hAnsi="微软雅黑" w:eastAsia="仿宋_GB2312" w:cs="仿宋_GB2312"/>
          <w:b w:val="0"/>
          <w:bCs w:val="0"/>
          <w:i w:val="0"/>
          <w:iCs w:val="0"/>
          <w:caps w:val="0"/>
          <w:color w:val="333333"/>
          <w:spacing w:val="0"/>
          <w:sz w:val="32"/>
          <w:szCs w:val="32"/>
          <w:bdr w:val="none" w:color="auto" w:sz="0" w:space="0"/>
          <w:shd w:val="clear" w:fill="FFFFFF"/>
          <w:lang w:eastAsia="zh-CN"/>
        </w:rPr>
        <w:t>政府信息公开</w:t>
      </w:r>
      <w:r>
        <w:rPr>
          <w:rStyle w:val="10"/>
          <w:rFonts w:ascii="仿宋_GB2312" w:hAnsi="微软雅黑" w:eastAsia="仿宋_GB2312" w:cs="仿宋_GB2312"/>
          <w:b w:val="0"/>
          <w:bCs w:val="0"/>
          <w:i w:val="0"/>
          <w:iCs w:val="0"/>
          <w:caps w:val="0"/>
          <w:color w:val="333333"/>
          <w:spacing w:val="0"/>
          <w:sz w:val="32"/>
          <w:szCs w:val="32"/>
          <w:bdr w:val="none" w:color="auto" w:sz="0" w:space="0"/>
          <w:shd w:val="clear" w:fill="FFFFFF"/>
        </w:rPr>
        <w:t>工作人员业务水平不高</w:t>
      </w:r>
      <w:r>
        <w:rPr>
          <w:rStyle w:val="10"/>
          <w:rFonts w:hint="eastAsia" w:ascii="仿宋_GB2312" w:hAnsi="微软雅黑" w:eastAsia="仿宋_GB2312" w:cs="仿宋_GB2312"/>
          <w:b w:val="0"/>
          <w:bCs w:val="0"/>
          <w:i w:val="0"/>
          <w:iCs w:val="0"/>
          <w:caps w:val="0"/>
          <w:color w:val="333333"/>
          <w:spacing w:val="0"/>
          <w:sz w:val="32"/>
          <w:szCs w:val="32"/>
          <w:bdr w:val="none" w:color="auto" w:sz="0" w:space="0"/>
          <w:shd w:val="clear" w:fill="FFFFFF"/>
          <w:lang w:eastAsia="zh-CN"/>
        </w:rPr>
        <w:t>，</w:t>
      </w:r>
      <w:r>
        <w:rPr>
          <w:rFonts w:ascii="仿宋_GB2312" w:hAnsi="宋体" w:eastAsia="仿宋_GB2312" w:cs="仿宋_GB2312"/>
          <w:b w:val="0"/>
          <w:bCs w:val="0"/>
          <w:i w:val="0"/>
          <w:iCs w:val="0"/>
          <w:caps w:val="0"/>
          <w:color w:val="000000"/>
          <w:spacing w:val="0"/>
          <w:sz w:val="32"/>
          <w:szCs w:val="32"/>
          <w:shd w:val="clear" w:fill="FFFFFF"/>
        </w:rPr>
        <w:t>对政府信息公开业务知识把握不够准确</w:t>
      </w:r>
      <w:r>
        <w:rPr>
          <w:rStyle w:val="10"/>
          <w:rFonts w:ascii="仿宋_GB2312" w:hAnsi="微软雅黑" w:eastAsia="仿宋_GB2312" w:cs="仿宋_GB2312"/>
          <w:b/>
          <w:bCs/>
          <w:i w:val="0"/>
          <w:iCs w:val="0"/>
          <w:caps w:val="0"/>
          <w:color w:val="333333"/>
          <w:spacing w:val="0"/>
          <w:sz w:val="32"/>
          <w:szCs w:val="32"/>
          <w:bdr w:val="none" w:color="auto" w:sz="0" w:space="0"/>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zh-CN" w:eastAsia="zh-CN" w:bidi="zh-CN"/>
        </w:rPr>
      </w:pPr>
      <w:r>
        <w:rPr>
          <w:rFonts w:hint="eastAsia" w:ascii="仿宋_GB2312" w:hAnsi="仿宋_GB2312" w:eastAsia="仿宋_GB2312" w:cs="仿宋_GB2312"/>
          <w:b w:val="0"/>
          <w:bCs w:val="0"/>
          <w:kern w:val="0"/>
          <w:sz w:val="32"/>
          <w:szCs w:val="32"/>
          <w:highlight w:val="none"/>
          <w:lang w:val="zh-CN" w:eastAsia="zh-CN" w:bidi="zh-CN"/>
        </w:rPr>
        <w:t>下一步，我局将进一步提高对政府信息公开工作思想认识，建立常态化工作机制，</w:t>
      </w:r>
      <w:r>
        <w:rPr>
          <w:rFonts w:ascii="仿宋_GB2312" w:hAnsi="宋体" w:eastAsia="仿宋_GB2312" w:cs="仿宋_GB2312"/>
          <w:i w:val="0"/>
          <w:iCs w:val="0"/>
          <w:caps w:val="0"/>
          <w:color w:val="000000"/>
          <w:spacing w:val="0"/>
          <w:sz w:val="32"/>
          <w:szCs w:val="32"/>
          <w:shd w:val="clear" w:fill="FFFFFF"/>
        </w:rPr>
        <w:t>加强人员培训学习，不断提高我局政府信息公开工作的质量和水平</w:t>
      </w:r>
      <w:r>
        <w:rPr>
          <w:rFonts w:hint="eastAsia" w:ascii="仿宋_GB2312" w:hAnsi="宋体" w:eastAsia="仿宋_GB2312" w:cs="仿宋_GB2312"/>
          <w:i w:val="0"/>
          <w:iCs w:val="0"/>
          <w:caps w:val="0"/>
          <w:color w:val="000000"/>
          <w:spacing w:val="0"/>
          <w:sz w:val="32"/>
          <w:szCs w:val="32"/>
          <w:shd w:val="clear" w:fill="FFFFFF"/>
          <w:lang w:eastAsia="zh-CN"/>
        </w:rPr>
        <w:t>。</w:t>
      </w:r>
    </w:p>
    <w:p>
      <w:pPr>
        <w:keepNext w:val="0"/>
        <w:keepLines w:val="0"/>
        <w:pageBreakBefore w:val="0"/>
        <w:numPr>
          <w:ilvl w:val="0"/>
          <w:numId w:val="0"/>
        </w:numPr>
        <w:tabs>
          <w:tab w:val="left" w:pos="0"/>
        </w:tabs>
        <w:kinsoku/>
        <w:wordWrap/>
        <w:overflowPunct/>
        <w:topLinePunct w:val="0"/>
        <w:bidi w:val="0"/>
        <w:adjustRightInd/>
        <w:snapToGrid/>
        <w:spacing w:line="580" w:lineRule="exact"/>
        <w:ind w:firstLine="640" w:firstLineChars="200"/>
        <w:jc w:val="both"/>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六、</w:t>
      </w:r>
      <w:r>
        <w:rPr>
          <w:rFonts w:hint="eastAsia" w:ascii="黑体" w:hAnsi="黑体" w:eastAsia="黑体" w:cs="黑体"/>
          <w:b w:val="0"/>
          <w:bCs w:val="0"/>
          <w:sz w:val="32"/>
          <w:szCs w:val="32"/>
          <w:highlight w:val="none"/>
        </w:rPr>
        <w:t>其他需要报告的事项</w:t>
      </w:r>
    </w:p>
    <w:p>
      <w:pPr>
        <w:keepNext w:val="0"/>
        <w:keepLines w:val="0"/>
        <w:pageBreakBefore w:val="0"/>
        <w:kinsoku/>
        <w:wordWrap/>
        <w:overflowPunct/>
        <w:topLinePunct w:val="0"/>
        <w:autoSpaceDE w:val="0"/>
        <w:autoSpaceDN w:val="0"/>
        <w:bidi w:val="0"/>
        <w:adjustRightInd/>
        <w:snapToGrid/>
        <w:spacing w:line="580" w:lineRule="exact"/>
        <w:ind w:firstLine="643" w:firstLineChars="200"/>
        <w:textAlignment w:val="auto"/>
        <w:rPr>
          <w:rFonts w:hint="eastAsia" w:ascii="仿宋_GB2312" w:hAnsi="仿宋_GB2312" w:eastAsia="仿宋_GB2312" w:cs="仿宋_GB2312"/>
          <w:b/>
          <w:bCs/>
          <w:kern w:val="0"/>
          <w:sz w:val="32"/>
          <w:szCs w:val="32"/>
          <w:highlight w:val="none"/>
          <w:lang w:val="zh-CN" w:eastAsia="zh-CN" w:bidi="zh-CN"/>
        </w:rPr>
      </w:pPr>
      <w:r>
        <w:rPr>
          <w:rFonts w:hint="eastAsia" w:ascii="仿宋_GB2312" w:hAnsi="仿宋_GB2312" w:eastAsia="仿宋_GB2312" w:cs="仿宋_GB2312"/>
          <w:b/>
          <w:bCs/>
          <w:kern w:val="0"/>
          <w:sz w:val="32"/>
          <w:szCs w:val="32"/>
          <w:highlight w:val="none"/>
          <w:lang w:val="zh-CN" w:eastAsia="zh-CN" w:bidi="zh-CN"/>
        </w:rPr>
        <w:t>（一）收费情况</w:t>
      </w:r>
    </w:p>
    <w:p>
      <w:pPr>
        <w:pStyle w:val="2"/>
        <w:keepNext w:val="0"/>
        <w:keepLines w:val="0"/>
        <w:pageBreakBefore w:val="0"/>
        <w:kinsoku/>
        <w:wordWrap/>
        <w:overflowPunct/>
        <w:topLinePunct w:val="0"/>
        <w:autoSpaceDE w:val="0"/>
        <w:autoSpaceDN w:val="0"/>
        <w:bidi w:val="0"/>
        <w:adjustRightInd/>
        <w:snapToGrid/>
        <w:spacing w:before="0" w:after="0" w:line="580" w:lineRule="exact"/>
        <w:ind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w:t>
      </w:r>
      <w:r>
        <w:rPr>
          <w:rFonts w:hint="eastAsia" w:ascii="仿宋_GB2312" w:hAnsi="仿宋_GB2312" w:eastAsia="仿宋_GB2312" w:cs="仿宋_GB2312"/>
          <w:b w:val="0"/>
          <w:bCs w:val="0"/>
          <w:kern w:val="2"/>
          <w:sz w:val="32"/>
          <w:szCs w:val="32"/>
          <w:lang w:val="en-US" w:eastAsia="zh-CN" w:bidi="ar-SA"/>
        </w:rPr>
        <w:t>政府</w:t>
      </w:r>
      <w:r>
        <w:rPr>
          <w:rFonts w:ascii="仿宋_GB2312" w:eastAsia="仿宋_GB2312"/>
          <w:b w:val="0"/>
          <w:bCs w:val="0"/>
          <w:sz w:val="32"/>
          <w:szCs w:val="32"/>
        </w:rPr>
        <w:t>信息</w:t>
      </w:r>
      <w:r>
        <w:rPr>
          <w:rFonts w:hint="eastAsia" w:ascii="仿宋_GB2312" w:eastAsia="仿宋_GB2312"/>
          <w:b w:val="0"/>
          <w:bCs w:val="0"/>
          <w:sz w:val="32"/>
          <w:szCs w:val="32"/>
          <w:lang w:eastAsia="zh-CN"/>
        </w:rPr>
        <w:t>公开信息</w:t>
      </w:r>
      <w:r>
        <w:rPr>
          <w:rFonts w:ascii="仿宋_GB2312" w:eastAsia="仿宋_GB2312"/>
          <w:b w:val="0"/>
          <w:bCs w:val="0"/>
          <w:sz w:val="32"/>
          <w:szCs w:val="32"/>
        </w:rPr>
        <w:t>处理费</w:t>
      </w:r>
      <w:r>
        <w:rPr>
          <w:rFonts w:hint="default" w:ascii="仿宋_GB2312" w:hAnsi="仿宋_GB2312" w:eastAsia="仿宋_GB2312" w:cs="仿宋_GB2312"/>
          <w:b w:val="0"/>
          <w:bCs w:val="0"/>
          <w:kern w:val="2"/>
          <w:sz w:val="32"/>
          <w:szCs w:val="32"/>
          <w:lang w:val="en-US" w:eastAsia="zh-CN" w:bidi="ar-SA"/>
        </w:rPr>
        <w:t>。</w:t>
      </w:r>
    </w:p>
    <w:p>
      <w:pPr>
        <w:pStyle w:val="2"/>
        <w:keepNext w:val="0"/>
        <w:keepLines w:val="0"/>
        <w:pageBreakBefore w:val="0"/>
        <w:kinsoku/>
        <w:wordWrap/>
        <w:overflowPunct/>
        <w:topLinePunct w:val="0"/>
        <w:autoSpaceDE w:val="0"/>
        <w:autoSpaceDN w:val="0"/>
        <w:bidi w:val="0"/>
        <w:adjustRightInd/>
        <w:snapToGrid/>
        <w:spacing w:before="0" w:after="0" w:line="580" w:lineRule="exact"/>
        <w:ind w:firstLine="643" w:firstLineChars="200"/>
        <w:jc w:val="both"/>
        <w:textAlignment w:val="auto"/>
        <w:rPr>
          <w:rFonts w:hint="eastAsia" w:ascii="仿宋_GB2312" w:hAnsi="仿宋_GB2312" w:eastAsia="仿宋_GB2312" w:cs="仿宋_GB2312"/>
          <w:b/>
          <w:bCs/>
          <w:kern w:val="0"/>
          <w:sz w:val="32"/>
          <w:szCs w:val="32"/>
          <w:highlight w:val="none"/>
          <w:lang w:val="en-US" w:eastAsia="zh-CN" w:bidi="zh-CN"/>
        </w:rPr>
      </w:pPr>
      <w:r>
        <w:rPr>
          <w:rFonts w:hint="eastAsia" w:ascii="仿宋_GB2312" w:hAnsi="仿宋_GB2312" w:eastAsia="仿宋_GB2312" w:cs="仿宋_GB2312"/>
          <w:b/>
          <w:bCs/>
          <w:kern w:val="0"/>
          <w:sz w:val="32"/>
          <w:szCs w:val="32"/>
          <w:highlight w:val="none"/>
          <w:lang w:val="en-US" w:eastAsia="zh-CN" w:bidi="zh-CN"/>
        </w:rPr>
        <w:t>（二）</w:t>
      </w:r>
      <w:r>
        <w:rPr>
          <w:rFonts w:hint="default" w:ascii="仿宋_GB2312" w:hAnsi="仿宋_GB2312" w:eastAsia="仿宋_GB2312" w:cs="仿宋_GB2312"/>
          <w:kern w:val="2"/>
          <w:sz w:val="32"/>
          <w:szCs w:val="32"/>
          <w:lang w:val="en-US" w:eastAsia="zh-CN" w:bidi="ar-SA"/>
        </w:rPr>
        <w:t>落实上年度政府公开工作要点情况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20"/>
        <w:textAlignment w:val="auto"/>
        <w:rPr>
          <w:rFonts w:hint="eastAsia" w:ascii="仿宋_GB2312" w:hAnsi="微软雅黑" w:eastAsia="仿宋_GB2312" w:cs="仿宋_GB2312"/>
          <w:i w:val="0"/>
          <w:iCs w:val="0"/>
          <w:caps w:val="0"/>
          <w:color w:val="000000"/>
          <w:spacing w:val="0"/>
          <w:sz w:val="31"/>
          <w:szCs w:val="31"/>
          <w:shd w:val="clear" w:fill="FFFFFF"/>
          <w:lang w:val="en-US"/>
        </w:rPr>
      </w:pPr>
      <w:r>
        <w:rPr>
          <w:rFonts w:hint="eastAsia" w:ascii="仿宋_GB2312" w:hAnsi="仿宋_GB2312" w:eastAsia="仿宋_GB2312" w:cs="仿宋_GB2312"/>
          <w:b w:val="0"/>
          <w:bCs w:val="0"/>
          <w:kern w:val="0"/>
          <w:sz w:val="32"/>
          <w:szCs w:val="32"/>
          <w:highlight w:val="none"/>
          <w:lang w:val="zh-CN" w:eastAsia="zh-CN" w:bidi="zh-CN"/>
        </w:rPr>
        <w:t>一是加强组织领导。成立了县自然资源局政务公开领导小组，组织制定相关制度和措施，负责在推行政务公开过程中的思想政治、宣传教育和组织实施工作。二是完善制度机制。建立严格执行保密审查制度，确保做到“先审查，后公开”，围绕“五公开”、政策解读、回应社会关切、公开平台建设、依申请公开等重点工作，加强对各科室、单位的政务公开工作推进情况督查。三是提升网站建设水平。加强与县政府网站的对接，确保信息及时推送和录入。充分利用政府网站和政务微博等新媒体网络平台，针对群众想要了解的、有帮助的、引发社会共鸣的一些热点信息多转发、多互动，加快形成政务发布合力，扩大网络发布覆盖面。</w:t>
      </w:r>
      <w:r>
        <w:rPr>
          <w:rFonts w:hint="eastAsia" w:ascii="仿宋_GB2312" w:hAnsi="微软雅黑" w:eastAsia="仿宋_GB2312" w:cs="仿宋_GB2312"/>
          <w:i w:val="0"/>
          <w:iCs w:val="0"/>
          <w:caps w:val="0"/>
          <w:color w:val="000000"/>
          <w:spacing w:val="0"/>
          <w:sz w:val="31"/>
          <w:szCs w:val="31"/>
          <w:shd w:val="clear" w:fill="FFFFFF"/>
          <w:lang w:val="en-US"/>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80" w:lineRule="exact"/>
        <w:ind w:left="0" w:right="0" w:firstLine="62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微软雅黑" w:eastAsia="仿宋_GB2312" w:cs="仿宋_GB2312"/>
          <w:b/>
          <w:bCs/>
          <w:i w:val="0"/>
          <w:iCs w:val="0"/>
          <w:caps w:val="0"/>
          <w:color w:val="000000"/>
          <w:spacing w:val="0"/>
          <w:sz w:val="31"/>
          <w:szCs w:val="31"/>
          <w:shd w:val="clear" w:fill="FFFFFF"/>
          <w:lang w:val="en-US" w:eastAsia="zh-CN"/>
        </w:rPr>
        <w:t>（三）</w:t>
      </w:r>
      <w:r>
        <w:rPr>
          <w:rFonts w:hint="default" w:ascii="仿宋_GB2312" w:hAnsi="仿宋_GB2312" w:eastAsia="仿宋_GB2312" w:cs="仿宋_GB2312"/>
          <w:b/>
          <w:bCs/>
          <w:kern w:val="2"/>
          <w:sz w:val="32"/>
          <w:szCs w:val="32"/>
          <w:lang w:val="en-US" w:eastAsia="zh-CN" w:bidi="ar-SA"/>
        </w:rPr>
        <w:t>人大代表建议和政协提案办理结果公开情况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仿宋_GB2312" w:hAnsi="微软雅黑" w:eastAsia="仿宋_GB2312" w:cs="仿宋_GB2312"/>
          <w:i w:val="0"/>
          <w:caps w:val="0"/>
          <w:color w:val="000000"/>
          <w:spacing w:val="0"/>
          <w:sz w:val="32"/>
          <w:szCs w:val="32"/>
          <w:shd w:val="clear" w:fill="FFFFFF"/>
        </w:rPr>
      </w:pPr>
      <w:r>
        <w:rPr>
          <w:rFonts w:hint="eastAsia" w:ascii="仿宋_GB2312" w:hAnsi="微软雅黑" w:eastAsia="仿宋_GB2312" w:cs="仿宋_GB2312"/>
          <w:i w:val="0"/>
          <w:caps w:val="0"/>
          <w:color w:val="000000"/>
          <w:spacing w:val="0"/>
          <w:sz w:val="32"/>
          <w:szCs w:val="32"/>
          <w:shd w:val="clear" w:fill="FFFFFF"/>
        </w:rPr>
        <w:t>202</w:t>
      </w:r>
      <w:r>
        <w:rPr>
          <w:rFonts w:hint="eastAsia" w:ascii="仿宋_GB2312" w:hAnsi="微软雅黑" w:eastAsia="仿宋_GB2312" w:cs="仿宋_GB2312"/>
          <w:i w:val="0"/>
          <w:caps w:val="0"/>
          <w:color w:val="000000"/>
          <w:spacing w:val="0"/>
          <w:sz w:val="32"/>
          <w:szCs w:val="32"/>
          <w:shd w:val="clear" w:fill="FFFFFF"/>
          <w:lang w:val="en-US" w:eastAsia="zh-CN"/>
        </w:rPr>
        <w:t>1</w:t>
      </w:r>
      <w:r>
        <w:rPr>
          <w:rFonts w:hint="eastAsia" w:ascii="仿宋_GB2312" w:hAnsi="微软雅黑" w:eastAsia="仿宋_GB2312" w:cs="仿宋_GB2312"/>
          <w:i w:val="0"/>
          <w:caps w:val="0"/>
          <w:color w:val="000000"/>
          <w:spacing w:val="0"/>
          <w:sz w:val="32"/>
          <w:szCs w:val="32"/>
          <w:shd w:val="clear" w:fill="FFFFFF"/>
        </w:rPr>
        <w:t>年，</w:t>
      </w:r>
      <w:r>
        <w:rPr>
          <w:rFonts w:hint="eastAsia" w:ascii="仿宋_GB2312" w:hAnsi="微软雅黑" w:eastAsia="仿宋_GB2312" w:cs="仿宋_GB2312"/>
          <w:i w:val="0"/>
          <w:caps w:val="0"/>
          <w:color w:val="000000"/>
          <w:spacing w:val="0"/>
          <w:sz w:val="32"/>
          <w:szCs w:val="32"/>
          <w:shd w:val="clear" w:fill="FFFFFF"/>
          <w:lang w:eastAsia="zh-CN"/>
        </w:rPr>
        <w:t>共</w:t>
      </w:r>
      <w:r>
        <w:rPr>
          <w:rFonts w:hint="eastAsia" w:ascii="仿宋_GB2312" w:hAnsi="微软雅黑" w:eastAsia="仿宋_GB2312" w:cs="仿宋_GB2312"/>
          <w:i w:val="0"/>
          <w:caps w:val="0"/>
          <w:color w:val="000000"/>
          <w:spacing w:val="0"/>
          <w:sz w:val="32"/>
          <w:szCs w:val="32"/>
          <w:shd w:val="clear" w:fill="FFFFFF"/>
        </w:rPr>
        <w:t>办理人大代表、政协委员建议提案</w:t>
      </w:r>
      <w:r>
        <w:rPr>
          <w:rFonts w:hint="eastAsia" w:ascii="仿宋_GB2312" w:hAnsi="微软雅黑" w:eastAsia="仿宋_GB2312" w:cs="仿宋_GB2312"/>
          <w:i w:val="0"/>
          <w:caps w:val="0"/>
          <w:color w:val="000000"/>
          <w:spacing w:val="0"/>
          <w:sz w:val="32"/>
          <w:szCs w:val="32"/>
          <w:shd w:val="clear" w:fill="FFFFFF"/>
          <w:lang w:val="en-US" w:eastAsia="zh-CN"/>
        </w:rPr>
        <w:t>11件，全部按时答复并主动公开</w:t>
      </w:r>
      <w:r>
        <w:rPr>
          <w:rFonts w:hint="eastAsia" w:ascii="仿宋_GB2312" w:hAnsi="微软雅黑" w:eastAsia="仿宋_GB2312" w:cs="仿宋_GB2312"/>
          <w:i w:val="0"/>
          <w:caps w:val="0"/>
          <w:color w:val="000000"/>
          <w:spacing w:val="0"/>
          <w:sz w:val="32"/>
          <w:szCs w:val="32"/>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80" w:lineRule="exact"/>
        <w:ind w:left="0" w:right="0" w:firstLine="640"/>
        <w:jc w:val="both"/>
        <w:textAlignment w:val="auto"/>
        <w:rPr>
          <w:rFonts w:hint="eastAsia" w:ascii="仿宋_GB2312" w:hAnsi="微软雅黑" w:eastAsia="仿宋_GB2312" w:cs="仿宋_GB2312"/>
          <w:i w:val="0"/>
          <w:caps w:val="0"/>
          <w:color w:val="000000"/>
          <w:spacing w:val="0"/>
          <w:sz w:val="32"/>
          <w:szCs w:val="32"/>
          <w:shd w:val="clear" w:fill="FFFFFF"/>
        </w:rPr>
      </w:pPr>
    </w:p>
    <w:p>
      <w:pPr>
        <w:keepNext w:val="0"/>
        <w:keepLines w:val="0"/>
        <w:pageBreakBefore w:val="0"/>
        <w:kinsoku/>
        <w:wordWrap/>
        <w:overflowPunct/>
        <w:topLinePunct w:val="0"/>
        <w:autoSpaceDE w:val="0"/>
        <w:autoSpaceDN w:val="0"/>
        <w:bidi w:val="0"/>
        <w:adjustRightInd/>
        <w:snapToGrid/>
        <w:spacing w:line="580" w:lineRule="exact"/>
        <w:ind w:firstLine="5120" w:firstLineChars="1600"/>
        <w:textAlignment w:val="auto"/>
        <w:rPr>
          <w:rFonts w:hint="default" w:ascii="仿宋_GB2312" w:hAnsi="仿宋_GB2312" w:eastAsia="仿宋_GB2312" w:cs="仿宋_GB2312"/>
          <w:b w:val="0"/>
          <w:bCs w:val="0"/>
          <w:kern w:val="0"/>
          <w:sz w:val="32"/>
          <w:szCs w:val="32"/>
          <w:highlight w:val="none"/>
          <w:lang w:val="en-US" w:eastAsia="zh-CN" w:bidi="zh-CN"/>
        </w:rPr>
      </w:pPr>
      <w:r>
        <w:rPr>
          <w:rFonts w:hint="eastAsia" w:ascii="仿宋_GB2312" w:hAnsi="仿宋_GB2312" w:eastAsia="仿宋_GB2312" w:cs="仿宋_GB2312"/>
          <w:b w:val="0"/>
          <w:bCs w:val="0"/>
          <w:kern w:val="0"/>
          <w:sz w:val="32"/>
          <w:szCs w:val="32"/>
          <w:highlight w:val="none"/>
          <w:lang w:val="en-US" w:eastAsia="zh-CN" w:bidi="zh-CN"/>
        </w:rPr>
        <w:t>2022年1月25日</w:t>
      </w:r>
    </w:p>
    <w:sectPr>
      <w:footerReference r:id="rId3" w:type="default"/>
      <w:pgSz w:w="11906" w:h="16838"/>
      <w:pgMar w:top="1701" w:right="1800" w:bottom="170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sz w:val="20"/>
      </w:rP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4"/>
                  <w:rPr>
                    <w:rFonts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26C4581"/>
    <w:rsid w:val="000241C2"/>
    <w:rsid w:val="000C2A30"/>
    <w:rsid w:val="001D66FE"/>
    <w:rsid w:val="0037372C"/>
    <w:rsid w:val="00595E2E"/>
    <w:rsid w:val="0064248D"/>
    <w:rsid w:val="007B47B3"/>
    <w:rsid w:val="00A715CD"/>
    <w:rsid w:val="00C21D15"/>
    <w:rsid w:val="00C4680E"/>
    <w:rsid w:val="00C67D3A"/>
    <w:rsid w:val="00C9748C"/>
    <w:rsid w:val="00CF1925"/>
    <w:rsid w:val="00D450F0"/>
    <w:rsid w:val="00E16996"/>
    <w:rsid w:val="00E8333A"/>
    <w:rsid w:val="00FD67B4"/>
    <w:rsid w:val="01EF393B"/>
    <w:rsid w:val="02734C3F"/>
    <w:rsid w:val="0390460C"/>
    <w:rsid w:val="039A3E8E"/>
    <w:rsid w:val="03D7591B"/>
    <w:rsid w:val="03FA286C"/>
    <w:rsid w:val="042F1DE8"/>
    <w:rsid w:val="05997F1A"/>
    <w:rsid w:val="06744A70"/>
    <w:rsid w:val="06DA0A58"/>
    <w:rsid w:val="072E33FD"/>
    <w:rsid w:val="073D6A9E"/>
    <w:rsid w:val="075610CE"/>
    <w:rsid w:val="084F78FD"/>
    <w:rsid w:val="088920B6"/>
    <w:rsid w:val="08B63E2C"/>
    <w:rsid w:val="09007058"/>
    <w:rsid w:val="0A9F18CE"/>
    <w:rsid w:val="0B457B30"/>
    <w:rsid w:val="0B730203"/>
    <w:rsid w:val="0B916278"/>
    <w:rsid w:val="0BA80A37"/>
    <w:rsid w:val="0BBC32B0"/>
    <w:rsid w:val="0C091275"/>
    <w:rsid w:val="0C1E369B"/>
    <w:rsid w:val="0C7D0542"/>
    <w:rsid w:val="0C974147"/>
    <w:rsid w:val="0D57260A"/>
    <w:rsid w:val="0D720C48"/>
    <w:rsid w:val="0DEF563B"/>
    <w:rsid w:val="0E355100"/>
    <w:rsid w:val="0EDA7310"/>
    <w:rsid w:val="0F591B6F"/>
    <w:rsid w:val="0FDC5A39"/>
    <w:rsid w:val="10187509"/>
    <w:rsid w:val="101E101B"/>
    <w:rsid w:val="103C293D"/>
    <w:rsid w:val="113905B5"/>
    <w:rsid w:val="116479CD"/>
    <w:rsid w:val="117F33C9"/>
    <w:rsid w:val="11C1186D"/>
    <w:rsid w:val="120F09BA"/>
    <w:rsid w:val="121E6936"/>
    <w:rsid w:val="136970BF"/>
    <w:rsid w:val="1393144D"/>
    <w:rsid w:val="13AB2615"/>
    <w:rsid w:val="13C818C5"/>
    <w:rsid w:val="14A8254A"/>
    <w:rsid w:val="15177F22"/>
    <w:rsid w:val="1536679D"/>
    <w:rsid w:val="157846BC"/>
    <w:rsid w:val="15F17944"/>
    <w:rsid w:val="16383F6A"/>
    <w:rsid w:val="179516D8"/>
    <w:rsid w:val="17C54D24"/>
    <w:rsid w:val="18904F00"/>
    <w:rsid w:val="19E060E8"/>
    <w:rsid w:val="1A2A1C45"/>
    <w:rsid w:val="1AB11C36"/>
    <w:rsid w:val="1B2763C2"/>
    <w:rsid w:val="1C8449B3"/>
    <w:rsid w:val="1C886F18"/>
    <w:rsid w:val="1C8B0361"/>
    <w:rsid w:val="1CA07D81"/>
    <w:rsid w:val="1CA16882"/>
    <w:rsid w:val="1CB37AD1"/>
    <w:rsid w:val="1D3A617F"/>
    <w:rsid w:val="1D5B3DF2"/>
    <w:rsid w:val="1D8C1728"/>
    <w:rsid w:val="1E461ADF"/>
    <w:rsid w:val="1F4314C1"/>
    <w:rsid w:val="1F433891"/>
    <w:rsid w:val="1F7A63F3"/>
    <w:rsid w:val="1F8F5FE1"/>
    <w:rsid w:val="20EF1A82"/>
    <w:rsid w:val="20F44186"/>
    <w:rsid w:val="21091025"/>
    <w:rsid w:val="21C31632"/>
    <w:rsid w:val="21EC3859"/>
    <w:rsid w:val="22407D4E"/>
    <w:rsid w:val="226C4581"/>
    <w:rsid w:val="226E056E"/>
    <w:rsid w:val="229679A7"/>
    <w:rsid w:val="234F59BA"/>
    <w:rsid w:val="237F4CBF"/>
    <w:rsid w:val="25123FE5"/>
    <w:rsid w:val="252E2024"/>
    <w:rsid w:val="259026D2"/>
    <w:rsid w:val="25BB081D"/>
    <w:rsid w:val="25DE5E65"/>
    <w:rsid w:val="260D5828"/>
    <w:rsid w:val="262B1761"/>
    <w:rsid w:val="263374F8"/>
    <w:rsid w:val="267A6460"/>
    <w:rsid w:val="26B55CAA"/>
    <w:rsid w:val="275B3F2D"/>
    <w:rsid w:val="275E7049"/>
    <w:rsid w:val="2854138E"/>
    <w:rsid w:val="299E27E6"/>
    <w:rsid w:val="29BC58B6"/>
    <w:rsid w:val="29C2597F"/>
    <w:rsid w:val="29D13D60"/>
    <w:rsid w:val="2A1426C6"/>
    <w:rsid w:val="2A7371B8"/>
    <w:rsid w:val="2B0961F6"/>
    <w:rsid w:val="2B6E6DCD"/>
    <w:rsid w:val="2C216CF4"/>
    <w:rsid w:val="2C62707A"/>
    <w:rsid w:val="2C9E4497"/>
    <w:rsid w:val="2CCA5123"/>
    <w:rsid w:val="2D4D7CC5"/>
    <w:rsid w:val="2D5436DD"/>
    <w:rsid w:val="2DBA13F2"/>
    <w:rsid w:val="2DF76BF4"/>
    <w:rsid w:val="2E701B2F"/>
    <w:rsid w:val="2EB96778"/>
    <w:rsid w:val="2EEC2A8E"/>
    <w:rsid w:val="2F2716EE"/>
    <w:rsid w:val="2FBA4C8F"/>
    <w:rsid w:val="2FC622BB"/>
    <w:rsid w:val="30036F8D"/>
    <w:rsid w:val="302B6EC2"/>
    <w:rsid w:val="30DB5CBC"/>
    <w:rsid w:val="317B7637"/>
    <w:rsid w:val="31C212BC"/>
    <w:rsid w:val="32704E90"/>
    <w:rsid w:val="328C42AC"/>
    <w:rsid w:val="32AC4590"/>
    <w:rsid w:val="330442AB"/>
    <w:rsid w:val="336F00C0"/>
    <w:rsid w:val="336F5D2F"/>
    <w:rsid w:val="33B32FCA"/>
    <w:rsid w:val="34685083"/>
    <w:rsid w:val="34854AA2"/>
    <w:rsid w:val="35914289"/>
    <w:rsid w:val="35AE4AF0"/>
    <w:rsid w:val="35D554EC"/>
    <w:rsid w:val="363E1B53"/>
    <w:rsid w:val="363E25D5"/>
    <w:rsid w:val="36514B2F"/>
    <w:rsid w:val="36B80A30"/>
    <w:rsid w:val="36E86C67"/>
    <w:rsid w:val="37022F8C"/>
    <w:rsid w:val="375E4A8A"/>
    <w:rsid w:val="37916874"/>
    <w:rsid w:val="388515AF"/>
    <w:rsid w:val="38DE17A1"/>
    <w:rsid w:val="39616225"/>
    <w:rsid w:val="398F6E9F"/>
    <w:rsid w:val="3A465481"/>
    <w:rsid w:val="3A8100FB"/>
    <w:rsid w:val="3AA8203E"/>
    <w:rsid w:val="3AE85731"/>
    <w:rsid w:val="3B1761FC"/>
    <w:rsid w:val="3B721D1C"/>
    <w:rsid w:val="3B7D4662"/>
    <w:rsid w:val="3C6D4BB2"/>
    <w:rsid w:val="3C6F6A0B"/>
    <w:rsid w:val="3CC12553"/>
    <w:rsid w:val="3CC42726"/>
    <w:rsid w:val="3CFB611C"/>
    <w:rsid w:val="3D062C9E"/>
    <w:rsid w:val="3E8E0381"/>
    <w:rsid w:val="3F673E53"/>
    <w:rsid w:val="40393E67"/>
    <w:rsid w:val="4083248D"/>
    <w:rsid w:val="41BB7615"/>
    <w:rsid w:val="41DC77B5"/>
    <w:rsid w:val="421E2B3C"/>
    <w:rsid w:val="42207238"/>
    <w:rsid w:val="42472436"/>
    <w:rsid w:val="42CD5058"/>
    <w:rsid w:val="42DD5FB8"/>
    <w:rsid w:val="43EB3540"/>
    <w:rsid w:val="44265DAC"/>
    <w:rsid w:val="442C26B4"/>
    <w:rsid w:val="449204E4"/>
    <w:rsid w:val="44A00745"/>
    <w:rsid w:val="44AD1E43"/>
    <w:rsid w:val="45750051"/>
    <w:rsid w:val="45990CFE"/>
    <w:rsid w:val="46090E2F"/>
    <w:rsid w:val="46B3386D"/>
    <w:rsid w:val="46FD0EE9"/>
    <w:rsid w:val="473854F5"/>
    <w:rsid w:val="489F426C"/>
    <w:rsid w:val="495B4D3F"/>
    <w:rsid w:val="496C21B9"/>
    <w:rsid w:val="4A484A44"/>
    <w:rsid w:val="4AE22478"/>
    <w:rsid w:val="4AF84E60"/>
    <w:rsid w:val="4BA54C70"/>
    <w:rsid w:val="4BEE6204"/>
    <w:rsid w:val="4CB156B8"/>
    <w:rsid w:val="4DC81F94"/>
    <w:rsid w:val="4DE97F77"/>
    <w:rsid w:val="4DEB115E"/>
    <w:rsid w:val="4E3F7B34"/>
    <w:rsid w:val="4EBC4B37"/>
    <w:rsid w:val="4ED1424C"/>
    <w:rsid w:val="4EE6424F"/>
    <w:rsid w:val="4F6C7B29"/>
    <w:rsid w:val="4F9F4C9A"/>
    <w:rsid w:val="500859DA"/>
    <w:rsid w:val="51FD1DDC"/>
    <w:rsid w:val="52604FF9"/>
    <w:rsid w:val="52BE128F"/>
    <w:rsid w:val="55690269"/>
    <w:rsid w:val="55970191"/>
    <w:rsid w:val="56B80112"/>
    <w:rsid w:val="587A4A0F"/>
    <w:rsid w:val="58F06A78"/>
    <w:rsid w:val="59592BA6"/>
    <w:rsid w:val="59946F1E"/>
    <w:rsid w:val="59A45D9A"/>
    <w:rsid w:val="59B21CB5"/>
    <w:rsid w:val="5AA02A62"/>
    <w:rsid w:val="5ADC2DBC"/>
    <w:rsid w:val="5ADC6D4A"/>
    <w:rsid w:val="5AEE44F9"/>
    <w:rsid w:val="5B4D42BB"/>
    <w:rsid w:val="5BD02E07"/>
    <w:rsid w:val="5C8C40A2"/>
    <w:rsid w:val="5CF64C85"/>
    <w:rsid w:val="5D153776"/>
    <w:rsid w:val="5D1905D9"/>
    <w:rsid w:val="5D690B69"/>
    <w:rsid w:val="5EA952E4"/>
    <w:rsid w:val="5F6D0481"/>
    <w:rsid w:val="6089192F"/>
    <w:rsid w:val="60C412AB"/>
    <w:rsid w:val="61B01D69"/>
    <w:rsid w:val="621264A9"/>
    <w:rsid w:val="62337532"/>
    <w:rsid w:val="629807A4"/>
    <w:rsid w:val="634D57D8"/>
    <w:rsid w:val="634F2EB8"/>
    <w:rsid w:val="63556D2D"/>
    <w:rsid w:val="63710C5F"/>
    <w:rsid w:val="639A2472"/>
    <w:rsid w:val="643C617D"/>
    <w:rsid w:val="644D627C"/>
    <w:rsid w:val="647C1F0A"/>
    <w:rsid w:val="650D1408"/>
    <w:rsid w:val="659A38FF"/>
    <w:rsid w:val="659E0CE5"/>
    <w:rsid w:val="65D1086D"/>
    <w:rsid w:val="65D42BBA"/>
    <w:rsid w:val="66FE4D4A"/>
    <w:rsid w:val="67621B71"/>
    <w:rsid w:val="67A2105D"/>
    <w:rsid w:val="682B436B"/>
    <w:rsid w:val="69BC6B33"/>
    <w:rsid w:val="6A02054A"/>
    <w:rsid w:val="6B6C7DAB"/>
    <w:rsid w:val="6BCF3538"/>
    <w:rsid w:val="6C34734B"/>
    <w:rsid w:val="6C575259"/>
    <w:rsid w:val="6C696D3F"/>
    <w:rsid w:val="6CB557E9"/>
    <w:rsid w:val="6D5E2A7B"/>
    <w:rsid w:val="6D5E4C52"/>
    <w:rsid w:val="6E604299"/>
    <w:rsid w:val="6F02317C"/>
    <w:rsid w:val="6F7B56B4"/>
    <w:rsid w:val="70335F53"/>
    <w:rsid w:val="70FD12BD"/>
    <w:rsid w:val="716777F6"/>
    <w:rsid w:val="718406C9"/>
    <w:rsid w:val="71DA2F84"/>
    <w:rsid w:val="73CE14C8"/>
    <w:rsid w:val="746D11DF"/>
    <w:rsid w:val="74F012BB"/>
    <w:rsid w:val="75145E34"/>
    <w:rsid w:val="751A4EE8"/>
    <w:rsid w:val="752028B3"/>
    <w:rsid w:val="753F50A6"/>
    <w:rsid w:val="75E92B5E"/>
    <w:rsid w:val="763C787D"/>
    <w:rsid w:val="77486B13"/>
    <w:rsid w:val="780F160C"/>
    <w:rsid w:val="784D2C13"/>
    <w:rsid w:val="787E6DCB"/>
    <w:rsid w:val="789E6DC6"/>
    <w:rsid w:val="79134D5B"/>
    <w:rsid w:val="79496DA0"/>
    <w:rsid w:val="79ED7C4A"/>
    <w:rsid w:val="79EE5957"/>
    <w:rsid w:val="7A2026C5"/>
    <w:rsid w:val="7A513D53"/>
    <w:rsid w:val="7C4230AA"/>
    <w:rsid w:val="7C453CA2"/>
    <w:rsid w:val="7C6E4166"/>
    <w:rsid w:val="7CA87111"/>
    <w:rsid w:val="7D530983"/>
    <w:rsid w:val="7D554E3F"/>
    <w:rsid w:val="7D9135B2"/>
    <w:rsid w:val="7DD00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Arial" w:hAnsi="Arial" w:eastAsia="仿宋_GB2312" w:cs="Arial"/>
      <w:b/>
      <w:bCs/>
      <w:kern w:val="0"/>
      <w:sz w:val="32"/>
      <w:szCs w:val="32"/>
    </w:rPr>
  </w:style>
  <w:style w:type="paragraph" w:styleId="3">
    <w:name w:val="Body Text"/>
    <w:basedOn w:val="1"/>
    <w:qFormat/>
    <w:uiPriority w:val="1"/>
    <w:pPr>
      <w:ind w:left="151"/>
    </w:pPr>
    <w:rPr>
      <w:sz w:val="32"/>
      <w:szCs w:val="32"/>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75" w:beforeAutospacing="0" w:after="75" w:afterAutospacing="0"/>
      <w:ind w:left="0" w:right="0"/>
      <w:jc w:val="left"/>
    </w:pPr>
    <w:rPr>
      <w:kern w:val="0"/>
      <w:sz w:val="24"/>
      <w:lang w:val="en-US" w:eastAsia="zh-CN" w:bidi="ar"/>
    </w:rPr>
  </w:style>
  <w:style w:type="table" w:styleId="8">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眉 Char"/>
    <w:basedOn w:val="9"/>
    <w:link w:val="5"/>
    <w:qFormat/>
    <w:uiPriority w:val="0"/>
    <w:rPr>
      <w:rFonts w:ascii="方正仿宋_GBK" w:hAnsi="方正仿宋_GBK" w:eastAsia="方正仿宋_GBK" w:cs="方正仿宋_GBK"/>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chart" Target="charts/chart2.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主动公开信息数量</a:t>
            </a:r>
          </a:p>
        </c:rich>
      </c:tx>
      <c:layout/>
      <c:overlay val="0"/>
      <c:spPr>
        <a:noFill/>
        <a:ln>
          <a:noFill/>
        </a:ln>
        <a:effectLst/>
      </c:spPr>
    </c:title>
    <c:autoTitleDeleted val="0"/>
    <c:plotArea>
      <c:layout>
        <c:manualLayout>
          <c:layoutTarget val="inner"/>
          <c:xMode val="edge"/>
          <c:yMode val="edge"/>
          <c:x val="0.300459674049311"/>
          <c:y val="0.25974025974026"/>
          <c:w val="0.408552723220504"/>
          <c:h val="0.692561983471074"/>
        </c:manualLayout>
      </c:layout>
      <c:pieChart>
        <c:varyColors val="1"/>
        <c:ser>
          <c:idx val="0"/>
          <c:order val="0"/>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Pt>
            <c:idx val="1"/>
            <c:bubble3D val="0"/>
            <c:spPr>
              <a:solidFill>
                <a:srgbClr val="966480"/>
              </a:solidFill>
              <a:ln w="31750">
                <a:solidFill>
                  <a:schemeClr val="bg1">
                    <a:alpha val="42000"/>
                  </a:schemeClr>
                </a:solidFill>
              </a:ln>
              <a:effectLst/>
            </c:spPr>
          </c:dPt>
          <c:dPt>
            <c:idx val="2"/>
            <c:bubble3D val="0"/>
            <c:spPr>
              <a:solidFill>
                <a:srgbClr val="D06F83"/>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工作表.xlsx]Sheet1'!$A$1:$C$1</c:f>
              <c:strCache>
                <c:ptCount val="3"/>
                <c:pt idx="0">
                  <c:v>政府网站</c:v>
                </c:pt>
                <c:pt idx="1">
                  <c:v>微信公众号</c:v>
                </c:pt>
                <c:pt idx="2">
                  <c:v>政务微博</c:v>
                </c:pt>
              </c:strCache>
            </c:strRef>
          </c:cat>
          <c:val>
            <c:numRef>
              <c:f>'[新建 XLSX 工作表.xlsx]Sheet1'!$A$2:$C$2</c:f>
              <c:numCache>
                <c:formatCode>General</c:formatCode>
                <c:ptCount val="3"/>
                <c:pt idx="0">
                  <c:v>196</c:v>
                </c:pt>
                <c:pt idx="1">
                  <c:v>85</c:v>
                </c:pt>
                <c:pt idx="2">
                  <c:v>830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依申请公开办理数量</a:t>
            </a:r>
          </a:p>
        </c:rich>
      </c:tx>
      <c:layout/>
      <c:overlay val="0"/>
      <c:spPr>
        <a:noFill/>
        <a:ln>
          <a:noFill/>
        </a:ln>
        <a:effectLst/>
      </c:spPr>
    </c:title>
    <c:autoTitleDeleted val="0"/>
    <c:plotArea>
      <c:layout/>
      <c:barChart>
        <c:barDir val="col"/>
        <c:grouping val="clustered"/>
        <c:varyColors val="0"/>
        <c:ser>
          <c:idx val="0"/>
          <c:order val="0"/>
          <c:spPr>
            <a:solidFill>
              <a:srgbClr val="365B7C"/>
            </a:solidFill>
            <a:ln w="57150" cmpd="dbl">
              <a:solidFill>
                <a:srgbClr val="365B7C"/>
              </a:solidFill>
            </a:ln>
            <a:effectLst/>
          </c:spPr>
          <c:invertIfNegative val="0"/>
          <c:dLbls>
            <c:dLbl>
              <c:idx val="0"/>
              <c:delete val="1"/>
            </c:dLbl>
            <c:dLbl>
              <c:idx val="1"/>
              <c:delete val="1"/>
            </c:dLbl>
            <c:dLbl>
              <c:idx val="2"/>
              <c:layout/>
              <c:dLblPos val="outEnd"/>
              <c:showLegendKey val="0"/>
              <c:showVal val="1"/>
              <c:showCatName val="0"/>
              <c:showSerName val="1"/>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工作表.xlsx]Sheet1'!$A$1:$C$1</c:f>
              <c:strCache>
                <c:ptCount val="3"/>
                <c:pt idx="0">
                  <c:v>2019年</c:v>
                </c:pt>
                <c:pt idx="1">
                  <c:v>2020年</c:v>
                </c:pt>
                <c:pt idx="2">
                  <c:v>2021年</c:v>
                </c:pt>
              </c:strCache>
            </c:strRef>
          </c:cat>
          <c:val>
            <c:numRef>
              <c:f>'[新建 XLSX 工作表.xlsx]Sheet1'!$A$2:$C$2</c:f>
              <c:numCache>
                <c:formatCode>General</c:formatCode>
                <c:ptCount val="3"/>
                <c:pt idx="0">
                  <c:v>9</c:v>
                </c:pt>
                <c:pt idx="1">
                  <c:v>35</c:v>
                </c:pt>
                <c:pt idx="2">
                  <c:v>33</c:v>
                </c:pt>
              </c:numCache>
            </c:numRef>
          </c:val>
        </c:ser>
        <c:dLbls>
          <c:showLegendKey val="0"/>
          <c:showVal val="1"/>
          <c:showCatName val="0"/>
          <c:showSerName val="0"/>
          <c:showPercent val="0"/>
          <c:showBubbleSize val="0"/>
        </c:dLbls>
        <c:gapWidth val="150"/>
        <c:overlap val="0"/>
        <c:axId val="82324734"/>
        <c:axId val="880720585"/>
      </c:barChart>
      <c:catAx>
        <c:axId val="82324734"/>
        <c:scaling>
          <c:orientation val="minMax"/>
        </c:scaling>
        <c:delete val="0"/>
        <c:axPos val="b"/>
        <c:numFmt formatCode="General" sourceLinked="0"/>
        <c:majorTickMark val="none"/>
        <c:minorTickMark val="none"/>
        <c:tickLblPos val="nextTo"/>
        <c:spPr>
          <a:noFill/>
          <a:ln w="9525" cap="flat" cmpd="sng" algn="ctr">
            <a:solidFill>
              <a:schemeClr val="bg1">
                <a:lumMod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80720585"/>
        <c:crosses val="autoZero"/>
        <c:auto val="1"/>
        <c:lblAlgn val="ctr"/>
        <c:lblOffset val="100"/>
        <c:noMultiLvlLbl val="0"/>
      </c:catAx>
      <c:valAx>
        <c:axId val="88072058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23247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955</Words>
  <Characters>5446</Characters>
  <Lines>45</Lines>
  <Paragraphs>12</Paragraphs>
  <TotalTime>26</TotalTime>
  <ScaleCrop>false</ScaleCrop>
  <LinksUpToDate>false</LinksUpToDate>
  <CharactersWithSpaces>6389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2021-01-19T02:25:00Z</dcterms:created>
  <dc:creator>Darren</dc:creator>
  <cp:lastModifiedBy>兔兔兔</cp:lastModifiedBy>
  <cp:lastPrinted>2022-01-26T09:03:00Z</cp:lastPrinted>
  <dcterms:modified xsi:type="dcterms:W3CDTF">2022-01-29T03:05:15Z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3437B13F7E7043979BDEC33A5C9B55F1</vt:lpwstr>
  </property>
</Properties>
</file>