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5257F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020" w:beforeAutospacing="0" w:after="390" w:afterAutospacing="0"/>
        <w:ind w:left="0" w:right="0" w:firstLine="0"/>
        <w:jc w:val="center"/>
        <w:rPr>
          <w:rFonts w:ascii="微软雅黑" w:hAnsi="微软雅黑" w:eastAsia="微软雅黑" w:cs="微软雅黑"/>
          <w:b/>
          <w:bCs/>
          <w:i w:val="0"/>
          <w:iCs w:val="0"/>
          <w:caps w:val="0"/>
          <w:color w:val="333333"/>
          <w:spacing w:val="0"/>
          <w:sz w:val="42"/>
          <w:szCs w:val="42"/>
        </w:rPr>
      </w:pPr>
      <w:r>
        <w:rPr>
          <w:rFonts w:hint="eastAsia" w:ascii="微软雅黑" w:hAnsi="微软雅黑" w:eastAsia="微软雅黑" w:cs="微软雅黑"/>
          <w:b/>
          <w:bCs/>
          <w:i w:val="0"/>
          <w:iCs w:val="0"/>
          <w:caps w:val="0"/>
          <w:color w:val="333333"/>
          <w:spacing w:val="0"/>
          <w:sz w:val="42"/>
          <w:szCs w:val="42"/>
          <w:bdr w:val="none" w:color="auto" w:sz="0" w:space="0"/>
        </w:rPr>
        <w:t>沂源县张家坡镇人民政府2024年政府信息公开工作年度报告</w:t>
      </w:r>
    </w:p>
    <w:p w14:paraId="6DFD69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ascii="微软雅黑" w:hAnsi="微软雅黑" w:eastAsia="微软雅黑" w:cs="微软雅黑"/>
          <w:i w:val="0"/>
          <w:iCs w:val="0"/>
          <w:caps w:val="0"/>
          <w:color w:val="000000"/>
          <w:spacing w:val="0"/>
          <w:sz w:val="24"/>
          <w:szCs w:val="24"/>
        </w:rPr>
      </w:pPr>
      <w:bookmarkStart w:id="0" w:name="_GoBack"/>
      <w:bookmarkEnd w:id="0"/>
      <w:r>
        <w:rPr>
          <w:rFonts w:hint="eastAsia" w:ascii="微软雅黑" w:hAnsi="微软雅黑" w:eastAsia="微软雅黑" w:cs="微软雅黑"/>
          <w:i w:val="0"/>
          <w:iCs w:val="0"/>
          <w:caps w:val="0"/>
          <w:color w:val="000000"/>
          <w:spacing w:val="0"/>
          <w:sz w:val="24"/>
          <w:szCs w:val="24"/>
          <w:bdr w:val="none" w:color="auto" w:sz="0" w:space="0"/>
        </w:rPr>
        <w:t>本年度报告中所列数据的统计期限自2024年1月1日始，至2024年12月31日止。如对报告内容有疑问，请与张家坡镇人民政府联系。（地址：山东省沂源县张家坡镇政通路1号；邮编：256113；电话：0533-3360039；电子邮箱：zjp3360039@zb.shandong.com</w:t>
      </w:r>
    </w:p>
    <w:p w14:paraId="31CF67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一、总体情况</w:t>
      </w:r>
    </w:p>
    <w:p w14:paraId="008EA6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张家坡镇以“为人民群众提供便利服务、保障人民群众依法获取政府信息”为目标，持续抓好政府信息公开、政策宣传、互动回应等工作，不断丰富公开内容、拓宽公开渠道，推动政务公开工作走深走实，提升人民群众满意度、幸福感。</w:t>
      </w:r>
    </w:p>
    <w:p w14:paraId="429D373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（一）主动公开方面</w:t>
      </w:r>
    </w:p>
    <w:p w14:paraId="5D1CFE2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1、2024年1月1日至2024年12月31日，沂源县张家坡镇人民政府主要通过沂源县人民政府门户网站，以网上公开发布的形式，共制作和主动发布政府信息9条，建议提案办理2条。</w:t>
      </w:r>
    </w:p>
    <w:p w14:paraId="5DCC9F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2、2024年，沂源县张家坡镇人民政府制定发布规范性文件0件，清理规范性文件数0件，现行有效的规范性文件0件。</w:t>
      </w:r>
    </w:p>
    <w:p w14:paraId="3EAADE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（二）依申请公开工作方面</w:t>
      </w:r>
    </w:p>
    <w:p w14:paraId="78754B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2024年，张家坡镇未收到信息公开申请，数量与去年持平。</w:t>
      </w:r>
    </w:p>
    <w:p w14:paraId="38CD497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（三）政府信息管理方面</w:t>
      </w:r>
    </w:p>
    <w:p w14:paraId="741F157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坚持政策文件“先审后发”，做好政策文件发布前审核工作，遵循“谁发布，谁审核”制度，做好政府信息公开网站的日常运维管理工作。二是按照《沂源县人民政府办公室关于进一步规范和加强政策解读工作的通知》做好政策解读工作。</w:t>
      </w:r>
    </w:p>
    <w:p w14:paraId="7E4B6F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（四）平台建设方面</w:t>
      </w:r>
    </w:p>
    <w:p w14:paraId="478A6C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充分发挥“线上+线下”公开平台的作用，“线上”以县政府门户网站为主要阵地，“线下”微信公众号等政务新媒体等为主要渠道，不断提高政府信息公开工作实效，2024年以来，微信公众号“活力张家坡”共发布各类信息200余篇，各类文章累计阅读4.2万余次。</w:t>
      </w:r>
    </w:p>
    <w:p w14:paraId="7C8E11D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（五）监督保障方面</w:t>
      </w:r>
    </w:p>
    <w:p w14:paraId="7204473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加强组织领导。充分发挥政务公开领导小组作用，安排1名专职人员负责信息公开发布工作。明确了主要领导统筹抓，分管领导具体抓，业务骨干抓落实的工作基调。二是研究制定了2024年政务公开培训计划，全年召开专题培训4次。积极选派相关业务人员参加县级组织的政府信息公开业务培训专题会议，提升业务公开质量和水平。</w:t>
      </w:r>
    </w:p>
    <w:p w14:paraId="347987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二、主动公开政府信息情况</w:t>
      </w:r>
    </w:p>
    <w:tbl>
      <w:tblPr>
        <w:tblW w:w="92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803"/>
        <w:gridCol w:w="2058"/>
        <w:gridCol w:w="2110"/>
        <w:gridCol w:w="2229"/>
      </w:tblGrid>
      <w:tr w14:paraId="50757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9200" w:type="dxa"/>
            <w:gridSpan w:val="4"/>
            <w:tcBorders>
              <w:top w:val="single" w:color="000000" w:sz="8" w:space="0"/>
              <w:left w:val="single" w:color="000000" w:sz="8" w:space="0"/>
              <w:bottom w:val="single" w:color="000000" w:sz="8" w:space="0"/>
              <w:right w:val="single" w:color="000000" w:sz="8" w:space="0"/>
            </w:tcBorders>
            <w:shd w:val="clear" w:color="auto" w:fill="FFFFFF"/>
            <w:vAlign w:val="center"/>
          </w:tcPr>
          <w:p w14:paraId="5D09685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ascii="黑体" w:hAnsi="宋体" w:eastAsia="黑体" w:cs="黑体"/>
                <w:b/>
                <w:bCs/>
                <w:caps w:val="0"/>
                <w:spacing w:val="0"/>
                <w:sz w:val="21"/>
                <w:szCs w:val="21"/>
                <w:bdr w:val="none" w:color="auto" w:sz="0" w:space="0"/>
              </w:rPr>
              <w:t>第二十条第（一）项</w:t>
            </w:r>
          </w:p>
        </w:tc>
      </w:tr>
      <w:tr w14:paraId="129DE1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66FCAB2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信息内容</w:t>
            </w:r>
          </w:p>
        </w:tc>
        <w:tc>
          <w:tcPr>
            <w:tcW w:w="2058" w:type="dxa"/>
            <w:tcBorders>
              <w:top w:val="single" w:color="000000" w:sz="8" w:space="0"/>
              <w:left w:val="nil"/>
              <w:bottom w:val="single" w:color="000000" w:sz="8" w:space="0"/>
              <w:right w:val="single" w:color="000000" w:sz="8" w:space="0"/>
            </w:tcBorders>
            <w:shd w:val="clear" w:color="auto" w:fill="FFFFFF"/>
            <w:vAlign w:val="center"/>
          </w:tcPr>
          <w:p w14:paraId="740827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本年制发件数</w:t>
            </w:r>
          </w:p>
        </w:tc>
        <w:tc>
          <w:tcPr>
            <w:tcW w:w="2110" w:type="dxa"/>
            <w:tcBorders>
              <w:top w:val="single" w:color="000000" w:sz="8" w:space="0"/>
              <w:left w:val="nil"/>
              <w:bottom w:val="single" w:color="000000" w:sz="8" w:space="0"/>
              <w:right w:val="single" w:color="000000" w:sz="8" w:space="0"/>
            </w:tcBorders>
            <w:shd w:val="clear" w:color="auto" w:fill="FFFFFF"/>
            <w:vAlign w:val="center"/>
          </w:tcPr>
          <w:p w14:paraId="4A788F3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本年废止件数</w:t>
            </w:r>
          </w:p>
        </w:tc>
        <w:tc>
          <w:tcPr>
            <w:tcW w:w="2229" w:type="dxa"/>
            <w:tcBorders>
              <w:top w:val="single" w:color="000000" w:sz="8" w:space="0"/>
              <w:left w:val="nil"/>
              <w:bottom w:val="single" w:color="000000" w:sz="8" w:space="0"/>
              <w:right w:val="single" w:color="000000" w:sz="8" w:space="0"/>
            </w:tcBorders>
            <w:shd w:val="clear" w:color="auto" w:fill="FFFFFF"/>
            <w:vAlign w:val="center"/>
          </w:tcPr>
          <w:p w14:paraId="46C54D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现行有效件数</w:t>
            </w:r>
          </w:p>
        </w:tc>
      </w:tr>
      <w:tr w14:paraId="1E1F9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39A419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规章</w:t>
            </w:r>
          </w:p>
        </w:tc>
        <w:tc>
          <w:tcPr>
            <w:tcW w:w="2058" w:type="dxa"/>
            <w:tcBorders>
              <w:top w:val="nil"/>
              <w:left w:val="nil"/>
              <w:bottom w:val="single" w:color="000000" w:sz="8" w:space="0"/>
              <w:right w:val="single" w:color="000000" w:sz="8" w:space="0"/>
            </w:tcBorders>
            <w:shd w:val="clear" w:color="auto" w:fill="FFFFFF"/>
            <w:vAlign w:val="center"/>
          </w:tcPr>
          <w:p w14:paraId="48995F4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c>
          <w:tcPr>
            <w:tcW w:w="2110" w:type="dxa"/>
            <w:tcBorders>
              <w:top w:val="nil"/>
              <w:left w:val="nil"/>
              <w:bottom w:val="single" w:color="000000" w:sz="8" w:space="0"/>
              <w:right w:val="single" w:color="000000" w:sz="8" w:space="0"/>
            </w:tcBorders>
            <w:shd w:val="clear" w:color="auto" w:fill="FFFFFF"/>
            <w:vAlign w:val="center"/>
          </w:tcPr>
          <w:p w14:paraId="3AB412D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c>
          <w:tcPr>
            <w:tcW w:w="2229" w:type="dxa"/>
            <w:tcBorders>
              <w:top w:val="nil"/>
              <w:left w:val="nil"/>
              <w:bottom w:val="single" w:color="000000" w:sz="8" w:space="0"/>
              <w:right w:val="single" w:color="000000" w:sz="8" w:space="0"/>
            </w:tcBorders>
            <w:shd w:val="clear" w:color="auto" w:fill="FFFFFF"/>
            <w:vAlign w:val="center"/>
          </w:tcPr>
          <w:p w14:paraId="0BFF1D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r w14:paraId="2C077F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7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262488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行政规范性文件</w:t>
            </w:r>
          </w:p>
        </w:tc>
        <w:tc>
          <w:tcPr>
            <w:tcW w:w="2058" w:type="dxa"/>
            <w:tcBorders>
              <w:top w:val="nil"/>
              <w:left w:val="nil"/>
              <w:bottom w:val="single" w:color="000000" w:sz="8" w:space="0"/>
              <w:right w:val="single" w:color="000000" w:sz="8" w:space="0"/>
            </w:tcBorders>
            <w:shd w:val="clear" w:color="auto" w:fill="FFFFFF"/>
            <w:vAlign w:val="center"/>
          </w:tcPr>
          <w:p w14:paraId="4F8E18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c>
          <w:tcPr>
            <w:tcW w:w="2110" w:type="dxa"/>
            <w:tcBorders>
              <w:top w:val="nil"/>
              <w:left w:val="nil"/>
              <w:bottom w:val="single" w:color="000000" w:sz="8" w:space="0"/>
              <w:right w:val="single" w:color="000000" w:sz="8" w:space="0"/>
            </w:tcBorders>
            <w:shd w:val="clear" w:color="auto" w:fill="FFFFFF"/>
            <w:vAlign w:val="center"/>
          </w:tcPr>
          <w:p w14:paraId="0188193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c>
          <w:tcPr>
            <w:tcW w:w="2229" w:type="dxa"/>
            <w:tcBorders>
              <w:top w:val="nil"/>
              <w:left w:val="nil"/>
              <w:bottom w:val="single" w:color="000000" w:sz="8" w:space="0"/>
              <w:right w:val="single" w:color="000000" w:sz="8" w:space="0"/>
            </w:tcBorders>
            <w:shd w:val="clear" w:color="auto" w:fill="FFFFFF"/>
            <w:vAlign w:val="center"/>
          </w:tcPr>
          <w:p w14:paraId="704DE7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r w14:paraId="120CF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1AD8AE8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黑体" w:hAnsi="宋体" w:eastAsia="黑体" w:cs="黑体"/>
                <w:b/>
                <w:bCs/>
                <w:caps w:val="0"/>
                <w:spacing w:val="0"/>
                <w:sz w:val="21"/>
                <w:szCs w:val="21"/>
                <w:bdr w:val="none" w:color="auto" w:sz="0" w:space="0"/>
              </w:rPr>
              <w:t>第二十条第（五）项</w:t>
            </w:r>
          </w:p>
        </w:tc>
      </w:tr>
      <w:tr w14:paraId="518BAF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3A40BF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4E0A13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本年处理决定数量</w:t>
            </w:r>
          </w:p>
        </w:tc>
      </w:tr>
      <w:tr w14:paraId="0B763D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37827D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行政许可</w:t>
            </w:r>
          </w:p>
        </w:tc>
        <w:tc>
          <w:tcPr>
            <w:tcW w:w="6397" w:type="dxa"/>
            <w:gridSpan w:val="3"/>
            <w:tcBorders>
              <w:top w:val="nil"/>
              <w:left w:val="nil"/>
              <w:bottom w:val="single" w:color="000000" w:sz="8" w:space="0"/>
              <w:right w:val="single" w:color="000000" w:sz="8" w:space="0"/>
            </w:tcBorders>
            <w:shd w:val="clear" w:color="auto" w:fill="FFFFFF"/>
            <w:vAlign w:val="center"/>
          </w:tcPr>
          <w:p w14:paraId="6291B2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r w14:paraId="021B1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1E08AC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黑体" w:hAnsi="宋体" w:eastAsia="黑体" w:cs="黑体"/>
                <w:b/>
                <w:bCs/>
                <w:caps w:val="0"/>
                <w:spacing w:val="0"/>
                <w:sz w:val="21"/>
                <w:szCs w:val="21"/>
                <w:bdr w:val="none" w:color="auto" w:sz="0" w:space="0"/>
              </w:rPr>
              <w:t>第二十条第（六）项</w:t>
            </w:r>
          </w:p>
        </w:tc>
      </w:tr>
      <w:tr w14:paraId="4E33CA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5C1AD4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3920580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本年处理决定数量</w:t>
            </w:r>
          </w:p>
        </w:tc>
      </w:tr>
      <w:tr w14:paraId="3FD44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1C34E64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行政处罚</w:t>
            </w:r>
          </w:p>
        </w:tc>
        <w:tc>
          <w:tcPr>
            <w:tcW w:w="6397" w:type="dxa"/>
            <w:gridSpan w:val="3"/>
            <w:tcBorders>
              <w:top w:val="nil"/>
              <w:left w:val="nil"/>
              <w:bottom w:val="single" w:color="000000" w:sz="8" w:space="0"/>
              <w:right w:val="single" w:color="000000" w:sz="8" w:space="0"/>
            </w:tcBorders>
            <w:shd w:val="clear" w:color="auto" w:fill="FFFFFF"/>
            <w:vAlign w:val="center"/>
          </w:tcPr>
          <w:p w14:paraId="49CE1E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r w14:paraId="135BD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1BC8D19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行政强制</w:t>
            </w:r>
          </w:p>
        </w:tc>
        <w:tc>
          <w:tcPr>
            <w:tcW w:w="6397" w:type="dxa"/>
            <w:gridSpan w:val="3"/>
            <w:tcBorders>
              <w:top w:val="nil"/>
              <w:left w:val="nil"/>
              <w:bottom w:val="single" w:color="000000" w:sz="8" w:space="0"/>
              <w:right w:val="single" w:color="000000" w:sz="8" w:space="0"/>
            </w:tcBorders>
            <w:shd w:val="clear" w:color="auto" w:fill="FFFFFF"/>
            <w:vAlign w:val="center"/>
          </w:tcPr>
          <w:p w14:paraId="524C4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r w14:paraId="409E9D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2" w:hRule="atLeast"/>
          <w:jc w:val="center"/>
        </w:trPr>
        <w:tc>
          <w:tcPr>
            <w:tcW w:w="9200" w:type="dxa"/>
            <w:gridSpan w:val="4"/>
            <w:tcBorders>
              <w:top w:val="nil"/>
              <w:left w:val="single" w:color="000000" w:sz="8" w:space="0"/>
              <w:bottom w:val="single" w:color="000000" w:sz="8" w:space="0"/>
              <w:right w:val="single" w:color="000000" w:sz="8" w:space="0"/>
            </w:tcBorders>
            <w:shd w:val="clear" w:color="auto" w:fill="FFFFFF"/>
            <w:vAlign w:val="center"/>
          </w:tcPr>
          <w:p w14:paraId="624DCF3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黑体" w:hAnsi="宋体" w:eastAsia="黑体" w:cs="黑体"/>
                <w:b/>
                <w:bCs/>
                <w:caps w:val="0"/>
                <w:spacing w:val="0"/>
                <w:sz w:val="21"/>
                <w:szCs w:val="21"/>
                <w:bdr w:val="none" w:color="auto" w:sz="0" w:space="0"/>
              </w:rPr>
              <w:t>第二十条第（八）项</w:t>
            </w:r>
          </w:p>
        </w:tc>
      </w:tr>
      <w:tr w14:paraId="049F4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41"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62BD79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信息内容</w:t>
            </w:r>
          </w:p>
        </w:tc>
        <w:tc>
          <w:tcPr>
            <w:tcW w:w="6397" w:type="dxa"/>
            <w:gridSpan w:val="3"/>
            <w:tcBorders>
              <w:top w:val="single" w:color="000000" w:sz="8" w:space="0"/>
              <w:left w:val="nil"/>
              <w:bottom w:val="single" w:color="000000" w:sz="8" w:space="0"/>
              <w:right w:val="single" w:color="000000" w:sz="8" w:space="0"/>
            </w:tcBorders>
            <w:shd w:val="clear" w:color="auto" w:fill="FFFFFF"/>
            <w:vAlign w:val="center"/>
          </w:tcPr>
          <w:p w14:paraId="647520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center"/>
              <w:rPr>
                <w:sz w:val="24"/>
                <w:szCs w:val="24"/>
              </w:rPr>
            </w:pPr>
            <w:r>
              <w:rPr>
                <w:rStyle w:val="7"/>
                <w:rFonts w:hint="eastAsia" w:ascii="宋体" w:hAnsi="宋体" w:eastAsia="宋体" w:cs="宋体"/>
                <w:b/>
                <w:bCs/>
                <w:caps w:val="0"/>
                <w:spacing w:val="0"/>
                <w:sz w:val="21"/>
                <w:szCs w:val="21"/>
                <w:bdr w:val="none" w:color="auto" w:sz="0" w:space="0"/>
              </w:rPr>
              <w:t>本年收费金额（单位：万元）</w:t>
            </w:r>
          </w:p>
        </w:tc>
      </w:tr>
      <w:tr w14:paraId="1E8B9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63" w:hRule="atLeast"/>
          <w:jc w:val="center"/>
        </w:trPr>
        <w:tc>
          <w:tcPr>
            <w:tcW w:w="2803" w:type="dxa"/>
            <w:tcBorders>
              <w:top w:val="nil"/>
              <w:left w:val="single" w:color="000000" w:sz="8" w:space="0"/>
              <w:bottom w:val="single" w:color="000000" w:sz="8" w:space="0"/>
              <w:right w:val="single" w:color="000000" w:sz="8" w:space="0"/>
            </w:tcBorders>
            <w:shd w:val="clear" w:color="auto" w:fill="FFFFFF"/>
            <w:vAlign w:val="center"/>
          </w:tcPr>
          <w:p w14:paraId="3C36EA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jc w:val="left"/>
              <w:rPr>
                <w:sz w:val="24"/>
                <w:szCs w:val="24"/>
              </w:rPr>
            </w:pPr>
            <w:r>
              <w:rPr>
                <w:rStyle w:val="7"/>
                <w:rFonts w:hint="eastAsia" w:ascii="宋体" w:hAnsi="宋体" w:eastAsia="宋体" w:cs="宋体"/>
                <w:b/>
                <w:bCs/>
                <w:caps w:val="0"/>
                <w:spacing w:val="0"/>
                <w:sz w:val="21"/>
                <w:szCs w:val="21"/>
                <w:bdr w:val="none" w:color="auto" w:sz="0" w:space="0"/>
              </w:rPr>
              <w:t>行政事业性收费</w:t>
            </w:r>
          </w:p>
        </w:tc>
        <w:tc>
          <w:tcPr>
            <w:tcW w:w="6397" w:type="dxa"/>
            <w:gridSpan w:val="3"/>
            <w:tcBorders>
              <w:top w:val="nil"/>
              <w:left w:val="nil"/>
              <w:bottom w:val="single" w:color="000000" w:sz="8" w:space="0"/>
              <w:right w:val="single" w:color="000000" w:sz="8" w:space="0"/>
            </w:tcBorders>
            <w:shd w:val="clear" w:color="auto" w:fill="FFFFFF"/>
            <w:vAlign w:val="center"/>
          </w:tcPr>
          <w:p w14:paraId="4C5E48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422"/>
              <w:rPr>
                <w:sz w:val="24"/>
                <w:szCs w:val="24"/>
              </w:rPr>
            </w:pPr>
            <w:r>
              <w:rPr>
                <w:rStyle w:val="7"/>
                <w:rFonts w:hint="default" w:ascii="Times New Roman" w:hAnsi="Times New Roman" w:cs="Times New Roman"/>
                <w:b/>
                <w:bCs/>
                <w:caps w:val="0"/>
                <w:spacing w:val="0"/>
                <w:sz w:val="21"/>
                <w:szCs w:val="21"/>
                <w:bdr w:val="none" w:color="auto" w:sz="0" w:space="0"/>
              </w:rPr>
              <w:t>0</w:t>
            </w:r>
          </w:p>
        </w:tc>
      </w:tr>
    </w:tbl>
    <w:p w14:paraId="416E26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三、收到和处理政府信息公开申请情况</w:t>
      </w:r>
    </w:p>
    <w:p w14:paraId="2B1E1D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自2024年1月1日起至2024年12月31日止，我镇未收到政府信息公开申请。</w:t>
      </w:r>
    </w:p>
    <w:tbl>
      <w:tblPr>
        <w:tblW w:w="941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936"/>
        <w:gridCol w:w="1348"/>
        <w:gridCol w:w="2113"/>
        <w:gridCol w:w="808"/>
        <w:gridCol w:w="695"/>
        <w:gridCol w:w="676"/>
        <w:gridCol w:w="700"/>
        <w:gridCol w:w="666"/>
        <w:gridCol w:w="728"/>
        <w:gridCol w:w="749"/>
      </w:tblGrid>
      <w:tr w14:paraId="5DF9134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45" w:hRule="atLeast"/>
          <w:jc w:val="center"/>
        </w:trPr>
        <w:tc>
          <w:tcPr>
            <w:tcW w:w="4328" w:type="dxa"/>
            <w:gridSpan w:val="3"/>
            <w:vMerge w:val="restart"/>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9C831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w:t>
            </w:r>
            <w:r>
              <w:rPr>
                <w:rFonts w:ascii="楷体" w:hAnsi="楷体" w:eastAsia="楷体" w:cs="楷体"/>
                <w:sz w:val="21"/>
                <w:szCs w:val="21"/>
                <w:bdr w:val="none" w:color="auto" w:sz="0" w:space="0"/>
              </w:rPr>
              <w:t>本列数据的勾稽关系为：第一项加第二项之和，等于第三项加第四项之和</w:t>
            </w:r>
            <w:r>
              <w:rPr>
                <w:rFonts w:hint="eastAsia" w:ascii="宋体" w:hAnsi="宋体" w:eastAsia="宋体" w:cs="宋体"/>
                <w:sz w:val="18"/>
                <w:szCs w:val="18"/>
                <w:bdr w:val="none" w:color="auto" w:sz="0" w:space="0"/>
              </w:rPr>
              <w:t>）</w:t>
            </w:r>
          </w:p>
        </w:tc>
        <w:tc>
          <w:tcPr>
            <w:tcW w:w="5091" w:type="dxa"/>
            <w:gridSpan w:val="7"/>
            <w:tcBorders>
              <w:top w:val="single" w:color="auto" w:sz="8" w:space="0"/>
              <w:left w:val="nil"/>
              <w:bottom w:val="single" w:color="auto" w:sz="8" w:space="0"/>
              <w:right w:val="single" w:color="auto" w:sz="8" w:space="0"/>
            </w:tcBorders>
            <w:shd w:val="clear"/>
            <w:tcMar>
              <w:left w:w="108" w:type="dxa"/>
              <w:right w:w="108" w:type="dxa"/>
            </w:tcMar>
            <w:vAlign w:val="center"/>
          </w:tcPr>
          <w:p w14:paraId="23EBC3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申请人情况</w:t>
            </w:r>
          </w:p>
        </w:tc>
      </w:tr>
      <w:tr w14:paraId="580827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35" w:hRule="atLeast"/>
          <w:jc w:val="center"/>
        </w:trPr>
        <w:tc>
          <w:tcPr>
            <w:tcW w:w="4328"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5197DC7A">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tcMar>
              <w:left w:w="108" w:type="dxa"/>
              <w:right w:w="108" w:type="dxa"/>
            </w:tcMar>
            <w:vAlign w:val="center"/>
          </w:tcPr>
          <w:p w14:paraId="1B7E5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自然人</w:t>
            </w:r>
          </w:p>
        </w:tc>
        <w:tc>
          <w:tcPr>
            <w:tcW w:w="3489"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19D04FA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法人或其他组织</w:t>
            </w:r>
          </w:p>
        </w:tc>
        <w:tc>
          <w:tcPr>
            <w:tcW w:w="777"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3366A9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总计</w:t>
            </w:r>
          </w:p>
        </w:tc>
      </w:tr>
      <w:tr w14:paraId="611C17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710" w:hRule="atLeast"/>
          <w:jc w:val="center"/>
        </w:trPr>
        <w:tc>
          <w:tcPr>
            <w:tcW w:w="4328" w:type="dxa"/>
            <w:gridSpan w:val="3"/>
            <w:vMerge w:val="continue"/>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3795856B">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tcMar>
              <w:left w:w="108" w:type="dxa"/>
              <w:right w:w="108" w:type="dxa"/>
            </w:tcMar>
            <w:vAlign w:val="center"/>
          </w:tcPr>
          <w:p w14:paraId="0607E259">
            <w:pPr>
              <w:rPr>
                <w:rFonts w:hint="eastAsia" w:ascii="宋体"/>
                <w:sz w:val="24"/>
                <w:szCs w:val="24"/>
              </w:rPr>
            </w:pP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32C216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商业企业</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646858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科研机构</w:t>
            </w:r>
          </w:p>
        </w:tc>
        <w:tc>
          <w:tcPr>
            <w:tcW w:w="711"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08996A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社会公益组织</w:t>
            </w:r>
          </w:p>
        </w:tc>
        <w:tc>
          <w:tcPr>
            <w:tcW w:w="64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8FDA6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法律服务机构</w:t>
            </w:r>
          </w:p>
        </w:tc>
        <w:tc>
          <w:tcPr>
            <w:tcW w:w="74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0B3A8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jc w:val="both"/>
              <w:rPr>
                <w:sz w:val="24"/>
                <w:szCs w:val="24"/>
              </w:rPr>
            </w:pPr>
            <w:r>
              <w:rPr>
                <w:rFonts w:hint="eastAsia" w:ascii="宋体" w:hAnsi="宋体" w:eastAsia="宋体" w:cs="宋体"/>
                <w:sz w:val="18"/>
                <w:szCs w:val="18"/>
                <w:bdr w:val="none" w:color="auto" w:sz="0" w:space="0"/>
              </w:rPr>
              <w:t>其他</w:t>
            </w:r>
          </w:p>
        </w:tc>
        <w:tc>
          <w:tcPr>
            <w:tcW w:w="777"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19A4BE5">
            <w:pPr>
              <w:rPr>
                <w:rFonts w:hint="eastAsia" w:ascii="宋体"/>
                <w:sz w:val="24"/>
                <w:szCs w:val="24"/>
              </w:rPr>
            </w:pPr>
          </w:p>
        </w:tc>
      </w:tr>
      <w:tr w14:paraId="275E6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50" w:hRule="atLeast"/>
          <w:jc w:val="center"/>
        </w:trPr>
        <w:tc>
          <w:tcPr>
            <w:tcW w:w="4328"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14:paraId="30116F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宋体" w:hAnsi="宋体" w:eastAsia="宋体" w:cs="宋体"/>
                <w:sz w:val="18"/>
                <w:szCs w:val="18"/>
                <w:bdr w:val="none" w:color="auto" w:sz="0" w:space="0"/>
              </w:rPr>
              <w:t>一、本年新收政府信息公开申请数量</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B751D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443687D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0EED05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42A406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733C7C5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3B3016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108F5D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380A17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0" w:hRule="atLeast"/>
          <w:jc w:val="center"/>
        </w:trPr>
        <w:tc>
          <w:tcPr>
            <w:tcW w:w="4328" w:type="dxa"/>
            <w:gridSpan w:val="3"/>
            <w:tcBorders>
              <w:top w:val="nil"/>
              <w:left w:val="single" w:color="auto" w:sz="8" w:space="0"/>
              <w:bottom w:val="single" w:color="auto" w:sz="8" w:space="0"/>
              <w:right w:val="single" w:color="auto" w:sz="8" w:space="0"/>
            </w:tcBorders>
            <w:shd w:val="clear"/>
            <w:tcMar>
              <w:left w:w="108" w:type="dxa"/>
              <w:right w:w="108" w:type="dxa"/>
            </w:tcMar>
            <w:vAlign w:val="top"/>
          </w:tcPr>
          <w:p w14:paraId="7AD9B5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宋体" w:hAnsi="宋体" w:eastAsia="宋体" w:cs="宋体"/>
                <w:sz w:val="18"/>
                <w:szCs w:val="18"/>
                <w:bdr w:val="none" w:color="auto" w:sz="0" w:space="0"/>
              </w:rPr>
              <w:t>二、上年结转政府信息公开申请数量</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73C21C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7EEDB38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61FE8F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43BCB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47139D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26101DF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78D490D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2DEB4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12" w:hRule="atLeast"/>
          <w:jc w:val="center"/>
        </w:trPr>
        <w:tc>
          <w:tcPr>
            <w:tcW w:w="323"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0D1015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三、本年度办理结果</w:t>
            </w:r>
          </w:p>
        </w:tc>
        <w:tc>
          <w:tcPr>
            <w:tcW w:w="4005" w:type="dxa"/>
            <w:gridSpan w:val="2"/>
            <w:tcBorders>
              <w:top w:val="nil"/>
              <w:left w:val="nil"/>
              <w:bottom w:val="single" w:color="auto" w:sz="8" w:space="0"/>
              <w:right w:val="single" w:color="auto" w:sz="8" w:space="0"/>
            </w:tcBorders>
            <w:shd w:val="clear"/>
            <w:tcMar>
              <w:left w:w="108" w:type="dxa"/>
              <w:right w:w="108" w:type="dxa"/>
            </w:tcMar>
            <w:vAlign w:val="top"/>
          </w:tcPr>
          <w:p w14:paraId="7F8803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宋体" w:hAnsi="宋体" w:eastAsia="宋体" w:cs="宋体"/>
                <w:sz w:val="18"/>
                <w:szCs w:val="18"/>
                <w:bdr w:val="none" w:color="auto" w:sz="0" w:space="0"/>
              </w:rPr>
              <w:t>（一）予以公开</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576E5B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1DD33E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65E1B20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2CDC3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1B5BE8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7D83537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2EA31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40D63D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B1908C2">
            <w:pPr>
              <w:rPr>
                <w:rFonts w:hint="eastAsia" w:ascii="宋体"/>
                <w:sz w:val="24"/>
                <w:szCs w:val="24"/>
              </w:rPr>
            </w:pPr>
          </w:p>
        </w:tc>
        <w:tc>
          <w:tcPr>
            <w:tcW w:w="4005" w:type="dxa"/>
            <w:gridSpan w:val="2"/>
            <w:tcBorders>
              <w:top w:val="nil"/>
              <w:left w:val="nil"/>
              <w:bottom w:val="single" w:color="auto" w:sz="8" w:space="0"/>
              <w:right w:val="single" w:color="auto" w:sz="8" w:space="0"/>
            </w:tcBorders>
            <w:shd w:val="clear"/>
            <w:tcMar>
              <w:left w:w="108" w:type="dxa"/>
              <w:right w:w="108" w:type="dxa"/>
            </w:tcMar>
            <w:vAlign w:val="top"/>
          </w:tcPr>
          <w:p w14:paraId="3FA588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宋体" w:hAnsi="宋体" w:eastAsia="宋体" w:cs="宋体"/>
                <w:sz w:val="18"/>
                <w:szCs w:val="18"/>
                <w:bdr w:val="none" w:color="auto" w:sz="0" w:space="0"/>
              </w:rPr>
              <w:t>（二）部分公开（</w:t>
            </w:r>
            <w:r>
              <w:rPr>
                <w:rStyle w:val="7"/>
                <w:rFonts w:hint="eastAsia" w:ascii="楷体" w:hAnsi="楷体" w:eastAsia="楷体" w:cs="楷体"/>
                <w:b/>
                <w:bCs/>
                <w:sz w:val="21"/>
                <w:szCs w:val="21"/>
                <w:bdr w:val="none" w:color="auto" w:sz="0" w:space="0"/>
              </w:rPr>
              <w:t>区分处理的，只记这一情形，不计其他情形</w:t>
            </w:r>
            <w:r>
              <w:rPr>
                <w:rFonts w:hint="eastAsia" w:ascii="宋体" w:hAnsi="宋体" w:eastAsia="宋体" w:cs="宋体"/>
                <w:sz w:val="18"/>
                <w:szCs w:val="18"/>
                <w:bdr w:val="none" w:color="auto" w:sz="0" w:space="0"/>
              </w:rPr>
              <w:t>）</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3B67CC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549121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4AED45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BA822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213B01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376142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5CC93A7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259F5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E69D864">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tcMar>
              <w:left w:w="108" w:type="dxa"/>
              <w:right w:w="108" w:type="dxa"/>
            </w:tcMar>
            <w:vAlign w:val="center"/>
          </w:tcPr>
          <w:p w14:paraId="271B0D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（三）</w:t>
            </w:r>
          </w:p>
          <w:p w14:paraId="52CC259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不予公开</w:t>
            </w: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010344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属于国家机密</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472991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7FFD5E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3918BA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A29EF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0AFB72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32FAEF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C99166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8BAE7C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375BB1B9">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67D32F03">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2BBFB9F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2.</w:t>
            </w:r>
            <w:r>
              <w:rPr>
                <w:rFonts w:hint="eastAsia" w:ascii="宋体" w:hAnsi="宋体" w:eastAsia="宋体" w:cs="宋体"/>
                <w:sz w:val="18"/>
                <w:szCs w:val="18"/>
                <w:bdr w:val="none" w:color="auto" w:sz="0" w:space="0"/>
              </w:rPr>
              <w:t>其他法律行政法规禁止公开</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584F99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003AFEF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398D5F1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94E25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24DAA06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7AAF4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4EF9765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290683D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BD7CA40">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5E73433E">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435479D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3.</w:t>
            </w:r>
            <w:r>
              <w:rPr>
                <w:rFonts w:hint="eastAsia" w:ascii="宋体" w:hAnsi="宋体" w:eastAsia="宋体" w:cs="宋体"/>
                <w:sz w:val="18"/>
                <w:szCs w:val="18"/>
                <w:bdr w:val="none" w:color="auto" w:sz="0" w:space="0"/>
              </w:rPr>
              <w:t>危及</w:t>
            </w:r>
            <w:r>
              <w:rPr>
                <w:rFonts w:hint="default" w:ascii="Times New Roman" w:hAnsi="Times New Roman" w:cs="Times New Roman"/>
                <w:sz w:val="18"/>
                <w:szCs w:val="18"/>
                <w:bdr w:val="none" w:color="auto" w:sz="0" w:space="0"/>
              </w:rPr>
              <w:t>“</w:t>
            </w:r>
            <w:r>
              <w:rPr>
                <w:rFonts w:hint="eastAsia" w:ascii="宋体" w:hAnsi="宋体" w:eastAsia="宋体" w:cs="宋体"/>
                <w:sz w:val="18"/>
                <w:szCs w:val="18"/>
                <w:bdr w:val="none" w:color="auto" w:sz="0" w:space="0"/>
              </w:rPr>
              <w:t>三安全一稳定</w:t>
            </w:r>
            <w:r>
              <w:rPr>
                <w:rFonts w:hint="default" w:ascii="Times New Roman" w:hAnsi="Times New Roman" w:cs="Times New Roman"/>
                <w:sz w:val="18"/>
                <w:szCs w:val="18"/>
                <w:bdr w:val="none" w:color="auto" w:sz="0" w:space="0"/>
              </w:rPr>
              <w:t>”</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24E1B9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5CC654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6CB8C9F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13FF6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45981E6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5AA2304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347520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60C654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1752A98">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2B40A690">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76F26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4.</w:t>
            </w:r>
            <w:r>
              <w:rPr>
                <w:rFonts w:hint="eastAsia" w:ascii="宋体" w:hAnsi="宋体" w:eastAsia="宋体" w:cs="宋体"/>
                <w:sz w:val="18"/>
                <w:szCs w:val="18"/>
                <w:bdr w:val="none" w:color="auto" w:sz="0" w:space="0"/>
              </w:rPr>
              <w:t>保护第三方合法权益</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36002A7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1076F2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00C02F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482BB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35FC856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647702E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518847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21D8F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36C8163">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05B75588">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52AD85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5.</w:t>
            </w:r>
            <w:r>
              <w:rPr>
                <w:rFonts w:hint="eastAsia" w:ascii="宋体" w:hAnsi="宋体" w:eastAsia="宋体" w:cs="宋体"/>
                <w:sz w:val="18"/>
                <w:szCs w:val="18"/>
                <w:bdr w:val="none" w:color="auto" w:sz="0" w:space="0"/>
              </w:rPr>
              <w:t>属于三类内部事务信息</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1975C0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70AD779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3669EC8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22B32F0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64B9563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81E19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7AEE00C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0FA7A81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80E4D91">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4ED4F522">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69B37B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6.</w:t>
            </w:r>
            <w:r>
              <w:rPr>
                <w:rFonts w:hint="eastAsia" w:ascii="宋体" w:hAnsi="宋体" w:eastAsia="宋体" w:cs="宋体"/>
                <w:sz w:val="18"/>
                <w:szCs w:val="18"/>
                <w:bdr w:val="none" w:color="auto" w:sz="0" w:space="0"/>
              </w:rPr>
              <w:t>属于四类过程性信息</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42E48B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49D061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74009F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2B3F39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692219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1C40EC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348F37C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8849C6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8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BE39E4C">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279FB1DB">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106B6B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7.</w:t>
            </w:r>
            <w:r>
              <w:rPr>
                <w:rFonts w:hint="eastAsia" w:ascii="宋体" w:hAnsi="宋体" w:eastAsia="宋体" w:cs="宋体"/>
                <w:sz w:val="18"/>
                <w:szCs w:val="18"/>
                <w:bdr w:val="none" w:color="auto" w:sz="0" w:space="0"/>
              </w:rPr>
              <w:t>属于行政执法案卷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2AF175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03C6C27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0964F33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0D3AEFF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053DE1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5A439F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505171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00E1F42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2"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B8155BA">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66B5FED6">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2C6B3F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8.</w:t>
            </w:r>
            <w:r>
              <w:rPr>
                <w:rFonts w:hint="eastAsia" w:ascii="宋体" w:hAnsi="宋体" w:eastAsia="宋体" w:cs="宋体"/>
                <w:sz w:val="18"/>
                <w:szCs w:val="18"/>
                <w:bdr w:val="none" w:color="auto" w:sz="0" w:space="0"/>
              </w:rPr>
              <w:t>属于行政查询事项</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641A8AF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055CD2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7258A85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4FADCA2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426EB27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58FFF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7CDB7E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3073D26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4B39BAE">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tcMar>
              <w:left w:w="108" w:type="dxa"/>
              <w:right w:w="108" w:type="dxa"/>
            </w:tcMar>
            <w:vAlign w:val="center"/>
          </w:tcPr>
          <w:p w14:paraId="3CAE733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（四）无法提供</w:t>
            </w: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65D3FD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本机关不掌握相关政府信息</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CF9E3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2F0F5B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5FA601A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DB2C5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7D23FA6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F4B0C4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4727C48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63166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D1B896F">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4EE5D2B7">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67B549F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2.</w:t>
            </w:r>
            <w:r>
              <w:rPr>
                <w:rFonts w:hint="eastAsia" w:ascii="宋体" w:hAnsi="宋体" w:eastAsia="宋体" w:cs="宋体"/>
                <w:sz w:val="18"/>
                <w:szCs w:val="18"/>
                <w:bdr w:val="none" w:color="auto" w:sz="0" w:space="0"/>
              </w:rPr>
              <w:t>没有现成信息需要另行制作</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12B4D04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06E8844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6B7D49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83C27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53222E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66A38A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07E419B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6C4B2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5D698011">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329AD6D4">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58FCD71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3.</w:t>
            </w:r>
            <w:r>
              <w:rPr>
                <w:rFonts w:hint="eastAsia" w:ascii="宋体" w:hAnsi="宋体" w:eastAsia="宋体" w:cs="宋体"/>
                <w:sz w:val="18"/>
                <w:szCs w:val="18"/>
                <w:bdr w:val="none" w:color="auto" w:sz="0" w:space="0"/>
              </w:rPr>
              <w:t>补正后申请内容仍不明确</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6586998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1F0070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114630C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62A36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63C13E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26B94C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6D7C2E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BCE560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8BA21D1">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tcMar>
              <w:left w:w="108" w:type="dxa"/>
              <w:right w:w="108" w:type="dxa"/>
            </w:tcMar>
            <w:vAlign w:val="center"/>
          </w:tcPr>
          <w:p w14:paraId="5649BCD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（五）不予处理</w:t>
            </w: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58AAE3C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信访举报投诉类申请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73AA4E0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0E09AC5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7EB95C9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7A915F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05C90E9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6D26DA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5938092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FC5F3C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1008F99">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7BC8CCF4">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17012B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2.</w:t>
            </w:r>
            <w:r>
              <w:rPr>
                <w:rFonts w:hint="eastAsia" w:ascii="宋体" w:hAnsi="宋体" w:eastAsia="宋体" w:cs="宋体"/>
                <w:sz w:val="18"/>
                <w:szCs w:val="18"/>
                <w:bdr w:val="none" w:color="auto" w:sz="0" w:space="0"/>
              </w:rPr>
              <w:t>重复申请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5AB7B02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7A73713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1F7A5A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7D9F80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2CB54BE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696795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4B0FD8B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5F3F085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212088F">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7B54457E">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50B0C42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3.</w:t>
            </w:r>
            <w:r>
              <w:rPr>
                <w:rFonts w:hint="eastAsia" w:ascii="宋体" w:hAnsi="宋体" w:eastAsia="宋体" w:cs="宋体"/>
                <w:sz w:val="18"/>
                <w:szCs w:val="18"/>
                <w:bdr w:val="none" w:color="auto" w:sz="0" w:space="0"/>
              </w:rPr>
              <w:t>要求提供公开出版物</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21E1209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250D9AE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4A1278B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D18475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6820C80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62C9FF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27DFF0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C823BE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13218262">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7EC6A613">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6342B6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4.</w:t>
            </w:r>
            <w:r>
              <w:rPr>
                <w:rFonts w:hint="eastAsia" w:ascii="宋体" w:hAnsi="宋体" w:eastAsia="宋体" w:cs="宋体"/>
                <w:sz w:val="18"/>
                <w:szCs w:val="18"/>
                <w:bdr w:val="none" w:color="auto" w:sz="0" w:space="0"/>
              </w:rPr>
              <w:t>无正当理由大量反复申请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2AEDD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6D0735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0FB6084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C18603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596487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68048C8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4D86D91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850101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85"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727C60C8">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1B8C6665">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2AE842D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5.</w:t>
            </w:r>
            <w:r>
              <w:rPr>
                <w:rFonts w:hint="eastAsia" w:ascii="宋体" w:hAnsi="宋体" w:eastAsia="宋体" w:cs="宋体"/>
                <w:sz w:val="18"/>
                <w:szCs w:val="18"/>
                <w:bdr w:val="none" w:color="auto" w:sz="0" w:space="0"/>
              </w:rPr>
              <w:t>要求行政机关确认或重新出具已获取信息</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3053BFB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6A5C82A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2388AD7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7E571EF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2A1A19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2EC6468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2F48000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9C7CAC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6313E2DF">
            <w:pPr>
              <w:rPr>
                <w:rFonts w:hint="eastAsia" w:ascii="宋体"/>
                <w:sz w:val="24"/>
                <w:szCs w:val="24"/>
              </w:rPr>
            </w:pPr>
          </w:p>
        </w:tc>
        <w:tc>
          <w:tcPr>
            <w:tcW w:w="1425" w:type="dxa"/>
            <w:vMerge w:val="restart"/>
            <w:tcBorders>
              <w:top w:val="nil"/>
              <w:left w:val="nil"/>
              <w:bottom w:val="single" w:color="auto" w:sz="8" w:space="0"/>
              <w:right w:val="single" w:color="auto" w:sz="8" w:space="0"/>
            </w:tcBorders>
            <w:shd w:val="clear"/>
            <w:tcMar>
              <w:left w:w="108" w:type="dxa"/>
              <w:right w:w="108" w:type="dxa"/>
            </w:tcMar>
            <w:vAlign w:val="center"/>
          </w:tcPr>
          <w:p w14:paraId="709F4EE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宋体" w:hAnsi="宋体" w:eastAsia="宋体" w:cs="宋体"/>
                <w:sz w:val="18"/>
                <w:szCs w:val="18"/>
                <w:bdr w:val="none" w:color="auto" w:sz="0" w:space="0"/>
              </w:rPr>
              <w:t>（六）其他处理</w:t>
            </w: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0609C4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1.</w:t>
            </w:r>
            <w:r>
              <w:rPr>
                <w:rFonts w:hint="eastAsia" w:ascii="宋体" w:hAnsi="宋体" w:eastAsia="宋体" w:cs="宋体"/>
                <w:sz w:val="18"/>
                <w:szCs w:val="18"/>
                <w:bdr w:val="none" w:color="auto" w:sz="0" w:space="0"/>
              </w:rPr>
              <w:t>申请人无正当理由逾期不补正、行政机关不再处理其政府信息公开申请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0EBDD2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73A7852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4D31142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F2D8F6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3272482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4163E0C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69A011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DFF018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08"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99242C3">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2D8056D2">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261080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2.</w:t>
            </w:r>
            <w:r>
              <w:rPr>
                <w:rFonts w:hint="eastAsia" w:ascii="宋体" w:hAnsi="宋体" w:eastAsia="宋体" w:cs="宋体"/>
                <w:sz w:val="18"/>
                <w:szCs w:val="18"/>
                <w:bdr w:val="none" w:color="auto" w:sz="0" w:space="0"/>
              </w:rPr>
              <w:t>申请人逾期未按收费通知要求缴纳费用、行政机关不再处理其他政府公开申请</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62C28B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3D1775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153E35C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32D6959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593288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641E5C1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0A68E6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7DF9AAD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39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22B7DBD5">
            <w:pPr>
              <w:rPr>
                <w:rFonts w:hint="eastAsia" w:ascii="宋体"/>
                <w:sz w:val="24"/>
                <w:szCs w:val="24"/>
              </w:rPr>
            </w:pPr>
          </w:p>
        </w:tc>
        <w:tc>
          <w:tcPr>
            <w:tcW w:w="1425" w:type="dxa"/>
            <w:vMerge w:val="continue"/>
            <w:tcBorders>
              <w:top w:val="nil"/>
              <w:left w:val="nil"/>
              <w:bottom w:val="single" w:color="auto" w:sz="8" w:space="0"/>
              <w:right w:val="single" w:color="auto" w:sz="8" w:space="0"/>
            </w:tcBorders>
            <w:shd w:val="clear"/>
            <w:tcMar>
              <w:left w:w="108" w:type="dxa"/>
              <w:right w:w="108" w:type="dxa"/>
            </w:tcMar>
            <w:vAlign w:val="center"/>
          </w:tcPr>
          <w:p w14:paraId="21C8EE5F">
            <w:pPr>
              <w:rPr>
                <w:rFonts w:hint="eastAsia" w:ascii="宋体"/>
                <w:sz w:val="24"/>
                <w:szCs w:val="24"/>
              </w:rPr>
            </w:pPr>
          </w:p>
        </w:tc>
        <w:tc>
          <w:tcPr>
            <w:tcW w:w="2580" w:type="dxa"/>
            <w:tcBorders>
              <w:top w:val="nil"/>
              <w:left w:val="nil"/>
              <w:bottom w:val="single" w:color="auto" w:sz="8" w:space="0"/>
              <w:right w:val="single" w:color="auto" w:sz="8" w:space="0"/>
            </w:tcBorders>
            <w:shd w:val="clear"/>
            <w:tcMar>
              <w:left w:w="108" w:type="dxa"/>
              <w:right w:w="108" w:type="dxa"/>
            </w:tcMar>
            <w:vAlign w:val="center"/>
          </w:tcPr>
          <w:p w14:paraId="4CA811F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default" w:ascii="Times New Roman" w:hAnsi="Times New Roman" w:cs="Times New Roman"/>
                <w:sz w:val="18"/>
                <w:szCs w:val="18"/>
                <w:bdr w:val="none" w:color="auto" w:sz="0" w:space="0"/>
              </w:rPr>
              <w:t>3.</w:t>
            </w:r>
            <w:r>
              <w:rPr>
                <w:rFonts w:hint="eastAsia" w:ascii="宋体" w:hAnsi="宋体" w:eastAsia="宋体" w:cs="宋体"/>
                <w:sz w:val="18"/>
                <w:szCs w:val="18"/>
                <w:bdr w:val="none" w:color="auto" w:sz="0" w:space="0"/>
              </w:rPr>
              <w:t>其他</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0D45E2E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333977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317B7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C4CEA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06FF307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2E2DAE0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7FE9424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11DA104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17" w:hRule="atLeast"/>
          <w:jc w:val="center"/>
        </w:trPr>
        <w:tc>
          <w:tcPr>
            <w:tcW w:w="323"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0438C581">
            <w:pPr>
              <w:rPr>
                <w:rFonts w:hint="eastAsia" w:ascii="宋体"/>
                <w:sz w:val="24"/>
                <w:szCs w:val="24"/>
              </w:rPr>
            </w:pPr>
          </w:p>
        </w:tc>
        <w:tc>
          <w:tcPr>
            <w:tcW w:w="4005" w:type="dxa"/>
            <w:gridSpan w:val="2"/>
            <w:tcBorders>
              <w:top w:val="nil"/>
              <w:left w:val="nil"/>
              <w:bottom w:val="single" w:color="auto" w:sz="8" w:space="0"/>
              <w:right w:val="single" w:color="auto" w:sz="8" w:space="0"/>
            </w:tcBorders>
            <w:shd w:val="clear"/>
            <w:tcMar>
              <w:left w:w="108" w:type="dxa"/>
              <w:right w:w="108" w:type="dxa"/>
            </w:tcMar>
            <w:vAlign w:val="center"/>
          </w:tcPr>
          <w:p w14:paraId="637A6DB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eastAsia" w:ascii="宋体" w:hAnsi="宋体" w:eastAsia="宋体" w:cs="宋体"/>
                <w:sz w:val="18"/>
                <w:szCs w:val="18"/>
                <w:bdr w:val="none" w:color="auto" w:sz="0" w:space="0"/>
              </w:rPr>
              <w:t>（七）总计</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285C111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5EA20F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3C5694B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58212E5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6EC2126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384CB0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7E4B9AE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r w14:paraId="40ACC6C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582" w:hRule="atLeast"/>
          <w:jc w:val="center"/>
        </w:trPr>
        <w:tc>
          <w:tcPr>
            <w:tcW w:w="4328"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14:paraId="4F1F721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left"/>
              <w:rPr>
                <w:sz w:val="24"/>
                <w:szCs w:val="24"/>
              </w:rPr>
            </w:pPr>
            <w:r>
              <w:rPr>
                <w:rFonts w:hint="eastAsia" w:ascii="宋体" w:hAnsi="宋体" w:eastAsia="宋体" w:cs="宋体"/>
                <w:sz w:val="18"/>
                <w:szCs w:val="18"/>
                <w:bdr w:val="none" w:color="auto" w:sz="0" w:space="0"/>
              </w:rPr>
              <w:t>四、结转下年度继续办理</w:t>
            </w:r>
          </w:p>
        </w:tc>
        <w:tc>
          <w:tcPr>
            <w:tcW w:w="825" w:type="dxa"/>
            <w:tcBorders>
              <w:top w:val="nil"/>
              <w:left w:val="nil"/>
              <w:bottom w:val="single" w:color="auto" w:sz="8" w:space="0"/>
              <w:right w:val="single" w:color="auto" w:sz="8" w:space="0"/>
            </w:tcBorders>
            <w:shd w:val="clear"/>
            <w:tcMar>
              <w:left w:w="108" w:type="dxa"/>
              <w:right w:w="108" w:type="dxa"/>
            </w:tcMar>
            <w:vAlign w:val="center"/>
          </w:tcPr>
          <w:p w14:paraId="1E7166C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05" w:type="dxa"/>
            <w:tcBorders>
              <w:top w:val="nil"/>
              <w:left w:val="nil"/>
              <w:bottom w:val="single" w:color="auto" w:sz="8" w:space="0"/>
              <w:right w:val="single" w:color="auto" w:sz="8" w:space="0"/>
            </w:tcBorders>
            <w:shd w:val="clear"/>
            <w:tcMar>
              <w:left w:w="108" w:type="dxa"/>
              <w:right w:w="108" w:type="dxa"/>
            </w:tcMar>
            <w:vAlign w:val="center"/>
          </w:tcPr>
          <w:p w14:paraId="533D26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80" w:type="dxa"/>
            <w:tcBorders>
              <w:top w:val="nil"/>
              <w:left w:val="nil"/>
              <w:bottom w:val="single" w:color="auto" w:sz="8" w:space="0"/>
              <w:right w:val="single" w:color="auto" w:sz="8" w:space="0"/>
            </w:tcBorders>
            <w:shd w:val="clear"/>
            <w:tcMar>
              <w:left w:w="108" w:type="dxa"/>
              <w:right w:w="108" w:type="dxa"/>
            </w:tcMar>
            <w:vAlign w:val="center"/>
          </w:tcPr>
          <w:p w14:paraId="227F1F0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11" w:type="dxa"/>
            <w:tcBorders>
              <w:top w:val="nil"/>
              <w:left w:val="nil"/>
              <w:bottom w:val="single" w:color="auto" w:sz="8" w:space="0"/>
              <w:right w:val="single" w:color="auto" w:sz="8" w:space="0"/>
            </w:tcBorders>
            <w:shd w:val="clear"/>
            <w:tcMar>
              <w:left w:w="108" w:type="dxa"/>
              <w:right w:w="108" w:type="dxa"/>
            </w:tcMar>
            <w:vAlign w:val="center"/>
          </w:tcPr>
          <w:p w14:paraId="6A11F3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644" w:type="dxa"/>
            <w:tcBorders>
              <w:top w:val="nil"/>
              <w:left w:val="nil"/>
              <w:bottom w:val="single" w:color="auto" w:sz="8" w:space="0"/>
              <w:right w:val="single" w:color="auto" w:sz="8" w:space="0"/>
            </w:tcBorders>
            <w:shd w:val="clear"/>
            <w:tcMar>
              <w:left w:w="108" w:type="dxa"/>
              <w:right w:w="108" w:type="dxa"/>
            </w:tcMar>
            <w:vAlign w:val="center"/>
          </w:tcPr>
          <w:p w14:paraId="098EBBE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49" w:type="dxa"/>
            <w:tcBorders>
              <w:top w:val="nil"/>
              <w:left w:val="nil"/>
              <w:bottom w:val="single" w:color="auto" w:sz="8" w:space="0"/>
              <w:right w:val="single" w:color="auto" w:sz="8" w:space="0"/>
            </w:tcBorders>
            <w:shd w:val="clear"/>
            <w:tcMar>
              <w:left w:w="108" w:type="dxa"/>
              <w:right w:w="108" w:type="dxa"/>
            </w:tcMar>
            <w:vAlign w:val="center"/>
          </w:tcPr>
          <w:p w14:paraId="5107279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777" w:type="dxa"/>
            <w:tcBorders>
              <w:top w:val="nil"/>
              <w:left w:val="nil"/>
              <w:bottom w:val="single" w:color="auto" w:sz="8" w:space="0"/>
              <w:right w:val="single" w:color="auto" w:sz="8" w:space="0"/>
            </w:tcBorders>
            <w:shd w:val="clear"/>
            <w:tcMar>
              <w:left w:w="108" w:type="dxa"/>
              <w:right w:w="108" w:type="dxa"/>
            </w:tcMar>
            <w:vAlign w:val="center"/>
          </w:tcPr>
          <w:p w14:paraId="67C6672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bl>
    <w:p w14:paraId="7C1A7B5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四、政府信息公开行政复议、行政诉讼情况</w:t>
      </w:r>
    </w:p>
    <w:tbl>
      <w:tblPr>
        <w:tblW w:w="8522"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04"/>
        <w:gridCol w:w="604"/>
        <w:gridCol w:w="604"/>
        <w:gridCol w:w="604"/>
        <w:gridCol w:w="604"/>
        <w:gridCol w:w="604"/>
        <w:gridCol w:w="604"/>
        <w:gridCol w:w="604"/>
        <w:gridCol w:w="604"/>
        <w:gridCol w:w="604"/>
        <w:gridCol w:w="604"/>
        <w:gridCol w:w="604"/>
        <w:gridCol w:w="604"/>
        <w:gridCol w:w="604"/>
        <w:gridCol w:w="605"/>
      </w:tblGrid>
      <w:tr w14:paraId="4FB22A1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0" w:type="dxa"/>
            <w:bottom w:w="0" w:type="dxa"/>
            <w:right w:w="0" w:type="dxa"/>
          </w:tblCellMar>
        </w:tblPrEx>
        <w:trPr>
          <w:trHeight w:val="472" w:hRule="atLeast"/>
          <w:jc w:val="center"/>
        </w:trPr>
        <w:tc>
          <w:tcPr>
            <w:tcW w:w="2839" w:type="dxa"/>
            <w:gridSpan w:val="5"/>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14:paraId="696634A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黑体" w:hAnsi="宋体" w:eastAsia="黑体" w:cs="黑体"/>
                <w:sz w:val="18"/>
                <w:szCs w:val="18"/>
                <w:bdr w:val="none" w:color="auto" w:sz="0" w:space="0"/>
              </w:rPr>
              <w:t>行政复议</w:t>
            </w:r>
          </w:p>
        </w:tc>
        <w:tc>
          <w:tcPr>
            <w:tcW w:w="5683" w:type="dxa"/>
            <w:gridSpan w:val="10"/>
            <w:tcBorders>
              <w:top w:val="single" w:color="auto" w:sz="8" w:space="0"/>
              <w:left w:val="nil"/>
              <w:bottom w:val="single" w:color="auto" w:sz="8" w:space="0"/>
              <w:right w:val="single" w:color="auto" w:sz="8" w:space="0"/>
            </w:tcBorders>
            <w:shd w:val="clear"/>
            <w:tcMar>
              <w:left w:w="108" w:type="dxa"/>
              <w:right w:w="108" w:type="dxa"/>
            </w:tcMar>
            <w:vAlign w:val="center"/>
          </w:tcPr>
          <w:p w14:paraId="374DBDA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黑体" w:hAnsi="宋体" w:eastAsia="黑体" w:cs="黑体"/>
                <w:sz w:val="18"/>
                <w:szCs w:val="18"/>
                <w:bdr w:val="none" w:color="auto" w:sz="0" w:space="0"/>
              </w:rPr>
              <w:t>行政诉讼</w:t>
            </w:r>
          </w:p>
        </w:tc>
      </w:tr>
      <w:tr w14:paraId="1F9F091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3" w:hRule="atLeast"/>
          <w:jc w:val="center"/>
        </w:trPr>
        <w:tc>
          <w:tcPr>
            <w:tcW w:w="594"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14:paraId="4CFF55B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结果维持</w:t>
            </w:r>
          </w:p>
        </w:tc>
        <w:tc>
          <w:tcPr>
            <w:tcW w:w="594" w:type="dxa"/>
            <w:vMerge w:val="restart"/>
            <w:tcBorders>
              <w:top w:val="nil"/>
              <w:left w:val="nil"/>
              <w:bottom w:val="single" w:color="auto" w:sz="8" w:space="0"/>
              <w:right w:val="single" w:color="auto" w:sz="8" w:space="0"/>
            </w:tcBorders>
            <w:shd w:val="clear"/>
            <w:tcMar>
              <w:left w:w="108" w:type="dxa"/>
              <w:right w:w="108" w:type="dxa"/>
            </w:tcMar>
            <w:vAlign w:val="center"/>
          </w:tcPr>
          <w:p w14:paraId="06305610">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结果纠正</w:t>
            </w:r>
          </w:p>
        </w:tc>
        <w:tc>
          <w:tcPr>
            <w:tcW w:w="5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10D29B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其他结果</w:t>
            </w:r>
          </w:p>
        </w:tc>
        <w:tc>
          <w:tcPr>
            <w:tcW w:w="594"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5FBBE0B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尚未审结</w:t>
            </w:r>
          </w:p>
        </w:tc>
        <w:tc>
          <w:tcPr>
            <w:tcW w:w="463"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14:paraId="7BF1FE1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总计</w:t>
            </w:r>
          </w:p>
        </w:tc>
        <w:tc>
          <w:tcPr>
            <w:tcW w:w="2839"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41627E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黑体" w:hAnsi="宋体" w:eastAsia="黑体" w:cs="黑体"/>
                <w:sz w:val="18"/>
                <w:szCs w:val="18"/>
                <w:bdr w:val="none" w:color="auto" w:sz="0" w:space="0"/>
              </w:rPr>
              <w:t>未经复议直接起诉</w:t>
            </w:r>
          </w:p>
        </w:tc>
        <w:tc>
          <w:tcPr>
            <w:tcW w:w="2844"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14:paraId="361D4D5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eastAsia" w:ascii="黑体" w:hAnsi="宋体" w:eastAsia="黑体" w:cs="黑体"/>
                <w:sz w:val="18"/>
                <w:szCs w:val="18"/>
                <w:bdr w:val="none" w:color="auto" w:sz="0" w:space="0"/>
              </w:rPr>
              <w:t>复议后起诉</w:t>
            </w:r>
          </w:p>
        </w:tc>
      </w:tr>
      <w:tr w14:paraId="05C10B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94"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14:paraId="481A9D2F">
            <w:pPr>
              <w:rPr>
                <w:rFonts w:hint="eastAsia" w:ascii="宋体"/>
                <w:sz w:val="24"/>
                <w:szCs w:val="24"/>
              </w:rPr>
            </w:pPr>
          </w:p>
        </w:tc>
        <w:tc>
          <w:tcPr>
            <w:tcW w:w="594" w:type="dxa"/>
            <w:vMerge w:val="continue"/>
            <w:tcBorders>
              <w:top w:val="nil"/>
              <w:left w:val="nil"/>
              <w:bottom w:val="single" w:color="auto" w:sz="8" w:space="0"/>
              <w:right w:val="single" w:color="auto" w:sz="8" w:space="0"/>
            </w:tcBorders>
            <w:shd w:val="clear"/>
            <w:tcMar>
              <w:left w:w="108" w:type="dxa"/>
              <w:right w:w="108" w:type="dxa"/>
            </w:tcMar>
            <w:vAlign w:val="center"/>
          </w:tcPr>
          <w:p w14:paraId="2136A3AA">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06C24225">
            <w:pPr>
              <w:rPr>
                <w:rFonts w:hint="eastAsia" w:ascii="宋体"/>
                <w:sz w:val="24"/>
                <w:szCs w:val="24"/>
              </w:rPr>
            </w:pPr>
          </w:p>
        </w:tc>
        <w:tc>
          <w:tcPr>
            <w:tcW w:w="594"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49B1F422">
            <w:pPr>
              <w:rPr>
                <w:rFonts w:hint="eastAsia" w:ascii="宋体"/>
                <w:sz w:val="24"/>
                <w:szCs w:val="24"/>
              </w:rPr>
            </w:pPr>
          </w:p>
        </w:tc>
        <w:tc>
          <w:tcPr>
            <w:tcW w:w="463"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14:paraId="7B07E6B1">
            <w:pPr>
              <w:rPr>
                <w:rFonts w:hint="eastAsia" w:ascii="宋体"/>
                <w:sz w:val="24"/>
                <w:szCs w:val="24"/>
              </w:rPr>
            </w:pP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6F9B967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结果维持</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576023E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结果纠正</w:t>
            </w:r>
          </w:p>
        </w:tc>
        <w:tc>
          <w:tcPr>
            <w:tcW w:w="5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F75006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其他结果</w:t>
            </w:r>
          </w:p>
        </w:tc>
        <w:tc>
          <w:tcPr>
            <w:tcW w:w="59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5D03F73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尚未审结</w:t>
            </w:r>
          </w:p>
        </w:tc>
        <w:tc>
          <w:tcPr>
            <w:tcW w:w="463"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1C3B7E7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总计</w:t>
            </w:r>
          </w:p>
        </w:tc>
        <w:tc>
          <w:tcPr>
            <w:tcW w:w="59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20FEBF0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结果维持</w:t>
            </w:r>
          </w:p>
        </w:tc>
        <w:tc>
          <w:tcPr>
            <w:tcW w:w="59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0CC448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结果纠正</w:t>
            </w:r>
          </w:p>
        </w:tc>
        <w:tc>
          <w:tcPr>
            <w:tcW w:w="59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3A0BA7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其他结果</w:t>
            </w:r>
          </w:p>
        </w:tc>
        <w:tc>
          <w:tcPr>
            <w:tcW w:w="595"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612EED4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尚未审结</w:t>
            </w:r>
          </w:p>
        </w:tc>
        <w:tc>
          <w:tcPr>
            <w:tcW w:w="464"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008D0BF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both"/>
              <w:rPr>
                <w:sz w:val="24"/>
                <w:szCs w:val="24"/>
              </w:rPr>
            </w:pPr>
            <w:r>
              <w:rPr>
                <w:rFonts w:hint="eastAsia" w:ascii="黑体" w:hAnsi="宋体" w:eastAsia="黑体" w:cs="黑体"/>
                <w:sz w:val="18"/>
                <w:szCs w:val="18"/>
                <w:bdr w:val="none" w:color="auto" w:sz="0" w:space="0"/>
              </w:rPr>
              <w:t>总计</w:t>
            </w:r>
          </w:p>
        </w:tc>
      </w:tr>
      <w:tr w14:paraId="499A0B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5" w:hRule="atLeast"/>
          <w:jc w:val="center"/>
        </w:trPr>
        <w:tc>
          <w:tcPr>
            <w:tcW w:w="594"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0F1CC7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2C3EDC4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59DE403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3AC9ABE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463" w:type="dxa"/>
            <w:tcBorders>
              <w:top w:val="nil"/>
              <w:left w:val="nil"/>
              <w:bottom w:val="single" w:color="auto" w:sz="8" w:space="0"/>
              <w:right w:val="single" w:color="auto" w:sz="8" w:space="0"/>
            </w:tcBorders>
            <w:shd w:val="clear"/>
            <w:tcMar>
              <w:left w:w="108" w:type="dxa"/>
              <w:right w:w="108" w:type="dxa"/>
            </w:tcMar>
            <w:vAlign w:val="center"/>
          </w:tcPr>
          <w:p w14:paraId="53277BB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472171A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5B47D559">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59A13B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4" w:type="dxa"/>
            <w:tcBorders>
              <w:top w:val="nil"/>
              <w:left w:val="nil"/>
              <w:bottom w:val="single" w:color="auto" w:sz="8" w:space="0"/>
              <w:right w:val="single" w:color="auto" w:sz="8" w:space="0"/>
            </w:tcBorders>
            <w:shd w:val="clear"/>
            <w:tcMar>
              <w:left w:w="108" w:type="dxa"/>
              <w:right w:w="108" w:type="dxa"/>
            </w:tcMar>
            <w:vAlign w:val="center"/>
          </w:tcPr>
          <w:p w14:paraId="7835425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463" w:type="dxa"/>
            <w:tcBorders>
              <w:top w:val="nil"/>
              <w:left w:val="nil"/>
              <w:bottom w:val="single" w:color="auto" w:sz="8" w:space="0"/>
              <w:right w:val="single" w:color="auto" w:sz="8" w:space="0"/>
            </w:tcBorders>
            <w:shd w:val="clear"/>
            <w:tcMar>
              <w:left w:w="108" w:type="dxa"/>
              <w:right w:w="108" w:type="dxa"/>
            </w:tcMar>
            <w:vAlign w:val="center"/>
          </w:tcPr>
          <w:p w14:paraId="489C501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5" w:type="dxa"/>
            <w:tcBorders>
              <w:top w:val="nil"/>
              <w:left w:val="nil"/>
              <w:bottom w:val="single" w:color="auto" w:sz="8" w:space="0"/>
              <w:right w:val="single" w:color="auto" w:sz="8" w:space="0"/>
            </w:tcBorders>
            <w:shd w:val="clear"/>
            <w:tcMar>
              <w:left w:w="108" w:type="dxa"/>
              <w:right w:w="108" w:type="dxa"/>
            </w:tcMar>
            <w:vAlign w:val="center"/>
          </w:tcPr>
          <w:p w14:paraId="7E7B45B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5" w:type="dxa"/>
            <w:tcBorders>
              <w:top w:val="nil"/>
              <w:left w:val="nil"/>
              <w:bottom w:val="single" w:color="auto" w:sz="8" w:space="0"/>
              <w:right w:val="single" w:color="auto" w:sz="8" w:space="0"/>
            </w:tcBorders>
            <w:shd w:val="clear"/>
            <w:tcMar>
              <w:left w:w="108" w:type="dxa"/>
              <w:right w:w="108" w:type="dxa"/>
            </w:tcMar>
            <w:vAlign w:val="center"/>
          </w:tcPr>
          <w:p w14:paraId="3533EA9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5" w:type="dxa"/>
            <w:tcBorders>
              <w:top w:val="nil"/>
              <w:left w:val="nil"/>
              <w:bottom w:val="single" w:color="auto" w:sz="8" w:space="0"/>
              <w:right w:val="single" w:color="auto" w:sz="8" w:space="0"/>
            </w:tcBorders>
            <w:shd w:val="clear"/>
            <w:tcMar>
              <w:left w:w="108" w:type="dxa"/>
              <w:right w:w="108" w:type="dxa"/>
            </w:tcMar>
            <w:vAlign w:val="center"/>
          </w:tcPr>
          <w:p w14:paraId="02E8A80C">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595" w:type="dxa"/>
            <w:tcBorders>
              <w:top w:val="nil"/>
              <w:left w:val="nil"/>
              <w:bottom w:val="single" w:color="auto" w:sz="8" w:space="0"/>
              <w:right w:val="single" w:color="auto" w:sz="8" w:space="0"/>
            </w:tcBorders>
            <w:shd w:val="clear"/>
            <w:tcMar>
              <w:left w:w="108" w:type="dxa"/>
              <w:right w:w="108" w:type="dxa"/>
            </w:tcMar>
            <w:vAlign w:val="center"/>
          </w:tcPr>
          <w:p w14:paraId="3D78A5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c>
          <w:tcPr>
            <w:tcW w:w="464" w:type="dxa"/>
            <w:tcBorders>
              <w:top w:val="nil"/>
              <w:left w:val="nil"/>
              <w:bottom w:val="single" w:color="auto" w:sz="8" w:space="0"/>
              <w:right w:val="single" w:color="auto" w:sz="8" w:space="0"/>
            </w:tcBorders>
            <w:shd w:val="clear"/>
            <w:tcMar>
              <w:left w:w="108" w:type="dxa"/>
              <w:right w:w="108" w:type="dxa"/>
            </w:tcMar>
            <w:vAlign w:val="center"/>
          </w:tcPr>
          <w:p w14:paraId="29DC0FA7">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atLeast"/>
              <w:ind w:left="0" w:right="0" w:firstLine="360"/>
              <w:jc w:val="center"/>
              <w:rPr>
                <w:sz w:val="24"/>
                <w:szCs w:val="24"/>
              </w:rPr>
            </w:pPr>
            <w:r>
              <w:rPr>
                <w:rFonts w:hint="default" w:ascii="Times New Roman" w:hAnsi="Times New Roman" w:cs="Times New Roman"/>
                <w:sz w:val="18"/>
                <w:szCs w:val="18"/>
                <w:bdr w:val="none" w:color="auto" w:sz="0" w:space="0"/>
              </w:rPr>
              <w:t>0</w:t>
            </w:r>
          </w:p>
        </w:tc>
      </w:tr>
    </w:tbl>
    <w:p w14:paraId="491A95C1">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五、存在的主要问题及改进情况</w:t>
      </w:r>
    </w:p>
    <w:p w14:paraId="6F99D2A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（一）主要问题</w:t>
      </w:r>
    </w:p>
    <w:p w14:paraId="4C8ED9DD">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一是公开的信息不够全面。二是工作人员流动性较大，公开的主动性需要进一步提高。</w:t>
      </w:r>
    </w:p>
    <w:p w14:paraId="0581B3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（二）改进措施</w:t>
      </w:r>
    </w:p>
    <w:p w14:paraId="4AF712F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是提升政务公开发布全面性。聚焦人民群众关心的乡村振兴、农业农村等领域，及时公开相关政策文件、享受人员情况等信息，确保人民群众看得见、听得懂、能理解，让群众随时掌握信息，推动政务公开更加公平、透明。</w:t>
      </w:r>
    </w:p>
    <w:p w14:paraId="4588DEC5">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both"/>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二是确定专人负责政务公开工作，同时加强业务培训，提高业务人员工作和水平。</w:t>
      </w:r>
    </w:p>
    <w:p w14:paraId="59E06756">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Style w:val="7"/>
          <w:rFonts w:hint="eastAsia" w:ascii="微软雅黑" w:hAnsi="微软雅黑" w:eastAsia="微软雅黑" w:cs="微软雅黑"/>
          <w:b/>
          <w:bCs/>
          <w:i w:val="0"/>
          <w:iCs w:val="0"/>
          <w:caps w:val="0"/>
          <w:color w:val="000000"/>
          <w:spacing w:val="0"/>
          <w:sz w:val="24"/>
          <w:szCs w:val="24"/>
          <w:bdr w:val="none" w:color="auto" w:sz="0" w:space="0"/>
        </w:rPr>
        <w:t>六、其他需要报告的事项</w:t>
      </w:r>
    </w:p>
    <w:p w14:paraId="1B56B90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（一）信息处理费收取情况</w:t>
      </w:r>
    </w:p>
    <w:p w14:paraId="32263F3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ascii="微软雅黑" w:hAnsi="微软雅黑" w:eastAsia="微软雅黑" w:cs="微软雅黑"/>
          <w:i w:val="0"/>
          <w:iCs w:val="0"/>
          <w:caps w:val="0"/>
          <w:color w:val="000000"/>
          <w:spacing w:val="0"/>
          <w:sz w:val="24"/>
          <w:szCs w:val="24"/>
          <w:bdr w:val="none" w:color="auto" w:sz="0" w:space="0"/>
          <w:shd w:val="clear" w:fill="FFFFFF"/>
        </w:rPr>
        <w:t>根据《国务院办公厅关于印发〈政府信息公开信息处理费管理办法〉的通知》（国办函〔2020〕109号）规定，本年度未收取任何政府信息公开信息处理费。</w:t>
      </w:r>
    </w:p>
    <w:p w14:paraId="6DAFA00E">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（二）落实《2024年沂源县政务公开工作方案》情况</w:t>
      </w:r>
    </w:p>
    <w:p w14:paraId="3822160B">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细化分解《2024年沂源县政务公开工作方案》并落实到位，加大与人民群众切身利益相关的领域信息主动公开力度，不断推进政策解读工作，强化社会关切，提升人民群众的获得感。</w:t>
      </w:r>
    </w:p>
    <w:p w14:paraId="4378B9D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（三）人大代表建议和政协提案办理结果公开情况</w:t>
      </w:r>
    </w:p>
    <w:p w14:paraId="18B80AB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今年承办1件人大代表提案，我镇回复如下：</w:t>
      </w:r>
    </w:p>
    <w:p w14:paraId="08ECD483">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张家坡镇阳三峪村结合当地传统民俗，通过深入挖掘，高度融合了当地祈福文化、美食文化、开拓精神形成了独具特色的伏羊文化。2013年阳三峪村被省旅游局确定为山东省伏羊文化节唯一举办地。到2024年已成功举办十二届山东省伏羊文化节，参与人数越来越多，知名度和影响力越来越大，打造出了山东省伏羊文化节品牌，成为山东省富有地方特色的民间重大文化旅游节庆活动。</w:t>
      </w:r>
    </w:p>
    <w:p w14:paraId="7B46F5E4">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今年以来，为进一步提升承载能力和完善功能元素，张家坡镇党委政府进一步提升了阳三峪伏羊文化节就餐区标准条件，整理修缮了主会场地的停车场并配备了相关旅游导示标识，提升了公共厕所，整改了演出舞台和演员准备室，安装了30盏路灯，整修了食堂餐厅等设施。</w:t>
      </w:r>
    </w:p>
    <w:p w14:paraId="1F4749F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同时，对文化节场地联通道路，申请县级支持，计划建设宽6米，总长16050米的环山路（沥青路），并进行道路两侧绿化、美化和亮化。该项目已由县国投公司立项并开始实施，由于需要变更部分规划设计，新的项目实施可行性论证报告已通过专家评审并呈交县自然资源局批复。等批复后，将按程序和施工计划付诸项目实施，年内将动工建设。</w:t>
      </w:r>
    </w:p>
    <w:p w14:paraId="39AA9B1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4F99C74F">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w:t>
      </w:r>
    </w:p>
    <w:p w14:paraId="08AD0EA8">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                           沂源县张家坡镇人民政府</w:t>
      </w:r>
    </w:p>
    <w:p w14:paraId="2DCB6EBA">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firstLine="420"/>
        <w:jc w:val="right"/>
        <w:rPr>
          <w:rFonts w:hint="eastAsia" w:ascii="微软雅黑" w:hAnsi="微软雅黑" w:eastAsia="微软雅黑" w:cs="微软雅黑"/>
          <w:i w:val="0"/>
          <w:iCs w:val="0"/>
          <w:caps w:val="0"/>
          <w:color w:val="000000"/>
          <w:spacing w:val="0"/>
          <w:sz w:val="24"/>
          <w:szCs w:val="24"/>
        </w:rPr>
      </w:pPr>
      <w:r>
        <w:rPr>
          <w:rFonts w:hint="eastAsia" w:ascii="微软雅黑" w:hAnsi="微软雅黑" w:eastAsia="微软雅黑" w:cs="微软雅黑"/>
          <w:i w:val="0"/>
          <w:iCs w:val="0"/>
          <w:caps w:val="0"/>
          <w:color w:val="000000"/>
          <w:spacing w:val="0"/>
          <w:sz w:val="24"/>
          <w:szCs w:val="24"/>
          <w:bdr w:val="none" w:color="auto" w:sz="0" w:space="0"/>
        </w:rPr>
        <w:t>2025年1月23日</w:t>
      </w:r>
    </w:p>
    <w:p w14:paraId="43F80C08"/>
    <w:sectPr>
      <w:pgSz w:w="11906" w:h="16838"/>
      <w:pgMar w:top="1701" w:right="1474"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24C612E8"/>
    <w:rsid w:val="02FF5E45"/>
    <w:rsid w:val="034A6182"/>
    <w:rsid w:val="03C46ABF"/>
    <w:rsid w:val="0A54261E"/>
    <w:rsid w:val="0A9D72B9"/>
    <w:rsid w:val="14A9094B"/>
    <w:rsid w:val="1DD22FF3"/>
    <w:rsid w:val="1EEA17F2"/>
    <w:rsid w:val="220A2D0A"/>
    <w:rsid w:val="23A332B9"/>
    <w:rsid w:val="24C612E8"/>
    <w:rsid w:val="261F158A"/>
    <w:rsid w:val="26B22834"/>
    <w:rsid w:val="27333B42"/>
    <w:rsid w:val="282910EA"/>
    <w:rsid w:val="2D09793F"/>
    <w:rsid w:val="2D593910"/>
    <w:rsid w:val="2D5B1D46"/>
    <w:rsid w:val="32447DC0"/>
    <w:rsid w:val="34015BE8"/>
    <w:rsid w:val="3BB61CA0"/>
    <w:rsid w:val="3E2C6DE7"/>
    <w:rsid w:val="426042E3"/>
    <w:rsid w:val="43293229"/>
    <w:rsid w:val="44386B20"/>
    <w:rsid w:val="45801271"/>
    <w:rsid w:val="47275F43"/>
    <w:rsid w:val="49B97DED"/>
    <w:rsid w:val="4AAA6517"/>
    <w:rsid w:val="4BE67386"/>
    <w:rsid w:val="4DBE5CAD"/>
    <w:rsid w:val="4F7A3D76"/>
    <w:rsid w:val="5125035B"/>
    <w:rsid w:val="514821D1"/>
    <w:rsid w:val="51750D79"/>
    <w:rsid w:val="53385317"/>
    <w:rsid w:val="565B7715"/>
    <w:rsid w:val="567419BC"/>
    <w:rsid w:val="5A8B6F17"/>
    <w:rsid w:val="5B957713"/>
    <w:rsid w:val="5CC536CC"/>
    <w:rsid w:val="63185A08"/>
    <w:rsid w:val="63691DC0"/>
    <w:rsid w:val="63C811DC"/>
    <w:rsid w:val="65456971"/>
    <w:rsid w:val="67DF7F44"/>
    <w:rsid w:val="6A851E0B"/>
    <w:rsid w:val="6AF2378E"/>
    <w:rsid w:val="6B7B1AB7"/>
    <w:rsid w:val="6CC10CF9"/>
    <w:rsid w:val="6E7471B3"/>
    <w:rsid w:val="72572D47"/>
    <w:rsid w:val="74D21C00"/>
    <w:rsid w:val="78013DA5"/>
    <w:rsid w:val="79641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2806</Words>
  <Characters>2920</Characters>
  <Lines>0</Lines>
  <Paragraphs>0</Paragraphs>
  <TotalTime>20</TotalTime>
  <ScaleCrop>false</ScaleCrop>
  <LinksUpToDate>false</LinksUpToDate>
  <CharactersWithSpaces>2928</CharactersWithSpaces>
  <Application>WPS Office_12.1.0.18334_F1E327BC-269C-435d-A152-05C5408002CA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2025-01-08T02:14:00Z</dcterms:created>
  <dc:creator>Administrator</dc:creator>
  <cp:lastModifiedBy>Darren</cp:lastModifiedBy>
  <cp:lastPrinted>2025-01-16T01:14:00Z</cp:lastPrinted>
  <dcterms:modified xsi:type="dcterms:W3CDTF">2025-02-20T03:46:01Z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2052-12.1.0.18334</vt:lpwstr>
  </property>
  <property fmtid="{D5CDD505-2E9C-101B-9397-08002B2CF9AE}" pid="3" name="ICV">
    <vt:lpwstr>99BD7DE6A3904DE8A165EE692E315E74</vt:lpwstr>
  </property>
</Properties>
</file>