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  <Override PartName="/word/theme/themeOverride2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C1A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沂源县综合行政执法局</w:t>
      </w:r>
    </w:p>
    <w:p w14:paraId="6B4EDA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 w:eastAsia="zh-CN"/>
        </w:rPr>
        <w:t>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lang w:val="en-US"/>
        </w:rPr>
        <w:t>政府信息公开工作年度报告</w:t>
      </w:r>
    </w:p>
    <w:p w14:paraId="11328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</w:rPr>
      </w:pPr>
    </w:p>
    <w:p w14:paraId="10D62E76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本报告中所列数据的统计期限为202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年1月1日起至202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年12月31日。如对报告内容有疑问，请与沂源县综合行政执法局联系（地址：沂源县荆山路139号；邮编：256100；电话：2920516；邮箱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yiyuanzhxzzfj@zb.shandong.cn）。</w:t>
      </w:r>
    </w:p>
    <w:p w14:paraId="2DD494F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一、总体情况</w:t>
      </w:r>
    </w:p>
    <w:p w14:paraId="28336176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</w:pP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2024年县综合行政执法局贯彻落实《中华人民共和国政府信息公开条例》，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结合城市管理工作实际，强化公开责任、丰富公开内容，不断提升信息公开常态化、便民化、标准化水平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，提高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城市管理工作的透明度和公信力，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切实保障人民群众的知情权、参与权、表达权和监督权。</w:t>
      </w:r>
    </w:p>
    <w:p w14:paraId="2DAC7D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主动公开内容</w:t>
      </w:r>
    </w:p>
    <w:p w14:paraId="7F7F580D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left"/>
        <w:textAlignment w:val="baseline"/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202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4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年，县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综合行政执法局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累计主动公开政府信息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88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条，其中，政策法规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7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条，部门会议及解读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4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污染防治13条，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建议提案办理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21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条，财政信息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4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管理和服务公开24条，“双随机、一公开”10条；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政务公开组织领导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2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条，信息公开指南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1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条，信息公开年度报告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1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条，法制建设专栏</w:t>
      </w:r>
      <w:r>
        <w:rPr>
          <w:rFonts w:hint="eastAsia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1</w:t>
      </w:r>
      <w:r>
        <w:rPr>
          <w:rFonts w:hint="default" w:ascii="Times New Roman" w:hAnsi="Times New Roman" w:eastAsia="仿宋_GB2312" w:cs="Times New Roman"/>
          <w:spacing w:val="0"/>
          <w:kern w:val="0"/>
          <w:sz w:val="32"/>
          <w:szCs w:val="32"/>
          <w:lang w:val="en-US" w:eastAsia="zh-CN" w:bidi="zh-CN"/>
        </w:rPr>
        <w:t>条。</w:t>
      </w:r>
    </w:p>
    <w:p w14:paraId="5D123E1B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</w:p>
    <w:p w14:paraId="6640A9DA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</w:p>
    <w:p w14:paraId="4151905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</w:p>
    <w:p w14:paraId="0CC8CE4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</w:p>
    <w:p w14:paraId="32B8CFB5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139065</wp:posOffset>
            </wp:positionH>
            <wp:positionV relativeFrom="page">
              <wp:posOffset>6431280</wp:posOffset>
            </wp:positionV>
            <wp:extent cx="5256530" cy="2764155"/>
            <wp:effectExtent l="4445" t="4445" r="15875" b="50800"/>
            <wp:wrapSquare wrapText="bothSides"/>
            <wp:docPr id="9" name="图表 9" descr="7b0a202020202263686172745265734964223a20223230343736313031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71755</wp:posOffset>
            </wp:positionH>
            <wp:positionV relativeFrom="page">
              <wp:posOffset>1201420</wp:posOffset>
            </wp:positionV>
            <wp:extent cx="5256530" cy="2988310"/>
            <wp:effectExtent l="5080" t="4445" r="15240" b="17145"/>
            <wp:wrapSquare wrapText="bothSides"/>
            <wp:docPr id="7" name="图表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zh-CN"/>
        </w:rPr>
        <w:t>2024年，通过各类新媒体公开信息323条。其中，大众日报、山东商报·速豹新闻、博览新闻、海报新闻、淄博学习平台等省市级媒体客户端刊发信息12篇，在淄博城市管理公众号推送信息63篇，在沂源融媒、掌上沂源等县级媒体推送视频、信息32篇，沂源政务信息采用信息12篇，在沂源城市管理公众号推送信息144篇，视频号、抖音号推送视频60期。</w:t>
      </w:r>
    </w:p>
    <w:p w14:paraId="0D0D0D03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依申请公开情况</w:t>
      </w:r>
    </w:p>
    <w:p w14:paraId="09212118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收到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依申请公开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3件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，申请人为自然人，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</w:rPr>
        <w:t>已按照规范格式在规定时限内进行答复，未收取信息处理费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sz w:val="32"/>
          <w:szCs w:val="32"/>
          <w:vertAlign w:val="baseli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相比较去年，依申请公开数量持平。</w:t>
      </w:r>
    </w:p>
    <w:p w14:paraId="3CF50A3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168910</wp:posOffset>
            </wp:positionH>
            <wp:positionV relativeFrom="page">
              <wp:posOffset>2796540</wp:posOffset>
            </wp:positionV>
            <wp:extent cx="5256530" cy="2416175"/>
            <wp:effectExtent l="4445" t="4445" r="15875" b="17780"/>
            <wp:wrapSquare wrapText="bothSides"/>
            <wp:docPr id="5" name="图表 5" descr="7b0a202020202263686172745265734964223a202234363639383833220a7d0a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</w:rPr>
        <w:t>（三）政府信息管理情况</w:t>
      </w:r>
    </w:p>
    <w:p w14:paraId="453B9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严格执行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政务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公开制度并做好信息公开及报送工作，按照要求，对机构职能、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政府会议、双随机一公开、建议提案办理、财政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等信息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及时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进行公开，保证政府信息与政务公开准确、及时、规范。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同时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做好政府信息公开保密审查和个人信息保护工作，严把信息发布审核关，坚持谁公开谁审查、事前审查、依法审查的原则，做到涉密信息不上网。继续推行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领导小组工作机制，形成主要负责人领导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分管负责人负责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办公室承办具体任务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其他科室协助办理的工作层级，确保发布的信息准确脱敏，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不断提升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政务公开工作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成效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。</w:t>
      </w:r>
    </w:p>
    <w:p w14:paraId="2EBA3E7A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（四）政府信息公开平台建设情况</w:t>
      </w:r>
    </w:p>
    <w:p w14:paraId="40FBE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leftChars="0" w:right="0" w:firstLine="640" w:firstLineChars="20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充分发挥政府门户网站为信息公开第一平台作用，不断细化公开信息目录，聚焦社会关切和民生实事，定期进行栏目信息维护，确保公开信息内容及时、全面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eastAsia="zh-CN"/>
        </w:rPr>
        <w:t>；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充分利用各类新媒体平台，在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省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市县各级媒体、“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沂源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</w:rPr>
        <w:t>城市管理”微信公众号，多形式、多角度发布城市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vertAlign w:val="baseline"/>
          <w:lang w:val="en-US" w:eastAsia="zh-CN"/>
        </w:rPr>
        <w:t>管理工作信息，进一步强化政府信息公开，方便政民互动、网络问政。</w:t>
      </w:r>
    </w:p>
    <w:p w14:paraId="5E2F00E4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4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ar"/>
        </w:rPr>
        <w:t>（五）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监督保障情况</w:t>
      </w:r>
    </w:p>
    <w:p w14:paraId="787EC086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强化队伍建设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，健全工作机制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，明确主要负责同志对政务公开工作负总责，各科室确定一名政务公开工作联络员，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不断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细化分解政务公开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工作任务，构建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上下联动的政务公开工作网络体系，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确保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政务公开工作有组织、有计划、有步骤推进。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政府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信息公开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en-US" w:eastAsia="zh-CN" w:bidi="zh-CN"/>
        </w:rPr>
        <w:t>内容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vertAlign w:val="baseline"/>
          <w:lang w:val="zh-CN" w:eastAsia="zh-CN" w:bidi="zh-CN"/>
        </w:rPr>
        <w:t>层层把关，不定期开展涉及社会主体及公民个人隐私信息泄露的排查工作，切实维护好政府机密信息和公民个人信息的安全。</w:t>
      </w:r>
    </w:p>
    <w:p w14:paraId="510E3AD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textAlignment w:val="auto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二、主动公开政府信息情况</w:t>
      </w:r>
    </w:p>
    <w:tbl>
      <w:tblPr>
        <w:tblStyle w:val="8"/>
        <w:tblW w:w="880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91"/>
        <w:gridCol w:w="1688"/>
        <w:gridCol w:w="1818"/>
        <w:gridCol w:w="2003"/>
      </w:tblGrid>
      <w:tr w14:paraId="6C481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8800" w:type="dxa"/>
            <w:gridSpan w:val="4"/>
            <w:shd w:val="clear" w:color="auto" w:fill="C2D6F7"/>
            <w:vAlign w:val="top"/>
          </w:tcPr>
          <w:p w14:paraId="681EE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第二十条第(一)项</w:t>
            </w:r>
          </w:p>
        </w:tc>
      </w:tr>
      <w:tr w14:paraId="61A1C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91" w:type="dxa"/>
            <w:vAlign w:val="top"/>
          </w:tcPr>
          <w:p w14:paraId="75E15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1688" w:type="dxa"/>
            <w:vAlign w:val="top"/>
          </w:tcPr>
          <w:p w14:paraId="76FC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本年制发件数</w:t>
            </w:r>
          </w:p>
        </w:tc>
        <w:tc>
          <w:tcPr>
            <w:tcW w:w="1818" w:type="dxa"/>
            <w:vAlign w:val="top"/>
          </w:tcPr>
          <w:p w14:paraId="191E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本年废止件数</w:t>
            </w:r>
          </w:p>
        </w:tc>
        <w:tc>
          <w:tcPr>
            <w:tcW w:w="2003" w:type="dxa"/>
            <w:vAlign w:val="top"/>
          </w:tcPr>
          <w:p w14:paraId="185DA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现行有效件数</w:t>
            </w:r>
          </w:p>
        </w:tc>
      </w:tr>
      <w:tr w14:paraId="44D03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291" w:type="dxa"/>
            <w:vAlign w:val="top"/>
          </w:tcPr>
          <w:p w14:paraId="5DFCA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规章</w:t>
            </w:r>
          </w:p>
        </w:tc>
        <w:tc>
          <w:tcPr>
            <w:tcW w:w="1688" w:type="dxa"/>
            <w:vAlign w:val="top"/>
          </w:tcPr>
          <w:p w14:paraId="45630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 w14:paraId="3C9D1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 w14:paraId="33D3A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2755E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3291" w:type="dxa"/>
            <w:vAlign w:val="top"/>
          </w:tcPr>
          <w:p w14:paraId="54B50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行政规范性文件</w:t>
            </w:r>
          </w:p>
        </w:tc>
        <w:tc>
          <w:tcPr>
            <w:tcW w:w="1688" w:type="dxa"/>
            <w:vAlign w:val="top"/>
          </w:tcPr>
          <w:p w14:paraId="03A7C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1818" w:type="dxa"/>
            <w:vAlign w:val="top"/>
          </w:tcPr>
          <w:p w14:paraId="6B4AE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003" w:type="dxa"/>
            <w:vAlign w:val="top"/>
          </w:tcPr>
          <w:p w14:paraId="6EBD0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3230A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8800" w:type="dxa"/>
            <w:gridSpan w:val="4"/>
            <w:shd w:val="clear" w:color="auto" w:fill="C3D5F7"/>
            <w:vAlign w:val="top"/>
          </w:tcPr>
          <w:p w14:paraId="205B9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第二十条第(五)项</w:t>
            </w:r>
          </w:p>
        </w:tc>
      </w:tr>
      <w:tr w14:paraId="09B0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91" w:type="dxa"/>
            <w:vAlign w:val="top"/>
          </w:tcPr>
          <w:p w14:paraId="4303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 w14:paraId="5EA21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 w14:paraId="578A4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atLeast"/>
        </w:trPr>
        <w:tc>
          <w:tcPr>
            <w:tcW w:w="3291" w:type="dxa"/>
            <w:vAlign w:val="top"/>
          </w:tcPr>
          <w:p w14:paraId="051EB9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行政许可</w:t>
            </w:r>
          </w:p>
        </w:tc>
        <w:tc>
          <w:tcPr>
            <w:tcW w:w="5509" w:type="dxa"/>
            <w:gridSpan w:val="3"/>
            <w:vAlign w:val="top"/>
          </w:tcPr>
          <w:p w14:paraId="18EED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7F7A2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8800" w:type="dxa"/>
            <w:gridSpan w:val="4"/>
            <w:shd w:val="clear" w:color="auto" w:fill="BBCBFA"/>
            <w:vAlign w:val="top"/>
          </w:tcPr>
          <w:p w14:paraId="3B45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第二十条第(六)项</w:t>
            </w:r>
          </w:p>
        </w:tc>
      </w:tr>
      <w:tr w14:paraId="31003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291" w:type="dxa"/>
            <w:vAlign w:val="top"/>
          </w:tcPr>
          <w:p w14:paraId="2FF80C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 w14:paraId="72DE7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本年处理决定数量</w:t>
            </w:r>
          </w:p>
        </w:tc>
      </w:tr>
      <w:tr w14:paraId="560B33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" w:hRule="atLeast"/>
        </w:trPr>
        <w:tc>
          <w:tcPr>
            <w:tcW w:w="3291" w:type="dxa"/>
            <w:vAlign w:val="top"/>
          </w:tcPr>
          <w:p w14:paraId="78A9E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行政处罚</w:t>
            </w:r>
          </w:p>
        </w:tc>
        <w:tc>
          <w:tcPr>
            <w:tcW w:w="5509" w:type="dxa"/>
            <w:gridSpan w:val="3"/>
            <w:vAlign w:val="top"/>
          </w:tcPr>
          <w:p w14:paraId="1CD32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107</w:t>
            </w:r>
          </w:p>
        </w:tc>
      </w:tr>
      <w:tr w14:paraId="19A7D8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" w:hRule="atLeast"/>
        </w:trPr>
        <w:tc>
          <w:tcPr>
            <w:tcW w:w="3291" w:type="dxa"/>
            <w:vAlign w:val="top"/>
          </w:tcPr>
          <w:p w14:paraId="488EE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2"/>
                <w:szCs w:val="22"/>
              </w:rPr>
              <w:t>行政强制</w:t>
            </w:r>
          </w:p>
        </w:tc>
        <w:tc>
          <w:tcPr>
            <w:tcW w:w="5509" w:type="dxa"/>
            <w:gridSpan w:val="3"/>
            <w:vAlign w:val="top"/>
          </w:tcPr>
          <w:p w14:paraId="45F2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5</w:t>
            </w:r>
          </w:p>
        </w:tc>
      </w:tr>
      <w:tr w14:paraId="58DCE5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8800" w:type="dxa"/>
            <w:gridSpan w:val="4"/>
            <w:shd w:val="clear" w:color="auto" w:fill="BDD1F9"/>
            <w:vAlign w:val="top"/>
          </w:tcPr>
          <w:p w14:paraId="218F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pacing w:val="-4"/>
                <w:sz w:val="22"/>
                <w:szCs w:val="22"/>
              </w:rPr>
              <w:t>第二十条第(八)项</w:t>
            </w:r>
          </w:p>
        </w:tc>
      </w:tr>
      <w:tr w14:paraId="2BBB4D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3291" w:type="dxa"/>
            <w:vAlign w:val="top"/>
          </w:tcPr>
          <w:p w14:paraId="79DAF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信息内容</w:t>
            </w:r>
          </w:p>
        </w:tc>
        <w:tc>
          <w:tcPr>
            <w:tcW w:w="5509" w:type="dxa"/>
            <w:gridSpan w:val="3"/>
            <w:vAlign w:val="top"/>
          </w:tcPr>
          <w:p w14:paraId="12088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2"/>
                <w:szCs w:val="22"/>
              </w:rPr>
              <w:t>本年收费金额(单位：万元)</w:t>
            </w:r>
          </w:p>
        </w:tc>
      </w:tr>
      <w:tr w14:paraId="30C52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291" w:type="dxa"/>
            <w:vAlign w:val="top"/>
          </w:tcPr>
          <w:p w14:paraId="5903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pacing w:val="1"/>
                <w:sz w:val="22"/>
                <w:szCs w:val="22"/>
              </w:rPr>
              <w:t>行政事业性收费</w:t>
            </w:r>
          </w:p>
        </w:tc>
        <w:tc>
          <w:tcPr>
            <w:tcW w:w="5509" w:type="dxa"/>
            <w:gridSpan w:val="3"/>
            <w:vAlign w:val="top"/>
          </w:tcPr>
          <w:p w14:paraId="4C0EC6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1954.0571</w:t>
            </w:r>
          </w:p>
        </w:tc>
      </w:tr>
    </w:tbl>
    <w:p w14:paraId="322426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textAlignment w:val="auto"/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收到和处理政府信息公开申请情况</w:t>
      </w:r>
    </w:p>
    <w:tbl>
      <w:tblPr>
        <w:tblStyle w:val="8"/>
        <w:tblpPr w:leftFromText="180" w:rightFromText="180" w:vertAnchor="text" w:horzAnchor="page" w:tblpX="1204" w:tblpY="-1435"/>
        <w:tblOverlap w:val="never"/>
        <w:tblW w:w="908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968"/>
        <w:gridCol w:w="2697"/>
        <w:gridCol w:w="659"/>
        <w:gridCol w:w="649"/>
        <w:gridCol w:w="639"/>
        <w:gridCol w:w="650"/>
        <w:gridCol w:w="649"/>
        <w:gridCol w:w="659"/>
        <w:gridCol w:w="644"/>
      </w:tblGrid>
      <w:tr w14:paraId="243CE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535" w:type="dxa"/>
            <w:gridSpan w:val="3"/>
            <w:vMerge w:val="restart"/>
            <w:tcBorders>
              <w:bottom w:val="nil"/>
            </w:tcBorders>
            <w:vAlign w:val="top"/>
          </w:tcPr>
          <w:p w14:paraId="7571D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7FD56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(本列数据的勾稽关系为：第一项加</w:t>
            </w:r>
          </w:p>
          <w:p w14:paraId="65BC0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第二项之和，</w:t>
            </w:r>
          </w:p>
          <w:p w14:paraId="07DD2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等于第三项加第四项之和）</w:t>
            </w:r>
          </w:p>
        </w:tc>
        <w:tc>
          <w:tcPr>
            <w:tcW w:w="4549" w:type="dxa"/>
            <w:gridSpan w:val="7"/>
            <w:vAlign w:val="top"/>
          </w:tcPr>
          <w:p w14:paraId="7B3C4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申请人情况</w:t>
            </w:r>
          </w:p>
        </w:tc>
      </w:tr>
      <w:tr w14:paraId="4BE79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4535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 w14:paraId="2AA1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9982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自</w:t>
            </w:r>
          </w:p>
          <w:p w14:paraId="536F8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然</w:t>
            </w:r>
          </w:p>
          <w:p w14:paraId="1F1FF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人</w:t>
            </w:r>
          </w:p>
        </w:tc>
        <w:tc>
          <w:tcPr>
            <w:tcW w:w="3246" w:type="dxa"/>
            <w:gridSpan w:val="5"/>
            <w:vAlign w:val="top"/>
          </w:tcPr>
          <w:p w14:paraId="6B5B5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bottom w:val="nil"/>
            </w:tcBorders>
            <w:vAlign w:val="top"/>
          </w:tcPr>
          <w:p w14:paraId="1C605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EED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总计</w:t>
            </w:r>
          </w:p>
        </w:tc>
      </w:tr>
      <w:tr w14:paraId="6FF222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4535" w:type="dxa"/>
            <w:gridSpan w:val="3"/>
            <w:vMerge w:val="continue"/>
            <w:tcBorders>
              <w:top w:val="nil"/>
            </w:tcBorders>
            <w:vAlign w:val="top"/>
          </w:tcPr>
          <w:p w14:paraId="711FD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2BA02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649" w:type="dxa"/>
            <w:vAlign w:val="top"/>
          </w:tcPr>
          <w:p w14:paraId="3A56C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商业 企业</w:t>
            </w:r>
          </w:p>
        </w:tc>
        <w:tc>
          <w:tcPr>
            <w:tcW w:w="639" w:type="dxa"/>
            <w:vAlign w:val="top"/>
          </w:tcPr>
          <w:p w14:paraId="730BB8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科研 机构</w:t>
            </w:r>
          </w:p>
        </w:tc>
        <w:tc>
          <w:tcPr>
            <w:tcW w:w="650" w:type="dxa"/>
            <w:vAlign w:val="top"/>
          </w:tcPr>
          <w:p w14:paraId="27EE8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社会公 益组织</w:t>
            </w:r>
          </w:p>
        </w:tc>
        <w:tc>
          <w:tcPr>
            <w:tcW w:w="649" w:type="dxa"/>
            <w:vAlign w:val="top"/>
          </w:tcPr>
          <w:p w14:paraId="0302F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法律服 务机构</w:t>
            </w:r>
          </w:p>
        </w:tc>
        <w:tc>
          <w:tcPr>
            <w:tcW w:w="659" w:type="dxa"/>
            <w:vAlign w:val="top"/>
          </w:tcPr>
          <w:p w14:paraId="178C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nil"/>
            </w:tcBorders>
            <w:vAlign w:val="top"/>
          </w:tcPr>
          <w:p w14:paraId="4B6C1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</w:tr>
      <w:tr w14:paraId="19448E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4535" w:type="dxa"/>
            <w:gridSpan w:val="3"/>
            <w:vAlign w:val="top"/>
          </w:tcPr>
          <w:p w14:paraId="4AC1D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一、本年新收政府信息公开申请数量</w:t>
            </w:r>
          </w:p>
        </w:tc>
        <w:tc>
          <w:tcPr>
            <w:tcW w:w="659" w:type="dxa"/>
            <w:vAlign w:val="center"/>
          </w:tcPr>
          <w:p w14:paraId="77669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9" w:type="dxa"/>
            <w:vAlign w:val="center"/>
          </w:tcPr>
          <w:p w14:paraId="3D8592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18A15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0267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6EF6D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36E9C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47564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3F146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4535" w:type="dxa"/>
            <w:gridSpan w:val="3"/>
            <w:vAlign w:val="top"/>
          </w:tcPr>
          <w:p w14:paraId="7F05E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二、上年结转政府信息公开申请数量</w:t>
            </w:r>
          </w:p>
        </w:tc>
        <w:tc>
          <w:tcPr>
            <w:tcW w:w="659" w:type="dxa"/>
            <w:vAlign w:val="center"/>
          </w:tcPr>
          <w:p w14:paraId="46999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5ABB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04D0B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F182C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185E4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0585E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1B6A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472405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restart"/>
            <w:tcBorders>
              <w:bottom w:val="nil"/>
            </w:tcBorders>
            <w:vAlign w:val="top"/>
          </w:tcPr>
          <w:p w14:paraId="3815D5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E01F6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1B4B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7BB4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41B938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84CB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F0DF5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85B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6849D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1A778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7B5C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6CA3D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402D4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三</w:t>
            </w:r>
          </w:p>
          <w:p w14:paraId="6FC44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、</w:t>
            </w:r>
          </w:p>
          <w:p w14:paraId="28F1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本</w:t>
            </w:r>
          </w:p>
          <w:p w14:paraId="6D2CE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 xml:space="preserve">年 </w:t>
            </w:r>
          </w:p>
          <w:p w14:paraId="595FA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度</w:t>
            </w:r>
          </w:p>
          <w:p w14:paraId="49D1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办</w:t>
            </w:r>
          </w:p>
          <w:p w14:paraId="16962D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理</w:t>
            </w:r>
          </w:p>
          <w:p w14:paraId="367D3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</w:t>
            </w:r>
          </w:p>
          <w:p w14:paraId="1C0314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果</w:t>
            </w:r>
          </w:p>
        </w:tc>
        <w:tc>
          <w:tcPr>
            <w:tcW w:w="3665" w:type="dxa"/>
            <w:gridSpan w:val="2"/>
            <w:vAlign w:val="top"/>
          </w:tcPr>
          <w:p w14:paraId="1038A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color w:val="auto"/>
                <w:sz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(一)予以公开</w:t>
            </w:r>
          </w:p>
        </w:tc>
        <w:tc>
          <w:tcPr>
            <w:tcW w:w="659" w:type="dxa"/>
            <w:vAlign w:val="center"/>
          </w:tcPr>
          <w:p w14:paraId="396CB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49" w:type="dxa"/>
            <w:vAlign w:val="center"/>
          </w:tcPr>
          <w:p w14:paraId="48B673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0C970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D677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B7A5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1A981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34B11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</w:tr>
      <w:tr w14:paraId="653F5A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0CE76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5" w:type="dxa"/>
            <w:gridSpan w:val="2"/>
            <w:vAlign w:val="top"/>
          </w:tcPr>
          <w:p w14:paraId="1D7153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</w:rPr>
              <w:t>(</w:t>
            </w:r>
            <w:r>
              <w:rPr>
                <w:rFonts w:hint="default" w:ascii="Times New Roman" w:hAnsi="Times New Roman" w:cs="Times New Roman"/>
                <w:color w:val="auto"/>
                <w:sz w:val="21"/>
              </w:rPr>
              <w:t>二)部分公开(区分处理的，只计这一情形，不计其他情形)</w:t>
            </w:r>
          </w:p>
        </w:tc>
        <w:tc>
          <w:tcPr>
            <w:tcW w:w="659" w:type="dxa"/>
            <w:vAlign w:val="center"/>
          </w:tcPr>
          <w:p w14:paraId="52D6D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49" w:type="dxa"/>
            <w:vAlign w:val="center"/>
          </w:tcPr>
          <w:p w14:paraId="0E041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358B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852B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3DCEE6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76A8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3E46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</w:tr>
      <w:tr w14:paraId="736DC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418A58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7BAEB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5909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78322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143E8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2867B1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(三)不予公开</w:t>
            </w:r>
          </w:p>
        </w:tc>
        <w:tc>
          <w:tcPr>
            <w:tcW w:w="2697" w:type="dxa"/>
            <w:vAlign w:val="top"/>
          </w:tcPr>
          <w:p w14:paraId="300EA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1.属于国家秘密</w:t>
            </w:r>
          </w:p>
        </w:tc>
        <w:tc>
          <w:tcPr>
            <w:tcW w:w="659" w:type="dxa"/>
            <w:vAlign w:val="center"/>
          </w:tcPr>
          <w:p w14:paraId="6AE45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8ABA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3E9F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BD9E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4DAC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1B1639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1E272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63BCA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406990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1DCA7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F643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2.其他法律行政法规禁止 公开</w:t>
            </w:r>
          </w:p>
        </w:tc>
        <w:tc>
          <w:tcPr>
            <w:tcW w:w="659" w:type="dxa"/>
            <w:vAlign w:val="center"/>
          </w:tcPr>
          <w:p w14:paraId="182BF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6D779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9061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25868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4F804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45F57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74D65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6A8AF4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723BC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239A7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5812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3.危及“三安全一稳定”</w:t>
            </w:r>
          </w:p>
        </w:tc>
        <w:tc>
          <w:tcPr>
            <w:tcW w:w="659" w:type="dxa"/>
            <w:vAlign w:val="center"/>
          </w:tcPr>
          <w:p w14:paraId="0B98DC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DF6B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2793A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B9E5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D232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4E363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0A9755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3258BB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031C8A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4AE6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C7080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4.保护第三方合法权益</w:t>
            </w:r>
          </w:p>
        </w:tc>
        <w:tc>
          <w:tcPr>
            <w:tcW w:w="659" w:type="dxa"/>
            <w:vAlign w:val="center"/>
          </w:tcPr>
          <w:p w14:paraId="12E14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F84B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0BE3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83A4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2133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55CC4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186E3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24BF1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83DE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6A5D5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3D5A3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5.属于三类内部事务信息</w:t>
            </w:r>
          </w:p>
        </w:tc>
        <w:tc>
          <w:tcPr>
            <w:tcW w:w="659" w:type="dxa"/>
            <w:vAlign w:val="center"/>
          </w:tcPr>
          <w:p w14:paraId="437C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4F8C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269B5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2CC9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6351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509F0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1B244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87B9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D23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8F93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5F471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6.属于四类过程性信息</w:t>
            </w:r>
          </w:p>
        </w:tc>
        <w:tc>
          <w:tcPr>
            <w:tcW w:w="659" w:type="dxa"/>
            <w:vAlign w:val="center"/>
          </w:tcPr>
          <w:p w14:paraId="104CB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B0D2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3912D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5923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5253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240F7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1EC9B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3386B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44FE2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E592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A5E5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7.属于行政执法案卷</w:t>
            </w:r>
          </w:p>
        </w:tc>
        <w:tc>
          <w:tcPr>
            <w:tcW w:w="659" w:type="dxa"/>
            <w:vAlign w:val="center"/>
          </w:tcPr>
          <w:p w14:paraId="5AFF14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E599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C794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4000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0324C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7AE0B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2427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5F656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07E6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1CFE6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1D6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8.属于行政查询事项</w:t>
            </w:r>
          </w:p>
        </w:tc>
        <w:tc>
          <w:tcPr>
            <w:tcW w:w="659" w:type="dxa"/>
            <w:vAlign w:val="center"/>
          </w:tcPr>
          <w:p w14:paraId="7943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4D8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15953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51A286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F500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0CE48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04890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769D8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F589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214D5C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(四)无法提供</w:t>
            </w:r>
          </w:p>
        </w:tc>
        <w:tc>
          <w:tcPr>
            <w:tcW w:w="2697" w:type="dxa"/>
            <w:vAlign w:val="top"/>
          </w:tcPr>
          <w:p w14:paraId="67EB47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1.本机关不掌握相关政府信息</w:t>
            </w:r>
          </w:p>
        </w:tc>
        <w:tc>
          <w:tcPr>
            <w:tcW w:w="659" w:type="dxa"/>
            <w:vAlign w:val="center"/>
          </w:tcPr>
          <w:p w14:paraId="6E4E3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80CB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250FB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9B94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1F768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453C8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5F56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91DD2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25F3E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557487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6A145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2.没有现成信息需要另行制作</w:t>
            </w:r>
          </w:p>
        </w:tc>
        <w:tc>
          <w:tcPr>
            <w:tcW w:w="659" w:type="dxa"/>
            <w:vAlign w:val="center"/>
          </w:tcPr>
          <w:p w14:paraId="2855F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868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16A1F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493D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0943D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4A2A4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2377A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44AA9F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22376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18C0B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4BF04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3.补正后申请内容仍不明确</w:t>
            </w:r>
          </w:p>
        </w:tc>
        <w:tc>
          <w:tcPr>
            <w:tcW w:w="659" w:type="dxa"/>
            <w:vAlign w:val="center"/>
          </w:tcPr>
          <w:p w14:paraId="1200F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6C3C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3074D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713A4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05847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1B816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7E040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BFE9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284FC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3146E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7515F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3CD79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31D35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(五)不予处理</w:t>
            </w:r>
          </w:p>
        </w:tc>
        <w:tc>
          <w:tcPr>
            <w:tcW w:w="2697" w:type="dxa"/>
            <w:vAlign w:val="top"/>
          </w:tcPr>
          <w:p w14:paraId="72EAF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1.信访举报投诉类申请</w:t>
            </w:r>
          </w:p>
        </w:tc>
        <w:tc>
          <w:tcPr>
            <w:tcW w:w="659" w:type="dxa"/>
            <w:vAlign w:val="center"/>
          </w:tcPr>
          <w:p w14:paraId="09F8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0E4F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67C8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409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5BE82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2F616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4CCE1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7ADCC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73787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07E2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0195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2.重复申请</w:t>
            </w:r>
          </w:p>
        </w:tc>
        <w:tc>
          <w:tcPr>
            <w:tcW w:w="659" w:type="dxa"/>
            <w:vAlign w:val="center"/>
          </w:tcPr>
          <w:p w14:paraId="62B4E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B62D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678BC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7F1651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34CE1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1E8AE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42F47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A72D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0F1A8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66AA0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74D1A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3.要求提供公开出版物</w:t>
            </w:r>
          </w:p>
        </w:tc>
        <w:tc>
          <w:tcPr>
            <w:tcW w:w="659" w:type="dxa"/>
            <w:vAlign w:val="center"/>
          </w:tcPr>
          <w:p w14:paraId="2F64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3514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E88A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6FD4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29E5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5D31F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6A40D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70A57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2A19B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38BF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42021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4 . 无正当理由大量反复 申 请</w:t>
            </w:r>
          </w:p>
        </w:tc>
        <w:tc>
          <w:tcPr>
            <w:tcW w:w="659" w:type="dxa"/>
            <w:vAlign w:val="center"/>
          </w:tcPr>
          <w:p w14:paraId="3565E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61045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47A9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4A6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BC5E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77DEC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6139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4152F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6F5CF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022EB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2B793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5.要求行政机关确认或重 新出具已获取信息</w:t>
            </w:r>
          </w:p>
        </w:tc>
        <w:tc>
          <w:tcPr>
            <w:tcW w:w="659" w:type="dxa"/>
            <w:vAlign w:val="center"/>
          </w:tcPr>
          <w:p w14:paraId="43B88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1F5D04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1330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8CAA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A9C9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76A3E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08DFA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620020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22F4B3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restart"/>
            <w:tcBorders>
              <w:bottom w:val="nil"/>
            </w:tcBorders>
            <w:vAlign w:val="top"/>
          </w:tcPr>
          <w:p w14:paraId="1F9F7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165D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01C41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6705D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(六)其他处理</w:t>
            </w:r>
          </w:p>
        </w:tc>
        <w:tc>
          <w:tcPr>
            <w:tcW w:w="2697" w:type="dxa"/>
            <w:vAlign w:val="top"/>
          </w:tcPr>
          <w:p w14:paraId="4FBC0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1. 申请人无正当理由逾期 不补正、行政机关不再处理 其政府信息公开申请</w:t>
            </w:r>
          </w:p>
        </w:tc>
        <w:tc>
          <w:tcPr>
            <w:tcW w:w="659" w:type="dxa"/>
            <w:vAlign w:val="center"/>
          </w:tcPr>
          <w:p w14:paraId="595AB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0DE6A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5FB1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6706D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6A45D3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0EDB7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6716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08492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2019D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  <w:bottom w:val="nil"/>
            </w:tcBorders>
            <w:vAlign w:val="top"/>
          </w:tcPr>
          <w:p w14:paraId="0A80C9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58BE34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2.申请人逾期未按收费通知 要求缴纳费用、行政机关不再 处理其政府信息公开申请</w:t>
            </w:r>
          </w:p>
        </w:tc>
        <w:tc>
          <w:tcPr>
            <w:tcW w:w="659" w:type="dxa"/>
            <w:vAlign w:val="center"/>
          </w:tcPr>
          <w:p w14:paraId="78A21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B335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5737D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52FB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7490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3E53C4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7D024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551F49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  <w:bottom w:val="nil"/>
            </w:tcBorders>
            <w:vAlign w:val="top"/>
          </w:tcPr>
          <w:p w14:paraId="4427D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968" w:type="dxa"/>
            <w:vMerge w:val="continue"/>
            <w:tcBorders>
              <w:top w:val="nil"/>
            </w:tcBorders>
            <w:vAlign w:val="top"/>
          </w:tcPr>
          <w:p w14:paraId="02480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2697" w:type="dxa"/>
            <w:vAlign w:val="top"/>
          </w:tcPr>
          <w:p w14:paraId="18A1E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3 .其他</w:t>
            </w:r>
          </w:p>
        </w:tc>
        <w:tc>
          <w:tcPr>
            <w:tcW w:w="659" w:type="dxa"/>
            <w:vAlign w:val="center"/>
          </w:tcPr>
          <w:p w14:paraId="4B183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CC22F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3AF8D6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4E8E2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30A4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563D7F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0D2F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  <w:tr w14:paraId="1C0054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870" w:type="dxa"/>
            <w:vMerge w:val="continue"/>
            <w:tcBorders>
              <w:top w:val="nil"/>
            </w:tcBorders>
            <w:vAlign w:val="top"/>
          </w:tcPr>
          <w:p w14:paraId="0C45B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3665" w:type="dxa"/>
            <w:gridSpan w:val="2"/>
            <w:vAlign w:val="top"/>
          </w:tcPr>
          <w:p w14:paraId="4ECE8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(七)总计</w:t>
            </w:r>
          </w:p>
        </w:tc>
        <w:tc>
          <w:tcPr>
            <w:tcW w:w="659" w:type="dxa"/>
            <w:vAlign w:val="center"/>
          </w:tcPr>
          <w:p w14:paraId="3A84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649" w:type="dxa"/>
            <w:vAlign w:val="center"/>
          </w:tcPr>
          <w:p w14:paraId="5C593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00F7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3ECAF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B653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13774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0C18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3</w:t>
            </w:r>
          </w:p>
        </w:tc>
      </w:tr>
      <w:tr w14:paraId="38018C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4535" w:type="dxa"/>
            <w:gridSpan w:val="3"/>
            <w:vAlign w:val="top"/>
          </w:tcPr>
          <w:p w14:paraId="56AE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left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四、结转下年度继续办理</w:t>
            </w:r>
          </w:p>
        </w:tc>
        <w:tc>
          <w:tcPr>
            <w:tcW w:w="659" w:type="dxa"/>
            <w:vAlign w:val="center"/>
          </w:tcPr>
          <w:p w14:paraId="7D367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4CBB3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39" w:type="dxa"/>
            <w:vAlign w:val="center"/>
          </w:tcPr>
          <w:p w14:paraId="7FAE7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center"/>
          </w:tcPr>
          <w:p w14:paraId="1080C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center"/>
          </w:tcPr>
          <w:p w14:paraId="2B56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center"/>
          </w:tcPr>
          <w:p w14:paraId="0B9E9F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4" w:type="dxa"/>
            <w:vAlign w:val="center"/>
          </w:tcPr>
          <w:p w14:paraId="3A852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 w:bidi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7209C31A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right="0" w:rightChars="0" w:firstLine="540" w:firstLineChars="200"/>
        <w:textAlignment w:val="auto"/>
        <w:rPr>
          <w:rFonts w:hint="eastAsia" w:eastAsia="方正仿宋_GBK"/>
          <w:lang w:eastAsia="zh-CN"/>
        </w:rPr>
      </w:pPr>
    </w:p>
    <w:p w14:paraId="2DB0E93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</w:rPr>
        <w:sectPr>
          <w:footerReference r:id="rId3" w:type="default"/>
          <w:pgSz w:w="11820" w:h="16730"/>
          <w:pgMar w:top="1984" w:right="1587" w:bottom="1701" w:left="1587" w:header="850" w:footer="1417" w:gutter="0"/>
          <w:pgNumType w:fmt="decimal"/>
          <w:cols w:space="720" w:num="1"/>
        </w:sectPr>
      </w:pPr>
    </w:p>
    <w:p w14:paraId="43E996A1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0"/>
        <w:rPr>
          <w:rFonts w:hint="default" w:ascii="Times New Roman" w:hAnsi="Times New Roman" w:cs="Times New Roman"/>
          <w:color w:val="auto"/>
          <w:sz w:val="2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tbl>
      <w:tblPr>
        <w:tblStyle w:val="8"/>
        <w:tblW w:w="872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580"/>
        <w:gridCol w:w="579"/>
        <w:gridCol w:w="579"/>
        <w:gridCol w:w="590"/>
        <w:gridCol w:w="589"/>
        <w:gridCol w:w="579"/>
        <w:gridCol w:w="580"/>
        <w:gridCol w:w="579"/>
        <w:gridCol w:w="579"/>
        <w:gridCol w:w="579"/>
        <w:gridCol w:w="580"/>
        <w:gridCol w:w="589"/>
        <w:gridCol w:w="589"/>
        <w:gridCol w:w="574"/>
      </w:tblGrid>
      <w:tr w14:paraId="26E1F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912" w:type="dxa"/>
            <w:gridSpan w:val="5"/>
            <w:vAlign w:val="top"/>
          </w:tcPr>
          <w:p w14:paraId="19576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行政复议</w:t>
            </w:r>
          </w:p>
        </w:tc>
        <w:tc>
          <w:tcPr>
            <w:tcW w:w="5817" w:type="dxa"/>
            <w:gridSpan w:val="10"/>
            <w:vAlign w:val="top"/>
          </w:tcPr>
          <w:p w14:paraId="204CD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行政诉讼</w:t>
            </w:r>
          </w:p>
        </w:tc>
      </w:tr>
      <w:tr w14:paraId="784FA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bottom w:val="nil"/>
            </w:tcBorders>
            <w:vAlign w:val="top"/>
          </w:tcPr>
          <w:p w14:paraId="3F7D8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维持</w:t>
            </w:r>
          </w:p>
        </w:tc>
        <w:tc>
          <w:tcPr>
            <w:tcW w:w="580" w:type="dxa"/>
            <w:vMerge w:val="restart"/>
            <w:tcBorders>
              <w:bottom w:val="nil"/>
            </w:tcBorders>
            <w:vAlign w:val="top"/>
          </w:tcPr>
          <w:p w14:paraId="58F91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纠正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5B380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 结果</w:t>
            </w:r>
          </w:p>
        </w:tc>
        <w:tc>
          <w:tcPr>
            <w:tcW w:w="579" w:type="dxa"/>
            <w:vMerge w:val="restart"/>
            <w:tcBorders>
              <w:bottom w:val="nil"/>
            </w:tcBorders>
            <w:vAlign w:val="top"/>
          </w:tcPr>
          <w:p w14:paraId="0DAF4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尚未 审结</w:t>
            </w:r>
          </w:p>
        </w:tc>
        <w:tc>
          <w:tcPr>
            <w:tcW w:w="590" w:type="dxa"/>
            <w:vMerge w:val="restart"/>
            <w:tcBorders>
              <w:bottom w:val="nil"/>
            </w:tcBorders>
            <w:vAlign w:val="top"/>
          </w:tcPr>
          <w:p w14:paraId="61A45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  <w:p w14:paraId="4DF19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总计</w:t>
            </w:r>
          </w:p>
        </w:tc>
        <w:tc>
          <w:tcPr>
            <w:tcW w:w="2906" w:type="dxa"/>
            <w:gridSpan w:val="5"/>
            <w:vAlign w:val="top"/>
          </w:tcPr>
          <w:p w14:paraId="63DE7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未经复议直接起诉</w:t>
            </w:r>
          </w:p>
        </w:tc>
        <w:tc>
          <w:tcPr>
            <w:tcW w:w="2911" w:type="dxa"/>
            <w:gridSpan w:val="5"/>
            <w:vAlign w:val="top"/>
          </w:tcPr>
          <w:p w14:paraId="69099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复议后起诉</w:t>
            </w:r>
          </w:p>
        </w:tc>
      </w:tr>
      <w:tr w14:paraId="0FFEB2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584" w:type="dxa"/>
            <w:vMerge w:val="continue"/>
            <w:tcBorders>
              <w:top w:val="nil"/>
            </w:tcBorders>
            <w:vAlign w:val="top"/>
          </w:tcPr>
          <w:p w14:paraId="4BE7F6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80" w:type="dxa"/>
            <w:vMerge w:val="continue"/>
            <w:tcBorders>
              <w:top w:val="nil"/>
            </w:tcBorders>
            <w:vAlign w:val="top"/>
          </w:tcPr>
          <w:p w14:paraId="0CF04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3E408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79" w:type="dxa"/>
            <w:vMerge w:val="continue"/>
            <w:tcBorders>
              <w:top w:val="nil"/>
            </w:tcBorders>
            <w:vAlign w:val="top"/>
          </w:tcPr>
          <w:p w14:paraId="6942D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90" w:type="dxa"/>
            <w:vMerge w:val="continue"/>
            <w:tcBorders>
              <w:top w:val="nil"/>
            </w:tcBorders>
            <w:vAlign w:val="top"/>
          </w:tcPr>
          <w:p w14:paraId="64CCF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</w:p>
        </w:tc>
        <w:tc>
          <w:tcPr>
            <w:tcW w:w="589" w:type="dxa"/>
            <w:vAlign w:val="top"/>
          </w:tcPr>
          <w:p w14:paraId="6AFF8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维持</w:t>
            </w:r>
          </w:p>
        </w:tc>
        <w:tc>
          <w:tcPr>
            <w:tcW w:w="579" w:type="dxa"/>
            <w:vAlign w:val="top"/>
          </w:tcPr>
          <w:p w14:paraId="487E2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纠正</w:t>
            </w:r>
          </w:p>
        </w:tc>
        <w:tc>
          <w:tcPr>
            <w:tcW w:w="580" w:type="dxa"/>
            <w:vAlign w:val="top"/>
          </w:tcPr>
          <w:p w14:paraId="27792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 结果</w:t>
            </w:r>
          </w:p>
        </w:tc>
        <w:tc>
          <w:tcPr>
            <w:tcW w:w="579" w:type="dxa"/>
            <w:vAlign w:val="top"/>
          </w:tcPr>
          <w:p w14:paraId="1E0EA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尚未 审结</w:t>
            </w:r>
          </w:p>
        </w:tc>
        <w:tc>
          <w:tcPr>
            <w:tcW w:w="579" w:type="dxa"/>
            <w:vAlign w:val="top"/>
          </w:tcPr>
          <w:p w14:paraId="17FA4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总计</w:t>
            </w:r>
          </w:p>
        </w:tc>
        <w:tc>
          <w:tcPr>
            <w:tcW w:w="579" w:type="dxa"/>
            <w:vAlign w:val="top"/>
          </w:tcPr>
          <w:p w14:paraId="5CAA9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维持</w:t>
            </w:r>
          </w:p>
        </w:tc>
        <w:tc>
          <w:tcPr>
            <w:tcW w:w="580" w:type="dxa"/>
            <w:vAlign w:val="top"/>
          </w:tcPr>
          <w:p w14:paraId="4D6E2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结果 纠正</w:t>
            </w:r>
          </w:p>
        </w:tc>
        <w:tc>
          <w:tcPr>
            <w:tcW w:w="589" w:type="dxa"/>
            <w:vAlign w:val="top"/>
          </w:tcPr>
          <w:p w14:paraId="73F8A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其他 结果</w:t>
            </w:r>
          </w:p>
        </w:tc>
        <w:tc>
          <w:tcPr>
            <w:tcW w:w="589" w:type="dxa"/>
            <w:vAlign w:val="top"/>
          </w:tcPr>
          <w:p w14:paraId="4E9E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尚未 审结</w:t>
            </w:r>
          </w:p>
        </w:tc>
        <w:tc>
          <w:tcPr>
            <w:tcW w:w="574" w:type="dxa"/>
            <w:vAlign w:val="top"/>
          </w:tcPr>
          <w:p w14:paraId="100B2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cs="Times New Roman"/>
                <w:sz w:val="21"/>
              </w:rPr>
            </w:pPr>
            <w:r>
              <w:rPr>
                <w:rFonts w:hint="default" w:ascii="Times New Roman" w:hAnsi="Times New Roman" w:cs="Times New Roman"/>
                <w:sz w:val="21"/>
              </w:rPr>
              <w:t>总计</w:t>
            </w:r>
          </w:p>
        </w:tc>
      </w:tr>
      <w:tr w14:paraId="754A5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584" w:type="dxa"/>
            <w:vAlign w:val="top"/>
          </w:tcPr>
          <w:p w14:paraId="3C4A7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 w14:paraId="17B35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73D6C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165ED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90" w:type="dxa"/>
            <w:vAlign w:val="top"/>
          </w:tcPr>
          <w:p w14:paraId="10363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 w14:paraId="5A02E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35ECA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 w14:paraId="76218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551729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17603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9" w:type="dxa"/>
            <w:vAlign w:val="top"/>
          </w:tcPr>
          <w:p w14:paraId="6C5F1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0" w:type="dxa"/>
            <w:vAlign w:val="top"/>
          </w:tcPr>
          <w:p w14:paraId="62A7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 w14:paraId="40D6E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89" w:type="dxa"/>
            <w:vAlign w:val="top"/>
          </w:tcPr>
          <w:p w14:paraId="24E69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574" w:type="dxa"/>
            <w:vAlign w:val="top"/>
          </w:tcPr>
          <w:p w14:paraId="31C7A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Autospacing="0" w:afterAutospacing="0" w:line="0" w:lineRule="atLeast"/>
              <w:ind w:left="0" w:leftChars="0" w:righ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lang w:val="en-US" w:eastAsia="zh-CN"/>
              </w:rPr>
              <w:t>0</w:t>
            </w:r>
          </w:p>
        </w:tc>
      </w:tr>
    </w:tbl>
    <w:p w14:paraId="5568A22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五、存在的主要问题及改进情况</w:t>
      </w:r>
    </w:p>
    <w:p w14:paraId="484CE8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（一）存在问题</w:t>
      </w:r>
    </w:p>
    <w:p w14:paraId="40CA2544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一是政务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公开的内容不够丰富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。二是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部分主动公开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规范化、时效性有待进一步提高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</w:t>
      </w:r>
    </w:p>
    <w:p w14:paraId="1DEAA9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（二）改进情况</w:t>
      </w:r>
    </w:p>
    <w:p w14:paraId="75609C4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充实和扩宽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政务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公开内容与渠道，不断充实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政务公开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内容，加强重点领域信息公开力度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进一步提升政府信息公开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质量与效果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。二是进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一步完善工作机制，提高信息公开工作的主动性，规范工作流程，保持信息通畅对等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加大自查自纠力度，确保公开内容及时、规范。</w:t>
      </w:r>
    </w:p>
    <w:p w14:paraId="66898B7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hint="default" w:ascii="Times New Roman" w:hAnsi="Times New Roman" w:eastAsia="黑体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其他需要报告的事项</w:t>
      </w:r>
    </w:p>
    <w:p w14:paraId="163DF50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（一）本年度收取政府公开信息处理费情况</w:t>
      </w:r>
    </w:p>
    <w:p w14:paraId="5884996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年度，我局未收取政府信息公开信息处理费。</w:t>
      </w:r>
    </w:p>
    <w:p w14:paraId="433713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right="0" w:rightChars="0" w:firstLine="64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建议提案办理结果公开情况</w:t>
      </w:r>
    </w:p>
    <w:p w14:paraId="28B04FE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年，我局共收到人大建议、政协提案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件，其中人大建议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件，政协提案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件，主要涉及</w:t>
      </w:r>
      <w:r>
        <w:rPr>
          <w:rFonts w:hint="eastAsia" w:eastAsia="仿宋_GB2312" w:cs="Times New Roman"/>
          <w:bCs/>
          <w:color w:val="auto"/>
          <w:sz w:val="32"/>
          <w:szCs w:val="32"/>
          <w:lang w:val="en-US" w:eastAsia="zh-CN"/>
        </w:rPr>
        <w:t>关于加快西部、南部新城市政路网的规划建设、</w:t>
      </w:r>
      <w:r>
        <w:rPr>
          <w:rFonts w:hint="eastAsia" w:ascii="Times New Roman" w:hAnsi="仿宋_GB2312" w:eastAsia="仿宋_GB2312"/>
          <w:b w:val="0"/>
          <w:bCs w:val="0"/>
          <w:color w:val="auto"/>
          <w:sz w:val="32"/>
          <w:szCs w:val="32"/>
          <w:lang w:eastAsia="zh-CN"/>
        </w:rPr>
        <w:t>加大小区物业监管力度、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解决荆山路天桥路段交通拥堵问题、建议</w:t>
      </w:r>
      <w:r>
        <w:rPr>
          <w:rFonts w:hint="default" w:ascii="Times New Roman" w:hAnsi="仿宋_GB2312" w:eastAsia="仿宋_GB2312" w:cs="Times New Roman"/>
          <w:b w:val="0"/>
          <w:bCs w:val="0"/>
          <w:color w:val="auto"/>
          <w:sz w:val="32"/>
          <w:szCs w:val="32"/>
          <w:lang w:val="en-US" w:eastAsia="zh-CN" w:bidi="ar-SA"/>
        </w:rPr>
        <w:t>县汽车站修建便民公园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等方面。我局承办的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件都已办理完成。</w:t>
      </w:r>
    </w:p>
    <w:p w14:paraId="44A579A6"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创新实践工作情况</w:t>
      </w:r>
    </w:p>
    <w:p w14:paraId="18F9A82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我局采取多样化政务公开方式，一是通过沂源县人民政府官方网站、沂源融媒等多种方式公开本单位重大活动以及重要会议；二是在居民区、商超等人流量大的场所定期宣传门前五包、垃圾分类等重要政策措施。</w:t>
      </w:r>
    </w:p>
    <w:p w14:paraId="786D4D72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Chars="0"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（四）《202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4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年沂源县政务公开工作</w:t>
      </w:r>
      <w:r>
        <w:rPr>
          <w:rFonts w:hint="eastAsia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方案</w:t>
      </w:r>
      <w:r>
        <w:rPr>
          <w:rFonts w:hint="default" w:ascii="Times New Roman" w:hAnsi="Times New Roman" w:eastAsia="楷体_GB2312" w:cs="Times New Roman"/>
          <w:b w:val="0"/>
          <w:bCs w:val="0"/>
          <w:kern w:val="0"/>
          <w:sz w:val="32"/>
          <w:szCs w:val="32"/>
          <w:lang w:val="en-US" w:eastAsia="zh-CN" w:bidi="zh-CN"/>
        </w:rPr>
        <w:t>》落实情况</w:t>
      </w:r>
    </w:p>
    <w:p w14:paraId="01E1A6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eastAsia" w:ascii="Times New Roman" w:hAnsi="Times New Roman" w:eastAsia="微软雅黑" w:cs="Times New Roman"/>
          <w:b w:val="0"/>
          <w:bCs w:val="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坚持把业务工作同政务公开工作同部署、同推进、同落实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，不断完善政府信息公开的内容，及时更新网站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政府</w:t>
      </w:r>
      <w:r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信息，有效保证了政务公开工作的有序进行</w:t>
      </w:r>
      <w:r>
        <w:rPr>
          <w:rFonts w:hint="eastAsia" w:ascii="Times New Roman" w:hAnsi="Times New Roman" w:eastAsia="仿宋_GB2312" w:cs="Times New Roman"/>
          <w:b w:val="0"/>
          <w:bCs w:val="0"/>
          <w:kern w:val="0"/>
          <w:sz w:val="32"/>
          <w:szCs w:val="32"/>
          <w:lang w:val="en-US" w:eastAsia="zh-CN" w:bidi="ar"/>
        </w:rPr>
        <w:t>。</w:t>
      </w:r>
    </w:p>
    <w:p w14:paraId="6DC28C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val="en-US" w:eastAsia="zh-CN"/>
        </w:rPr>
        <w:t>（五）其他事项及相关情况</w:t>
      </w:r>
    </w:p>
    <w:p w14:paraId="097991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无</w:t>
      </w:r>
    </w:p>
    <w:p w14:paraId="293405A0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17037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480" w:firstLineChars="14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沂源县综合行政执法局</w:t>
      </w:r>
    </w:p>
    <w:p w14:paraId="63FA7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4800" w:firstLineChars="15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 w14:paraId="02665D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left="0" w:leftChars="0" w:right="0"/>
        <w:textAlignment w:val="auto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984" w:right="1587" w:bottom="1701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25AFCC">
    <w:pPr>
      <w:spacing w:line="180" w:lineRule="auto"/>
      <w:ind w:left="224"/>
      <w:rPr>
        <w:rFonts w:ascii="宋体" w:hAnsi="宋体" w:eastAsia="宋体" w:cs="宋体"/>
        <w:sz w:val="17"/>
        <w:szCs w:val="17"/>
      </w:rPr>
    </w:pPr>
    <w:r>
      <w:rPr>
        <w:sz w:val="17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D08BAE"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D08BAE"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97FDC28"/>
    <w:multiLevelType w:val="singleLevel"/>
    <w:tmpl w:val="197FDC28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ZjAyMDg1OGQ5ODY4NmE5NjlkNzRmYmM5NjEwYTgifQ=="/>
  </w:docVars>
  <w:rsids>
    <w:rsidRoot w:val="29092A4A"/>
    <w:rsid w:val="00490434"/>
    <w:rsid w:val="0114696D"/>
    <w:rsid w:val="011F126D"/>
    <w:rsid w:val="014337F8"/>
    <w:rsid w:val="017776FD"/>
    <w:rsid w:val="021A6319"/>
    <w:rsid w:val="0270061D"/>
    <w:rsid w:val="02A543CA"/>
    <w:rsid w:val="02E65D4C"/>
    <w:rsid w:val="033B50CF"/>
    <w:rsid w:val="03E868D9"/>
    <w:rsid w:val="095E2471"/>
    <w:rsid w:val="09A777B0"/>
    <w:rsid w:val="09EA3EF2"/>
    <w:rsid w:val="0AC85C6F"/>
    <w:rsid w:val="0B091BF9"/>
    <w:rsid w:val="0B5E5DFE"/>
    <w:rsid w:val="0E551F4F"/>
    <w:rsid w:val="111725AC"/>
    <w:rsid w:val="116021A5"/>
    <w:rsid w:val="12681311"/>
    <w:rsid w:val="12DA3FF8"/>
    <w:rsid w:val="12E3308D"/>
    <w:rsid w:val="13A63B64"/>
    <w:rsid w:val="14681327"/>
    <w:rsid w:val="152139F9"/>
    <w:rsid w:val="15270D73"/>
    <w:rsid w:val="1658169C"/>
    <w:rsid w:val="17117C03"/>
    <w:rsid w:val="177B7D38"/>
    <w:rsid w:val="1991739F"/>
    <w:rsid w:val="1A8F43B3"/>
    <w:rsid w:val="1BA13498"/>
    <w:rsid w:val="1BF956CF"/>
    <w:rsid w:val="1D7A5A02"/>
    <w:rsid w:val="1DB55304"/>
    <w:rsid w:val="1DE62B13"/>
    <w:rsid w:val="1F240CB5"/>
    <w:rsid w:val="1FF67686"/>
    <w:rsid w:val="23333DD5"/>
    <w:rsid w:val="23370BF7"/>
    <w:rsid w:val="24080A52"/>
    <w:rsid w:val="25040F1F"/>
    <w:rsid w:val="263631A5"/>
    <w:rsid w:val="273B4BEA"/>
    <w:rsid w:val="29092A4A"/>
    <w:rsid w:val="290D4568"/>
    <w:rsid w:val="29D4444C"/>
    <w:rsid w:val="2A4F1E48"/>
    <w:rsid w:val="2A54310C"/>
    <w:rsid w:val="2A55433A"/>
    <w:rsid w:val="2A5E32CD"/>
    <w:rsid w:val="2A9C2048"/>
    <w:rsid w:val="2ADF3CE2"/>
    <w:rsid w:val="2B2966D6"/>
    <w:rsid w:val="2BA00689"/>
    <w:rsid w:val="2BF12C3E"/>
    <w:rsid w:val="2C077995"/>
    <w:rsid w:val="2C622E1D"/>
    <w:rsid w:val="2D522E91"/>
    <w:rsid w:val="2DA50311"/>
    <w:rsid w:val="2DF9330D"/>
    <w:rsid w:val="301937F3"/>
    <w:rsid w:val="314F3970"/>
    <w:rsid w:val="330C3DDF"/>
    <w:rsid w:val="33323549"/>
    <w:rsid w:val="33355325"/>
    <w:rsid w:val="33BF7A97"/>
    <w:rsid w:val="33EF4F96"/>
    <w:rsid w:val="353F4ED6"/>
    <w:rsid w:val="3626305B"/>
    <w:rsid w:val="376C23BC"/>
    <w:rsid w:val="3773054F"/>
    <w:rsid w:val="38C34C43"/>
    <w:rsid w:val="396E4BAF"/>
    <w:rsid w:val="399F5BF2"/>
    <w:rsid w:val="39D76BF8"/>
    <w:rsid w:val="3A541FF7"/>
    <w:rsid w:val="3A736BFA"/>
    <w:rsid w:val="3ADE3FB6"/>
    <w:rsid w:val="3BC20118"/>
    <w:rsid w:val="3D1617E6"/>
    <w:rsid w:val="3DB34524"/>
    <w:rsid w:val="3E673147"/>
    <w:rsid w:val="3F2006FA"/>
    <w:rsid w:val="40622AED"/>
    <w:rsid w:val="41083B3B"/>
    <w:rsid w:val="4205007B"/>
    <w:rsid w:val="436808C1"/>
    <w:rsid w:val="43845143"/>
    <w:rsid w:val="438B08B5"/>
    <w:rsid w:val="43DC6218"/>
    <w:rsid w:val="44C23E37"/>
    <w:rsid w:val="45E561F9"/>
    <w:rsid w:val="466E139A"/>
    <w:rsid w:val="46752F47"/>
    <w:rsid w:val="46D22C21"/>
    <w:rsid w:val="46DA1AD6"/>
    <w:rsid w:val="46DE4824"/>
    <w:rsid w:val="480C5CBF"/>
    <w:rsid w:val="48934632"/>
    <w:rsid w:val="48C60564"/>
    <w:rsid w:val="49157C69"/>
    <w:rsid w:val="49724248"/>
    <w:rsid w:val="4A5072C4"/>
    <w:rsid w:val="4BE64226"/>
    <w:rsid w:val="4C261319"/>
    <w:rsid w:val="4CEC2563"/>
    <w:rsid w:val="4D183358"/>
    <w:rsid w:val="4EAA7FE0"/>
    <w:rsid w:val="4EFF4B6B"/>
    <w:rsid w:val="4F1162B1"/>
    <w:rsid w:val="506E3F2C"/>
    <w:rsid w:val="507704C5"/>
    <w:rsid w:val="50EE4AFC"/>
    <w:rsid w:val="50F92314"/>
    <w:rsid w:val="516A5AB7"/>
    <w:rsid w:val="529769A0"/>
    <w:rsid w:val="52B4142D"/>
    <w:rsid w:val="530E3233"/>
    <w:rsid w:val="54DA4646"/>
    <w:rsid w:val="54E63D3C"/>
    <w:rsid w:val="562E599A"/>
    <w:rsid w:val="56335624"/>
    <w:rsid w:val="56821842"/>
    <w:rsid w:val="56E542AB"/>
    <w:rsid w:val="56E97A1E"/>
    <w:rsid w:val="587C0C3F"/>
    <w:rsid w:val="58BD754D"/>
    <w:rsid w:val="58FC58DC"/>
    <w:rsid w:val="59122607"/>
    <w:rsid w:val="5AE24555"/>
    <w:rsid w:val="5BBC5376"/>
    <w:rsid w:val="5C204225"/>
    <w:rsid w:val="5C943CEB"/>
    <w:rsid w:val="5C946EE9"/>
    <w:rsid w:val="5CA31420"/>
    <w:rsid w:val="5DAF4A56"/>
    <w:rsid w:val="5FB8156D"/>
    <w:rsid w:val="5FF4555F"/>
    <w:rsid w:val="610E2650"/>
    <w:rsid w:val="612605C3"/>
    <w:rsid w:val="62BB6808"/>
    <w:rsid w:val="65A4210E"/>
    <w:rsid w:val="663042DF"/>
    <w:rsid w:val="684145EE"/>
    <w:rsid w:val="6AAA1B9F"/>
    <w:rsid w:val="6BF54B38"/>
    <w:rsid w:val="6CB26586"/>
    <w:rsid w:val="6D7B106D"/>
    <w:rsid w:val="6F17200B"/>
    <w:rsid w:val="70183321"/>
    <w:rsid w:val="70D171F6"/>
    <w:rsid w:val="718D47B9"/>
    <w:rsid w:val="72F0605A"/>
    <w:rsid w:val="73D94D40"/>
    <w:rsid w:val="74C5185D"/>
    <w:rsid w:val="754D2299"/>
    <w:rsid w:val="76341608"/>
    <w:rsid w:val="7657019E"/>
    <w:rsid w:val="77446974"/>
    <w:rsid w:val="779A6594"/>
    <w:rsid w:val="77A862CC"/>
    <w:rsid w:val="78A85CB7"/>
    <w:rsid w:val="78D0234D"/>
    <w:rsid w:val="79626D42"/>
    <w:rsid w:val="79E81839"/>
    <w:rsid w:val="7B3A4316"/>
    <w:rsid w:val="7C8F243F"/>
    <w:rsid w:val="7CB6499D"/>
    <w:rsid w:val="7CF6426C"/>
    <w:rsid w:val="7D3905FD"/>
    <w:rsid w:val="7E5A7C2E"/>
    <w:rsid w:val="7F0A68E2"/>
    <w:rsid w:val="7F53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paragraph" w:styleId="2">
    <w:name w:val="heading 3"/>
    <w:basedOn w:val="1"/>
    <w:next w:val="1"/>
    <w:autoRedefine/>
    <w:unhideWhenUsed/>
    <w:qFormat/>
    <w:uiPriority w:val="9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chart" Target="charts/chart3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4" Type="http://schemas.microsoft.com/office/2011/relationships/chartColorStyle" Target="colors1.xml"/><Relationship Id="rId3" Type="http://schemas.microsoft.com/office/2011/relationships/chartStyle" Target="style1.xml"/><Relationship Id="rId2" Type="http://schemas.openxmlformats.org/officeDocument/2006/relationships/themeOverride" Target="../theme/themeOverrid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3.xlsx"/></Relationships>
</file>

<file path=word/charts/_rels/chart3.xml.rels><?xml version="1.0" encoding="UTF-8" standalone="yes"?>
<Relationships xmlns="http://schemas.openxmlformats.org/package/2006/relationships"><Relationship Id="rId6" Type="http://schemas.openxmlformats.org/officeDocument/2006/relationships/image" Target="../media/image4.png"/><Relationship Id="rId5" Type="http://schemas.openxmlformats.org/officeDocument/2006/relationships/image" Target="../media/image3.png"/><Relationship Id="rId4" Type="http://schemas.openxmlformats.org/officeDocument/2006/relationships/image" Target="../media/image2.png"/><Relationship Id="rId3" Type="http://schemas.openxmlformats.org/officeDocument/2006/relationships/image" Target="../media/image1.png"/><Relationship Id="rId2" Type="http://schemas.openxmlformats.org/officeDocument/2006/relationships/themeOverride" Target="../theme/themeOverrid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0" i="0" u="none" strike="noStrike" kern="1200" spc="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r>
              <a:t>政务公开新媒体发布</a:t>
            </a:r>
          </a:p>
        </c:rich>
      </c:tx>
      <c:layout>
        <c:manualLayout>
          <c:xMode val="edge"/>
          <c:yMode val="edge"/>
          <c:x val="0.34646049770476"/>
          <c:y val="0.0350616234594135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政务公开新媒体发布</c:v>
                </c:pt>
              </c:strCache>
            </c:strRef>
          </c:tx>
          <c:spPr>
            <a:ln w="25400">
              <a:solidFill>
                <a:schemeClr val="tx1"/>
              </a:solidFill>
            </a:ln>
            <a:sp3d contourW="25400"/>
          </c:spPr>
          <c:explosion val="0"/>
          <c:dPt>
            <c:idx val="0"/>
            <c:bubble3D val="0"/>
            <c:spPr>
              <a:pattFill prst="wdUpDiag">
                <a:fgClr>
                  <a:schemeClr val="accent1"/>
                </a:fgClr>
                <a:bgClr>
                  <a:schemeClr val="accent1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1"/>
                </a:solidFill>
              </a:ln>
              <a:effectLst/>
              <a:sp3d contourW="25400"/>
            </c:spPr>
          </c:dPt>
          <c:dPt>
            <c:idx val="1"/>
            <c:bubble3D val="0"/>
            <c:explosion val="10"/>
            <c:spPr>
              <a:pattFill prst="wdUpDiag">
                <a:fgClr>
                  <a:schemeClr val="accent2"/>
                </a:fgClr>
                <a:bgClr>
                  <a:schemeClr val="accent2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2"/>
                </a:solidFill>
              </a:ln>
              <a:effectLst/>
              <a:sp3d contourW="25400"/>
            </c:spPr>
          </c:dPt>
          <c:dPt>
            <c:idx val="2"/>
            <c:bubble3D val="0"/>
            <c:spPr>
              <a:pattFill prst="wdUpDiag">
                <a:fgClr>
                  <a:schemeClr val="accent3"/>
                </a:fgClr>
                <a:bgClr>
                  <a:schemeClr val="accent3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3"/>
                </a:solidFill>
              </a:ln>
              <a:effectLst/>
              <a:sp3d contourW="25400"/>
            </c:spPr>
          </c:dPt>
          <c:dPt>
            <c:idx val="3"/>
            <c:bubble3D val="0"/>
            <c:spPr>
              <a:pattFill prst="wdUpDiag">
                <a:fgClr>
                  <a:schemeClr val="accent4"/>
                </a:fgClr>
                <a:bgClr>
                  <a:schemeClr val="accent4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4"/>
                </a:solidFill>
              </a:ln>
              <a:effectLst/>
              <a:sp3d contourW="25400"/>
            </c:spPr>
          </c:dPt>
          <c:dPt>
            <c:idx val="4"/>
            <c:bubble3D val="0"/>
            <c:spPr>
              <a:pattFill prst="wdUpDiag">
                <a:fgClr>
                  <a:schemeClr val="accent5"/>
                </a:fgClr>
                <a:bgClr>
                  <a:schemeClr val="accent5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5"/>
                </a:solidFill>
              </a:ln>
              <a:effectLst/>
              <a:sp3d contourW="25400"/>
            </c:spPr>
          </c:dPt>
          <c:dPt>
            <c:idx val="5"/>
            <c:bubble3D val="0"/>
            <c:spPr>
              <a:pattFill prst="wdUpDiag">
                <a:fgClr>
                  <a:schemeClr val="accent6"/>
                </a:fgClr>
                <a:bgClr>
                  <a:schemeClr val="accent6">
                    <a:lumMod val="20000"/>
                    <a:lumOff val="80000"/>
                  </a:schemeClr>
                </a:bgClr>
              </a:pattFill>
              <a:ln w="25400">
                <a:solidFill>
                  <a:schemeClr val="accent6"/>
                </a:solidFill>
              </a:ln>
              <a:effectLst/>
              <a:sp3d contourW="25400"/>
            </c:spPr>
          </c:dPt>
          <c:dLbls>
            <c:dLbl>
              <c:idx val="0"/>
              <c:layout/>
              <c:numFmt formatCode="General" sourceLinked="1"/>
              <c:spPr>
                <a:solidFill>
                  <a:schemeClr val="lt1"/>
                </a:solidFill>
                <a:ln w="12700">
                  <a:solidFill>
                    <a:schemeClr val="accent1"/>
                  </a:solidFill>
                </a:ln>
                <a:effectLst/>
              </c:spPr>
              <c:txPr>
                <a:bodyPr rot="0" spcFirstLastPara="0" vertOverflow="clip" horzOverflow="clip" vert="horz" wrap="square" lIns="36576" tIns="18288" rIns="36576" bIns="18288" anchor="ctr" anchorCtr="1" forceAA="0">
                  <a:spAutoFit/>
                </a:bodyPr>
                <a:lstStyle/>
                <a:p>
                  <a:pPr>
                    <a:defRPr lang="zh-CN" sz="1200" b="1" i="0" u="none" strike="noStrike" kern="1200" baseline="0">
                      <a:solidFill>
                        <a:schemeClr val="accent1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/>
              <c:numFmt formatCode="General" sourceLinked="1"/>
              <c:spPr>
                <a:solidFill>
                  <a:schemeClr val="lt1"/>
                </a:solidFill>
                <a:ln w="12700">
                  <a:solidFill>
                    <a:schemeClr val="accent2"/>
                  </a:solidFill>
                </a:ln>
                <a:effectLst/>
              </c:spPr>
              <c:txPr>
                <a:bodyPr rot="0" spcFirstLastPara="0" vertOverflow="clip" horzOverflow="clip" vert="horz" wrap="square" lIns="36576" tIns="18288" rIns="36576" bIns="18288" anchor="ctr" anchorCtr="1" forceAA="0">
                  <a:spAutoFit/>
                </a:bodyPr>
                <a:lstStyle/>
                <a:p>
                  <a:pPr>
                    <a:defRPr lang="zh-CN" sz="1200" b="1" i="0" u="none" strike="noStrike" kern="1200" baseline="0">
                      <a:solidFill>
                        <a:schemeClr val="accent2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/>
              <c:numFmt formatCode="General" sourceLinked="1"/>
              <c:spPr>
                <a:solidFill>
                  <a:schemeClr val="lt1"/>
                </a:solidFill>
                <a:ln w="12700">
                  <a:solidFill>
                    <a:schemeClr val="accent3"/>
                  </a:solidFill>
                </a:ln>
                <a:effectLst/>
              </c:spPr>
              <c:txPr>
                <a:bodyPr rot="0" spcFirstLastPara="0" vertOverflow="clip" horzOverflow="clip" vert="horz" wrap="square" lIns="36576" tIns="18288" rIns="36576" bIns="18288" anchor="ctr" anchorCtr="1" forceAA="0">
                  <a:spAutoFit/>
                </a:bodyPr>
                <a:lstStyle/>
                <a:p>
                  <a:pPr>
                    <a:defRPr lang="zh-CN" sz="1200" b="1" i="0" u="none" strike="noStrike" kern="1200" baseline="0">
                      <a:solidFill>
                        <a:schemeClr val="accent3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/>
              <c:numFmt formatCode="General" sourceLinked="1"/>
              <c:spPr>
                <a:solidFill>
                  <a:schemeClr val="lt1"/>
                </a:solidFill>
                <a:ln w="12700">
                  <a:solidFill>
                    <a:schemeClr val="accent4"/>
                  </a:solidFill>
                </a:ln>
                <a:effectLst/>
              </c:spPr>
              <c:txPr>
                <a:bodyPr rot="0" spcFirstLastPara="0" vertOverflow="clip" horzOverflow="clip" vert="horz" wrap="square" lIns="36576" tIns="18288" rIns="36576" bIns="18288" anchor="ctr" anchorCtr="1" forceAA="0">
                  <a:spAutoFit/>
                </a:bodyPr>
                <a:lstStyle/>
                <a:p>
                  <a:pPr>
                    <a:defRPr lang="zh-CN" sz="1200" b="1" i="0" u="none" strike="noStrike" kern="1200" baseline="0">
                      <a:solidFill>
                        <a:schemeClr val="accent4"/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General" sourceLinked="1"/>
            <c:spPr>
              <a:solidFill>
                <a:schemeClr val="lt1"/>
              </a:solidFill>
              <a:ln w="12700">
                <a:solidFill>
                  <a:schemeClr val="dk1">
                    <a:lumMod val="25000"/>
                    <a:lumOff val="75000"/>
                  </a:schemeClr>
                </a:solidFill>
              </a:ln>
              <a:effectLst/>
            </c:spPr>
            <c:txPr>
              <a:bodyPr rot="0" spcFirstLastPara="0" vertOverflow="clip" horzOverflow="clip" vert="horz" wrap="square" lIns="36576" tIns="18288" rIns="36576" bIns="18288" anchor="ctr" anchorCtr="1" forceAA="0">
                <a:spAutoFit/>
              </a:bodyPr>
              <a:lstStyle/>
              <a:p>
                <a:pPr>
                  <a:defRPr lang="zh-CN" sz="12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oundRect">
                    <a:avLst/>
                  </a:prstGeom>
                  <a:noFill/>
                  <a:ln>
                    <a:noFill/>
                  </a:ln>
                </c15:spPr>
                <c15:layout/>
                <c15:showLeaderLines val="0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省市级媒体客户端刊发</c:v>
                </c:pt>
                <c:pt idx="1">
                  <c:v>淄博城市管理公众号推送</c:v>
                </c:pt>
                <c:pt idx="2">
                  <c:v>县级媒体推送</c:v>
                </c:pt>
                <c:pt idx="3">
                  <c:v>沂源政务信息采用</c:v>
                </c:pt>
                <c:pt idx="4">
                  <c:v>沂源城市管理公众号推送</c:v>
                </c:pt>
                <c:pt idx="5">
                  <c:v>沂源城市管理视频号、抖音号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12</c:v>
                </c:pt>
                <c:pt idx="1">
                  <c:v>63</c:v>
                </c:pt>
                <c:pt idx="2">
                  <c:v>32</c:v>
                </c:pt>
                <c:pt idx="3">
                  <c:v>12</c:v>
                </c:pt>
                <c:pt idx="4">
                  <c:v>144</c:v>
                </c:pt>
                <c:pt idx="5">
                  <c:v>60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332"/>
      </c:pieChart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 forceAA="0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e4b4831-b08d-42dc-815d-a82b95789b1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outerShdw blurRad="63500" dist="37357" dir="2700000" sx="0" sy="0" rotWithShape="0">
        <a:scrgbClr r="0" g="0" b="0"/>
      </a:outerShdw>
    </a:effectLst>
  </c:spPr>
  <c:txPr>
    <a:bodyPr/>
    <a:lstStyle/>
    <a:p>
      <a:pPr>
        <a:defRPr lang="zh-CN" sz="1000" b="0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42474027542885"/>
          <c:y val="0.0286867828304292"/>
        </c:manualLayout>
      </c:layout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400" b="1" i="0" u="none" strike="noStrike" kern="1200" baseline="0">
              <a:solidFill>
                <a:schemeClr val="tx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政务公开网站发布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solidFill>
                  <a:schemeClr val="bg1"/>
                </a:solidFill>
              </a:ln>
              <a:effectLst/>
            </c:spPr>
          </c:dPt>
          <c:dLbls>
            <c:delete val="1"/>
          </c:dLbls>
          <c:cat>
            <c:strRef>
              <c:f>Sheet1!$A$2:$A$12</c:f>
              <c:strCache>
                <c:ptCount val="11"/>
                <c:pt idx="0">
                  <c:v>政策法规</c:v>
                </c:pt>
                <c:pt idx="1">
                  <c:v>部门会议及解读</c:v>
                </c:pt>
                <c:pt idx="2">
                  <c:v>污染防治</c:v>
                </c:pt>
                <c:pt idx="3">
                  <c:v>建议提案办理</c:v>
                </c:pt>
                <c:pt idx="4">
                  <c:v>财政信息</c:v>
                </c:pt>
                <c:pt idx="5">
                  <c:v>管理和服务公开</c:v>
                </c:pt>
                <c:pt idx="6">
                  <c:v>双随机一公开</c:v>
                </c:pt>
                <c:pt idx="7">
                  <c:v>政务公开组织领导</c:v>
                </c:pt>
                <c:pt idx="8">
                  <c:v>信息公开指南</c:v>
                </c:pt>
                <c:pt idx="9">
                  <c:v>信息公开年度报告</c:v>
                </c:pt>
                <c:pt idx="10">
                  <c:v>法制建设专栏</c:v>
                </c:pt>
              </c:strCache>
            </c:strRef>
          </c:cat>
          <c:val>
            <c:numRef>
              <c:f>Sheet1!$B$2:$B$12</c:f>
              <c:numCache>
                <c:formatCode>General</c:formatCode>
                <c:ptCount val="11"/>
                <c:pt idx="0">
                  <c:v>7</c:v>
                </c:pt>
                <c:pt idx="1">
                  <c:v>4</c:v>
                </c:pt>
                <c:pt idx="2">
                  <c:v>13</c:v>
                </c:pt>
                <c:pt idx="3">
                  <c:v>21</c:v>
                </c:pt>
                <c:pt idx="4">
                  <c:v>4</c:v>
                </c:pt>
                <c:pt idx="5">
                  <c:v>24</c:v>
                </c:pt>
                <c:pt idx="6">
                  <c:v>10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884a563f-c7cc-4912-9e98-979e039a4ca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0" vertOverflow="ellipsis" vert="horz" wrap="square" anchor="ctr" anchorCtr="1" forceAA="0"/>
          <a:lstStyle/>
          <a:p>
            <a:pPr defTabSz="914400">
              <a:defRPr lang="zh-CN"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  <a:r>
              <a:t>依申请公开数量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2"/>
          <c:order val="0"/>
          <c:tx>
            <c:strRef>
              <c:f>Sheet1!$D$1</c:f>
              <c:strCache>
                <c:ptCount val="1"/>
                <c:pt idx="0">
                  <c:v>系列 3</c:v>
                </c:pt>
              </c:strCache>
            </c:strRef>
          </c:tx>
          <c:spPr>
            <a:blipFill rotWithShape="1">
              <a:blip xmlns:r="http://schemas.openxmlformats.org/officeDocument/2006/relationships" r:embed="rId3"/>
              <a:stretch>
                <a:fillRect/>
              </a:stretch>
            </a:blipFill>
            <a:ln>
              <a:noFill/>
            </a:ln>
            <a:effectLst>
              <a:outerShdw blurRad="76200" dir="2400000" sy="23000" kx="-1200000" algn="bl" rotWithShape="0">
                <a:schemeClr val="bg1">
                  <a:lumMod val="50000"/>
                  <a:alpha val="20000"/>
                </a:scheme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blipFill rotWithShape="1">
                <a:blip xmlns:r="http://schemas.openxmlformats.org/officeDocument/2006/relationships" r:embed="rId4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Pt>
            <c:idx val="1"/>
            <c:invertIfNegative val="0"/>
            <c:bubble3D val="0"/>
            <c:spPr>
              <a:blipFill rotWithShape="1">
                <a:blip xmlns:r="http://schemas.openxmlformats.org/officeDocument/2006/relationships" r:embed="rId5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Pt>
            <c:idx val="2"/>
            <c:invertIfNegative val="0"/>
            <c:bubble3D val="0"/>
            <c:spPr>
              <a:blipFill rotWithShape="1">
                <a:blip xmlns:r="http://schemas.openxmlformats.org/officeDocument/2006/relationships" r:embed="rId6"/>
                <a:stretch>
                  <a:fillRect/>
                </a:stretch>
              </a:blipFill>
              <a:ln>
                <a:noFill/>
              </a:ln>
              <a:effectLst>
                <a:outerShdw blurRad="76200" dir="2400000" sy="23000" kx="-1200000" algn="bl" rotWithShape="0">
                  <a:schemeClr val="bg1">
                    <a:lumMod val="50000"/>
                    <a:alpha val="20000"/>
                  </a:schemeClr>
                </a:outerShdw>
              </a:effectLst>
            </c:spPr>
          </c:dPt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numFmt formatCode="General" sourceLinked="1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Sheet1!$A$3:$A$5</c:f>
              <c:strCache>
                <c:ptCount val="3"/>
                <c:pt idx="0">
                  <c:v>2022年</c:v>
                </c:pt>
                <c:pt idx="1">
                  <c:v>2023年</c:v>
                </c:pt>
                <c:pt idx="2">
                  <c:v>2024年</c:v>
                </c:pt>
              </c:strCache>
            </c:strRef>
          </c:cat>
          <c:val>
            <c:numRef>
              <c:f>Sheet1!$D$3:$D$5</c:f>
              <c:numCache>
                <c:formatCode>General</c:formatCode>
                <c:ptCount val="3"/>
                <c:pt idx="0">
                  <c:v>1</c:v>
                </c:pt>
                <c:pt idx="1">
                  <c:v>3</c:v>
                </c:pt>
                <c:pt idx="2">
                  <c:v>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0"/>
        <c:axId val="750413960"/>
        <c:axId val="560794264"/>
      </c:barChart>
      <c:catAx>
        <c:axId val="750413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 forceAA="0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微软雅黑" panose="020B0503020204020204" charset="-122"/>
                <a:ea typeface="微软雅黑" panose="020B0503020204020204" charset="-122"/>
                <a:cs typeface="微软雅黑" panose="020B0503020204020204" charset="-122"/>
                <a:sym typeface="微软雅黑" panose="020B0503020204020204" charset="-122"/>
              </a:defRPr>
            </a:pPr>
          </a:p>
        </c:txPr>
        <c:crossAx val="560794264"/>
        <c:crosses val="autoZero"/>
        <c:auto val="1"/>
        <c:lblAlgn val="ctr"/>
        <c:lblOffset val="100"/>
        <c:noMultiLvlLbl val="0"/>
      </c:catAx>
      <c:valAx>
        <c:axId val="560794264"/>
        <c:scaling>
          <c:orientation val="minMax"/>
          <c:max val="4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title>
          <c:layout/>
          <c:overlay val="0"/>
          <c:spPr>
            <a:noFill/>
            <a:ln>
              <a:noFill/>
            </a:ln>
            <a:effectLst/>
          </c:spPr>
          <c:tx>
            <c:rich>
              <a:bodyPr/>
              <a:lstStyle/>
              <a:p>
                <a:pPr>
                  <a:defRPr/>
                </a:pPr>
              </a:p>
            </c:rich>
          </c:tx>
        </c:title>
        <c:numFmt formatCode="General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50413960"/>
        <c:crosses val="autoZero"/>
        <c:crossBetween val="between"/>
        <c:majorUnit val="1"/>
        <c:minorUnit val="1"/>
      </c:valAx>
      <c:spPr>
        <a:noFill/>
        <a:ln w="3175">
          <a:solidFill>
            <a:schemeClr val="bg1">
              <a:lumMod val="95000"/>
            </a:schemeClr>
          </a:solidFill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fbbadccd-e4ae-4f28-95e6-c83c6b80134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1008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solidFill>
          <a:schemeClr val="bg1"/>
        </a:soli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自定义 19">
    <a:dk1>
      <a:srgbClr val="000000"/>
    </a:dk1>
    <a:lt1>
      <a:srgbClr val="FFFFFF"/>
    </a:lt1>
    <a:dk2>
      <a:srgbClr val="0C0E1F"/>
    </a:dk2>
    <a:lt2>
      <a:srgbClr val="FEFFFF"/>
    </a:lt2>
    <a:accent1>
      <a:srgbClr val="FEB348"/>
    </a:accent1>
    <a:accent2>
      <a:srgbClr val="FE7B48"/>
    </a:accent2>
    <a:accent3>
      <a:srgbClr val="5FB6FF"/>
    </a:accent3>
    <a:accent4>
      <a:srgbClr val="F08BB4"/>
    </a:accent4>
    <a:accent5>
      <a:srgbClr val="4165FF"/>
    </a:accent5>
    <a:accent6>
      <a:srgbClr val="48C8AC"/>
    </a:accent6>
    <a:hlink>
      <a:srgbClr val="304FFE"/>
    </a:hlink>
    <a:folHlink>
      <a:srgbClr val="492067"/>
    </a:folHlink>
  </a:clrScheme>
  <a:fontScheme name="自定义 2">
    <a:majorFont>
      <a:latin typeface="微软雅黑"/>
      <a:ea typeface="微软雅黑"/>
      <a:cs typeface=""/>
    </a:majorFont>
    <a:minorFont>
      <a:latin typeface="微软雅黑"/>
      <a:ea typeface="微软雅黑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2662</Words>
  <Characters>2779</Characters>
  <Lines>0</Lines>
  <Paragraphs>0</Paragraphs>
  <TotalTime>18</TotalTime>
  <ScaleCrop>false</ScaleCrop>
  <LinksUpToDate>false</LinksUpToDate>
  <CharactersWithSpaces>2808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2023-01-16T07:23:00Z</dcterms:created>
  <dc:creator>Administrator</dc:creator>
  <cp:lastModifiedBy>然</cp:lastModifiedBy>
  <dcterms:modified xsi:type="dcterms:W3CDTF">2025-01-16T02:25:17Z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A419EC7B70C043FE8D2B7D152A069154_13</vt:lpwstr>
  </property>
  <property fmtid="{D5CDD505-2E9C-101B-9397-08002B2CF9AE}" pid="4" name="KSOTemplateDocerSaveRecord">
    <vt:lpwstr>eyJoZGlkIjoiMDg3MzYzZGZmMmU1ZDJkOGRjNDAxZmVhMmZjNGU0Y2IiLCJ1c2VySWQiOiIyMDY3MzEzMjIifQ==</vt:lpwstr>
  </property>
</Properties>
</file>