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bidi w:val="0"/>
        <w:adjustRightInd/>
        <w:snapToGrid/>
        <w:spacing w:beforeAutospacing="0" w:afterAutospacing="0" w:line="560" w:lineRule="exact"/>
        <w:ind w:left="0" w:leftChars="0" w:right="0"/>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沂源县综合行政执法局</w:t>
      </w:r>
    </w:p>
    <w:p>
      <w:pPr>
        <w:keepNext w:val="0"/>
        <w:keepLines w:val="0"/>
        <w:pageBreakBefore w:val="0"/>
        <w:widowControl w:val="0"/>
        <w:numPr>
          <w:ilvl w:val="0"/>
          <w:numId w:val="0"/>
        </w:numPr>
        <w:kinsoku/>
        <w:wordWrap/>
        <w:overflowPunct/>
        <w:topLinePunct w:val="0"/>
        <w:bidi w:val="0"/>
        <w:adjustRightInd/>
        <w:snapToGrid/>
        <w:spacing w:beforeAutospacing="0" w:afterAutospacing="0" w:line="560" w:lineRule="exact"/>
        <w:ind w:left="0" w:leftChars="0" w:right="0"/>
        <w:jc w:val="center"/>
        <w:textAlignment w:val="auto"/>
        <w:rPr>
          <w:rFonts w:hint="default" w:ascii="Times New Roman" w:hAnsi="Times New Roman" w:eastAsia="方正小标宋简体" w:cs="Times New Roman"/>
          <w:b w:val="0"/>
          <w:bCs w:val="0"/>
          <w:color w:val="auto"/>
          <w:sz w:val="44"/>
          <w:szCs w:val="44"/>
          <w:lang w:val="en-US"/>
        </w:rPr>
      </w:pPr>
      <w:r>
        <w:rPr>
          <w:rFonts w:hint="default" w:ascii="Times New Roman" w:hAnsi="Times New Roman" w:eastAsia="方正小标宋简体" w:cs="Times New Roman"/>
          <w:b w:val="0"/>
          <w:bCs w:val="0"/>
          <w:color w:val="auto"/>
          <w:sz w:val="44"/>
          <w:szCs w:val="44"/>
          <w:lang w:val="en-US"/>
        </w:rPr>
        <w:t>202</w:t>
      </w:r>
      <w:r>
        <w:rPr>
          <w:rFonts w:hint="eastAsia" w:ascii="Times New Roman" w:hAnsi="Times New Roman" w:eastAsia="方正小标宋简体" w:cs="Times New Roman"/>
          <w:b w:val="0"/>
          <w:bCs w:val="0"/>
          <w:color w:val="auto"/>
          <w:sz w:val="44"/>
          <w:szCs w:val="44"/>
          <w:lang w:val="en-US" w:eastAsia="zh-CN"/>
        </w:rPr>
        <w:t>3</w:t>
      </w:r>
      <w:r>
        <w:rPr>
          <w:rFonts w:hint="default" w:ascii="Times New Roman" w:hAnsi="Times New Roman" w:eastAsia="方正小标宋简体" w:cs="Times New Roman"/>
          <w:b w:val="0"/>
          <w:bCs w:val="0"/>
          <w:color w:val="auto"/>
          <w:sz w:val="44"/>
          <w:szCs w:val="44"/>
          <w:lang w:val="en-US" w:eastAsia="zh-CN"/>
        </w:rPr>
        <w:t>年</w:t>
      </w:r>
      <w:r>
        <w:rPr>
          <w:rFonts w:hint="default" w:ascii="Times New Roman" w:hAnsi="Times New Roman" w:eastAsia="方正小标宋简体" w:cs="Times New Roman"/>
          <w:b w:val="0"/>
          <w:bCs w:val="0"/>
          <w:color w:val="auto"/>
          <w:sz w:val="44"/>
          <w:szCs w:val="44"/>
          <w:lang w:val="en-US"/>
        </w:rPr>
        <w:t>政府信息公开工作年度报告</w:t>
      </w:r>
    </w:p>
    <w:p>
      <w:pPr>
        <w:keepNext w:val="0"/>
        <w:keepLines w:val="0"/>
        <w:pageBreakBefore w:val="0"/>
        <w:widowControl w:val="0"/>
        <w:kinsoku/>
        <w:wordWrap/>
        <w:overflowPunct/>
        <w:topLinePunct w:val="0"/>
        <w:bidi w:val="0"/>
        <w:adjustRightInd/>
        <w:snapToGrid/>
        <w:spacing w:beforeAutospacing="0" w:afterAutospacing="0" w:line="560" w:lineRule="exact"/>
        <w:ind w:left="0" w:leftChars="0" w:right="0"/>
        <w:textAlignment w:val="auto"/>
        <w:rPr>
          <w:rFonts w:hint="default" w:ascii="Times New Roman" w:hAnsi="Times New Roman" w:cs="Times New Roman"/>
          <w:color w:val="auto"/>
        </w:rPr>
      </w:pPr>
    </w:p>
    <w:p>
      <w:pPr>
        <w:keepNext w:val="0"/>
        <w:keepLines w:val="0"/>
        <w:pageBreakBefore w:val="0"/>
        <w:kinsoku/>
        <w:wordWrap/>
        <w:overflowPunct/>
        <w:topLinePunct w:val="0"/>
        <w:bidi w:val="0"/>
        <w:adjustRightInd/>
        <w:snapToGrid/>
        <w:spacing w:beforeAutospacing="0" w:afterAutospacing="0" w:line="560" w:lineRule="exact"/>
        <w:ind w:leftChars="0"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本报告中所列数据的统计期限为202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年1月1日起至202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年12月31日。如对报告内容有疑问，请与沂源县综合行政执法局联系（地址：沂源县荆山路139号；邮编：256100；电话：2920516；邮箱</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yiyuanzhxzzfj@zb.shandong.cn）。</w:t>
      </w:r>
    </w:p>
    <w:p>
      <w:pPr>
        <w:pStyle w:val="2"/>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黑体" w:cs="Times New Roman"/>
          <w:b w:val="0"/>
          <w:bCs w:val="0"/>
          <w:i w:val="0"/>
          <w:caps w:val="0"/>
          <w:color w:val="auto"/>
          <w:spacing w:val="0"/>
          <w:sz w:val="32"/>
          <w:szCs w:val="32"/>
          <w:shd w:val="clear" w:fill="FFFFFF"/>
          <w:lang w:eastAsia="zh-CN"/>
        </w:rPr>
      </w:pPr>
      <w:r>
        <w:rPr>
          <w:rFonts w:hint="default" w:ascii="Times New Roman" w:hAnsi="Times New Roman" w:eastAsia="黑体" w:cs="Times New Roman"/>
          <w:b w:val="0"/>
          <w:bCs w:val="0"/>
          <w:i w:val="0"/>
          <w:caps w:val="0"/>
          <w:color w:val="auto"/>
          <w:spacing w:val="0"/>
          <w:sz w:val="32"/>
          <w:szCs w:val="32"/>
          <w:shd w:val="clear" w:fill="FFFFFF"/>
          <w:lang w:eastAsia="zh-CN"/>
        </w:rPr>
        <w:t>一、总体情况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textAlignment w:val="baseline"/>
        <w:rPr>
          <w:rFonts w:hint="default" w:ascii="Times New Roman" w:hAnsi="Times New Roman" w:eastAsia="仿宋_GB2312" w:cs="Times New Roman"/>
          <w:i w:val="0"/>
          <w:caps w:val="0"/>
          <w:color w:val="auto"/>
          <w:spacing w:val="0"/>
          <w:sz w:val="32"/>
          <w:szCs w:val="32"/>
          <w:lang w:val="en-US" w:eastAsia="zh-CN"/>
        </w:rPr>
      </w:pPr>
      <w:r>
        <w:rPr>
          <w:rFonts w:hint="eastAsia" w:ascii="Times New Roman" w:hAnsi="Times New Roman" w:eastAsia="仿宋_GB2312" w:cs="Times New Roman"/>
          <w:spacing w:val="0"/>
          <w:kern w:val="0"/>
          <w:sz w:val="32"/>
          <w:szCs w:val="32"/>
          <w:lang w:val="en-US" w:eastAsia="zh-CN" w:bidi="zh-CN"/>
        </w:rPr>
        <w:t>2023年县综合行政执法局在县委、县政府的正确领导下，严格落实《中华人民共和国政府信息公开条例》，聚焦城市管理重点工作，</w:t>
      </w:r>
      <w:r>
        <w:rPr>
          <w:rFonts w:hint="default" w:ascii="Times New Roman" w:hAnsi="Times New Roman" w:eastAsia="仿宋_GB2312" w:cs="Times New Roman"/>
          <w:spacing w:val="0"/>
          <w:kern w:val="0"/>
          <w:sz w:val="32"/>
          <w:szCs w:val="32"/>
          <w:lang w:val="en-US" w:eastAsia="zh-CN" w:bidi="zh-CN"/>
        </w:rPr>
        <w:t>进一步健全城市管理系统政府信息公开工作的体制机制建设，加强组织领导，完善信息公开程序，不断深化公开内容，</w:t>
      </w:r>
      <w:r>
        <w:rPr>
          <w:rFonts w:hint="eastAsia" w:ascii="Times New Roman" w:hAnsi="Times New Roman" w:eastAsia="仿宋_GB2312" w:cs="Times New Roman"/>
          <w:spacing w:val="0"/>
          <w:kern w:val="0"/>
          <w:sz w:val="32"/>
          <w:szCs w:val="32"/>
          <w:lang w:val="en-US" w:eastAsia="zh-CN" w:bidi="zh-CN"/>
        </w:rPr>
        <w:t>提高</w:t>
      </w:r>
      <w:r>
        <w:rPr>
          <w:rFonts w:hint="default" w:ascii="Times New Roman" w:hAnsi="Times New Roman" w:eastAsia="仿宋_GB2312" w:cs="Times New Roman"/>
          <w:spacing w:val="0"/>
          <w:kern w:val="0"/>
          <w:sz w:val="32"/>
          <w:szCs w:val="32"/>
          <w:lang w:val="en-US" w:eastAsia="zh-CN" w:bidi="zh-CN"/>
        </w:rPr>
        <w:t>城市管理工作的透明度和公信力，</w:t>
      </w:r>
      <w:r>
        <w:rPr>
          <w:rFonts w:hint="eastAsia" w:ascii="Times New Roman" w:hAnsi="Times New Roman" w:eastAsia="仿宋_GB2312" w:cs="Times New Roman"/>
          <w:spacing w:val="0"/>
          <w:kern w:val="0"/>
          <w:sz w:val="32"/>
          <w:szCs w:val="32"/>
          <w:lang w:val="en-US" w:eastAsia="zh-CN" w:bidi="zh-CN"/>
        </w:rPr>
        <w:t>切实保障人民群众的知情权、参与权、表达权和监督权。</w:t>
      </w:r>
    </w:p>
    <w:p>
      <w:pPr>
        <w:pStyle w:val="5"/>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eastAsia" w:ascii="Times New Roman" w:hAnsi="Times New Roman" w:eastAsia="楷体_GB2312" w:cs="Times New Roman"/>
          <w:b w:val="0"/>
          <w:bCs w:val="0"/>
          <w:kern w:val="0"/>
          <w:sz w:val="32"/>
          <w:szCs w:val="32"/>
          <w:lang w:val="en-US" w:eastAsia="zh-CN" w:bidi="ar"/>
        </w:rPr>
        <w:t>（一）</w:t>
      </w:r>
      <w:r>
        <w:rPr>
          <w:rFonts w:hint="default" w:ascii="Times New Roman" w:hAnsi="Times New Roman" w:eastAsia="楷体_GB2312" w:cs="Times New Roman"/>
          <w:b w:val="0"/>
          <w:bCs w:val="0"/>
          <w:sz w:val="32"/>
          <w:szCs w:val="32"/>
          <w:lang w:val="en-US" w:eastAsia="zh-CN"/>
        </w:rPr>
        <w:t>主动公开内容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textAlignment w:val="baseline"/>
        <w:rPr>
          <w:rFonts w:hint="default" w:ascii="Times New Roman" w:hAnsi="Times New Roman" w:eastAsia="仿宋_GB2312" w:cs="Times New Roman"/>
          <w:spacing w:val="0"/>
          <w:kern w:val="0"/>
          <w:sz w:val="32"/>
          <w:szCs w:val="32"/>
          <w:lang w:val="en-US" w:eastAsia="zh-CN" w:bidi="zh-CN"/>
        </w:rPr>
      </w:pPr>
      <w:r>
        <w:rPr>
          <w:rFonts w:hint="default" w:ascii="Times New Roman" w:hAnsi="Times New Roman" w:eastAsia="仿宋_GB2312" w:cs="Times New Roman"/>
          <w:spacing w:val="0"/>
          <w:kern w:val="0"/>
          <w:sz w:val="32"/>
          <w:szCs w:val="32"/>
          <w:lang w:val="en-US" w:eastAsia="zh-CN" w:bidi="zh-CN"/>
        </w:rPr>
        <w:t>202</w:t>
      </w:r>
      <w:r>
        <w:rPr>
          <w:rFonts w:hint="eastAsia" w:ascii="Times New Roman" w:hAnsi="Times New Roman" w:eastAsia="仿宋_GB2312" w:cs="Times New Roman"/>
          <w:spacing w:val="0"/>
          <w:kern w:val="0"/>
          <w:sz w:val="32"/>
          <w:szCs w:val="32"/>
          <w:lang w:val="en-US" w:eastAsia="zh-CN" w:bidi="zh-CN"/>
        </w:rPr>
        <w:t>3</w:t>
      </w:r>
      <w:r>
        <w:rPr>
          <w:rFonts w:hint="default" w:ascii="Times New Roman" w:hAnsi="Times New Roman" w:eastAsia="仿宋_GB2312" w:cs="Times New Roman"/>
          <w:spacing w:val="0"/>
          <w:kern w:val="0"/>
          <w:sz w:val="32"/>
          <w:szCs w:val="32"/>
          <w:lang w:val="en-US" w:eastAsia="zh-CN" w:bidi="zh-CN"/>
        </w:rPr>
        <w:t>年，县</w:t>
      </w:r>
      <w:r>
        <w:rPr>
          <w:rFonts w:hint="eastAsia" w:ascii="Times New Roman" w:hAnsi="Times New Roman" w:eastAsia="仿宋_GB2312" w:cs="Times New Roman"/>
          <w:spacing w:val="0"/>
          <w:kern w:val="0"/>
          <w:sz w:val="32"/>
          <w:szCs w:val="32"/>
          <w:lang w:val="en-US" w:eastAsia="zh-CN" w:bidi="zh-CN"/>
        </w:rPr>
        <w:t>综合行政执法局</w:t>
      </w:r>
      <w:r>
        <w:rPr>
          <w:rFonts w:hint="default" w:ascii="Times New Roman" w:hAnsi="Times New Roman" w:eastAsia="仿宋_GB2312" w:cs="Times New Roman"/>
          <w:spacing w:val="0"/>
          <w:kern w:val="0"/>
          <w:sz w:val="32"/>
          <w:szCs w:val="32"/>
          <w:lang w:val="en-US" w:eastAsia="zh-CN" w:bidi="zh-CN"/>
        </w:rPr>
        <w:t>累计主动公开政府信息</w:t>
      </w:r>
      <w:r>
        <w:rPr>
          <w:rFonts w:hint="eastAsia" w:ascii="Times New Roman" w:hAnsi="Times New Roman" w:eastAsia="仿宋_GB2312" w:cs="Times New Roman"/>
          <w:spacing w:val="0"/>
          <w:kern w:val="0"/>
          <w:sz w:val="32"/>
          <w:szCs w:val="32"/>
          <w:lang w:val="en-US" w:eastAsia="zh-CN" w:bidi="zh-CN"/>
        </w:rPr>
        <w:t>175</w:t>
      </w:r>
      <w:r>
        <w:rPr>
          <w:rFonts w:hint="default" w:ascii="Times New Roman" w:hAnsi="Times New Roman" w:eastAsia="仿宋_GB2312" w:cs="Times New Roman"/>
          <w:spacing w:val="0"/>
          <w:kern w:val="0"/>
          <w:sz w:val="32"/>
          <w:szCs w:val="32"/>
          <w:lang w:val="en-US" w:eastAsia="zh-CN" w:bidi="zh-CN"/>
        </w:rPr>
        <w:t>条，其中，机构职能</w:t>
      </w:r>
      <w:r>
        <w:rPr>
          <w:rFonts w:hint="eastAsia" w:ascii="Times New Roman" w:hAnsi="Times New Roman" w:eastAsia="仿宋_GB2312" w:cs="Times New Roman"/>
          <w:spacing w:val="0"/>
          <w:kern w:val="0"/>
          <w:sz w:val="32"/>
          <w:szCs w:val="32"/>
          <w:lang w:val="en-US" w:eastAsia="zh-CN" w:bidi="zh-CN"/>
        </w:rPr>
        <w:t>2</w:t>
      </w:r>
      <w:r>
        <w:rPr>
          <w:rFonts w:hint="default" w:ascii="Times New Roman" w:hAnsi="Times New Roman" w:eastAsia="仿宋_GB2312" w:cs="Times New Roman"/>
          <w:spacing w:val="0"/>
          <w:kern w:val="0"/>
          <w:sz w:val="32"/>
          <w:szCs w:val="32"/>
          <w:lang w:val="en-US" w:eastAsia="zh-CN" w:bidi="zh-CN"/>
        </w:rPr>
        <w:t>条，政策法规</w:t>
      </w:r>
      <w:r>
        <w:rPr>
          <w:rFonts w:hint="eastAsia" w:ascii="Times New Roman" w:hAnsi="Times New Roman" w:eastAsia="仿宋_GB2312" w:cs="Times New Roman"/>
          <w:spacing w:val="0"/>
          <w:kern w:val="0"/>
          <w:sz w:val="32"/>
          <w:szCs w:val="32"/>
          <w:lang w:val="en-US" w:eastAsia="zh-CN" w:bidi="zh-CN"/>
        </w:rPr>
        <w:t>9</w:t>
      </w:r>
      <w:r>
        <w:rPr>
          <w:rFonts w:hint="default" w:ascii="Times New Roman" w:hAnsi="Times New Roman" w:eastAsia="仿宋_GB2312" w:cs="Times New Roman"/>
          <w:spacing w:val="0"/>
          <w:kern w:val="0"/>
          <w:sz w:val="32"/>
          <w:szCs w:val="32"/>
          <w:lang w:val="en-US" w:eastAsia="zh-CN" w:bidi="zh-CN"/>
        </w:rPr>
        <w:t>条，部门会议及解读</w:t>
      </w:r>
      <w:r>
        <w:rPr>
          <w:rFonts w:hint="eastAsia" w:ascii="Times New Roman" w:hAnsi="Times New Roman" w:eastAsia="仿宋_GB2312" w:cs="Times New Roman"/>
          <w:spacing w:val="0"/>
          <w:kern w:val="0"/>
          <w:sz w:val="32"/>
          <w:szCs w:val="32"/>
          <w:lang w:val="en-US" w:eastAsia="zh-CN" w:bidi="zh-CN"/>
        </w:rPr>
        <w:t>17</w:t>
      </w:r>
      <w:r>
        <w:rPr>
          <w:rFonts w:hint="default" w:ascii="Times New Roman" w:hAnsi="Times New Roman" w:eastAsia="仿宋_GB2312" w:cs="Times New Roman"/>
          <w:spacing w:val="0"/>
          <w:kern w:val="0"/>
          <w:sz w:val="32"/>
          <w:szCs w:val="32"/>
          <w:lang w:val="en-US" w:eastAsia="zh-CN" w:bidi="zh-CN"/>
        </w:rPr>
        <w:t>条，</w:t>
      </w:r>
      <w:r>
        <w:rPr>
          <w:rFonts w:hint="eastAsia" w:ascii="Times New Roman" w:hAnsi="Times New Roman" w:eastAsia="仿宋_GB2312" w:cs="Times New Roman"/>
          <w:spacing w:val="0"/>
          <w:kern w:val="0"/>
          <w:sz w:val="32"/>
          <w:szCs w:val="32"/>
          <w:lang w:val="en-US" w:eastAsia="zh-CN" w:bidi="zh-CN"/>
        </w:rPr>
        <w:t>规划计划2条，污染防治17条，</w:t>
      </w:r>
      <w:r>
        <w:rPr>
          <w:rFonts w:hint="default" w:ascii="Times New Roman" w:hAnsi="Times New Roman" w:eastAsia="仿宋_GB2312" w:cs="Times New Roman"/>
          <w:spacing w:val="0"/>
          <w:kern w:val="0"/>
          <w:sz w:val="32"/>
          <w:szCs w:val="32"/>
          <w:lang w:val="en-US" w:eastAsia="zh-CN" w:bidi="zh-CN"/>
        </w:rPr>
        <w:t>建议提案办理2</w:t>
      </w:r>
      <w:r>
        <w:rPr>
          <w:rFonts w:hint="eastAsia" w:ascii="Times New Roman" w:hAnsi="Times New Roman" w:eastAsia="仿宋_GB2312" w:cs="Times New Roman"/>
          <w:spacing w:val="0"/>
          <w:kern w:val="0"/>
          <w:sz w:val="32"/>
          <w:szCs w:val="32"/>
          <w:lang w:val="en-US" w:eastAsia="zh-CN" w:bidi="zh-CN"/>
        </w:rPr>
        <w:t>2</w:t>
      </w:r>
      <w:r>
        <w:rPr>
          <w:rFonts w:hint="default" w:ascii="Times New Roman" w:hAnsi="Times New Roman" w:eastAsia="仿宋_GB2312" w:cs="Times New Roman"/>
          <w:spacing w:val="0"/>
          <w:kern w:val="0"/>
          <w:sz w:val="32"/>
          <w:szCs w:val="32"/>
          <w:lang w:val="en-US" w:eastAsia="zh-CN" w:bidi="zh-CN"/>
        </w:rPr>
        <w:t>条，财政信息</w:t>
      </w:r>
      <w:r>
        <w:rPr>
          <w:rFonts w:hint="eastAsia" w:ascii="Times New Roman" w:hAnsi="Times New Roman" w:eastAsia="仿宋_GB2312" w:cs="Times New Roman"/>
          <w:spacing w:val="0"/>
          <w:kern w:val="0"/>
          <w:sz w:val="32"/>
          <w:szCs w:val="32"/>
          <w:lang w:val="en-US" w:eastAsia="zh-CN" w:bidi="zh-CN"/>
        </w:rPr>
        <w:t>4</w:t>
      </w:r>
      <w:r>
        <w:rPr>
          <w:rFonts w:hint="default" w:ascii="Times New Roman" w:hAnsi="Times New Roman" w:eastAsia="仿宋_GB2312" w:cs="Times New Roman"/>
          <w:spacing w:val="0"/>
          <w:kern w:val="0"/>
          <w:sz w:val="32"/>
          <w:szCs w:val="32"/>
          <w:lang w:val="en-US" w:eastAsia="zh-CN" w:bidi="zh-CN"/>
        </w:rPr>
        <w:t>条，</w:t>
      </w:r>
      <w:r>
        <w:rPr>
          <w:rFonts w:hint="eastAsia" w:ascii="Times New Roman" w:hAnsi="Times New Roman" w:eastAsia="仿宋_GB2312" w:cs="Times New Roman"/>
          <w:spacing w:val="0"/>
          <w:kern w:val="0"/>
          <w:sz w:val="32"/>
          <w:szCs w:val="32"/>
          <w:lang w:val="en-US" w:eastAsia="zh-CN" w:bidi="zh-CN"/>
        </w:rPr>
        <w:t>管理和服务公开69条，</w:t>
      </w:r>
      <w:bookmarkStart w:id="0" w:name="_GoBack"/>
      <w:bookmarkEnd w:id="0"/>
      <w:r>
        <w:rPr>
          <w:rFonts w:hint="eastAsia" w:ascii="Times New Roman" w:hAnsi="Times New Roman" w:eastAsia="仿宋_GB2312" w:cs="Times New Roman"/>
          <w:spacing w:val="0"/>
          <w:kern w:val="0"/>
          <w:sz w:val="32"/>
          <w:szCs w:val="32"/>
          <w:lang w:val="en-US" w:eastAsia="zh-CN" w:bidi="zh-CN"/>
        </w:rPr>
        <w:t>“双随机、一公开”12条；</w:t>
      </w:r>
      <w:r>
        <w:rPr>
          <w:rFonts w:hint="default" w:ascii="Times New Roman" w:hAnsi="Times New Roman" w:eastAsia="仿宋_GB2312" w:cs="Times New Roman"/>
          <w:spacing w:val="0"/>
          <w:kern w:val="0"/>
          <w:sz w:val="32"/>
          <w:szCs w:val="32"/>
          <w:lang w:val="en-US" w:eastAsia="zh-CN" w:bidi="zh-CN"/>
        </w:rPr>
        <w:t>政务公开组织领导</w:t>
      </w:r>
      <w:r>
        <w:rPr>
          <w:rFonts w:hint="eastAsia" w:ascii="Times New Roman" w:hAnsi="Times New Roman" w:eastAsia="仿宋_GB2312" w:cs="Times New Roman"/>
          <w:spacing w:val="0"/>
          <w:kern w:val="0"/>
          <w:sz w:val="32"/>
          <w:szCs w:val="32"/>
          <w:lang w:val="en-US" w:eastAsia="zh-CN" w:bidi="zh-CN"/>
        </w:rPr>
        <w:t>4</w:t>
      </w:r>
      <w:r>
        <w:rPr>
          <w:rFonts w:hint="default" w:ascii="Times New Roman" w:hAnsi="Times New Roman" w:eastAsia="仿宋_GB2312" w:cs="Times New Roman"/>
          <w:spacing w:val="0"/>
          <w:kern w:val="0"/>
          <w:sz w:val="32"/>
          <w:szCs w:val="32"/>
          <w:lang w:val="en-US" w:eastAsia="zh-CN" w:bidi="zh-CN"/>
        </w:rPr>
        <w:t>条，信息公开指南1条，信息公开年度报告1条，政务公开培训</w:t>
      </w:r>
      <w:r>
        <w:rPr>
          <w:rFonts w:hint="eastAsia" w:ascii="Times New Roman" w:hAnsi="Times New Roman" w:eastAsia="仿宋_GB2312" w:cs="Times New Roman"/>
          <w:spacing w:val="0"/>
          <w:kern w:val="0"/>
          <w:sz w:val="32"/>
          <w:szCs w:val="32"/>
          <w:lang w:val="en-US" w:eastAsia="zh-CN" w:bidi="zh-CN"/>
        </w:rPr>
        <w:t>2</w:t>
      </w:r>
      <w:r>
        <w:rPr>
          <w:rFonts w:hint="default" w:ascii="Times New Roman" w:hAnsi="Times New Roman" w:eastAsia="仿宋_GB2312" w:cs="Times New Roman"/>
          <w:spacing w:val="0"/>
          <w:kern w:val="0"/>
          <w:sz w:val="32"/>
          <w:szCs w:val="32"/>
          <w:lang w:val="en-US" w:eastAsia="zh-CN" w:bidi="zh-CN"/>
        </w:rPr>
        <w:t>条，政务公开工作推进</w:t>
      </w:r>
      <w:r>
        <w:rPr>
          <w:rFonts w:hint="eastAsia" w:ascii="Times New Roman" w:hAnsi="Times New Roman" w:eastAsia="仿宋_GB2312" w:cs="Times New Roman"/>
          <w:spacing w:val="0"/>
          <w:kern w:val="0"/>
          <w:sz w:val="32"/>
          <w:szCs w:val="32"/>
          <w:lang w:val="en-US" w:eastAsia="zh-CN" w:bidi="zh-CN"/>
        </w:rPr>
        <w:t>7</w:t>
      </w:r>
      <w:r>
        <w:rPr>
          <w:rFonts w:hint="default" w:ascii="Times New Roman" w:hAnsi="Times New Roman" w:eastAsia="仿宋_GB2312" w:cs="Times New Roman"/>
          <w:spacing w:val="0"/>
          <w:kern w:val="0"/>
          <w:sz w:val="32"/>
          <w:szCs w:val="32"/>
          <w:lang w:val="en-US" w:eastAsia="zh-CN" w:bidi="zh-CN"/>
        </w:rPr>
        <w:t>条，法制建设专栏</w:t>
      </w:r>
      <w:r>
        <w:rPr>
          <w:rFonts w:hint="eastAsia" w:ascii="Times New Roman" w:hAnsi="Times New Roman" w:eastAsia="仿宋_GB2312" w:cs="Times New Roman"/>
          <w:spacing w:val="0"/>
          <w:kern w:val="0"/>
          <w:sz w:val="32"/>
          <w:szCs w:val="32"/>
          <w:lang w:val="en-US" w:eastAsia="zh-CN" w:bidi="zh-CN"/>
        </w:rPr>
        <w:t>6</w:t>
      </w:r>
      <w:r>
        <w:rPr>
          <w:rFonts w:hint="default" w:ascii="Times New Roman" w:hAnsi="Times New Roman" w:eastAsia="仿宋_GB2312" w:cs="Times New Roman"/>
          <w:spacing w:val="0"/>
          <w:kern w:val="0"/>
          <w:sz w:val="32"/>
          <w:szCs w:val="32"/>
          <w:lang w:val="en-US" w:eastAsia="zh-CN" w:bidi="zh-CN"/>
        </w:rPr>
        <w:t>条。</w:t>
      </w:r>
    </w:p>
    <w:p>
      <w:pPr>
        <w:pStyle w:val="5"/>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kern w:val="0"/>
          <w:sz w:val="32"/>
          <w:szCs w:val="32"/>
          <w:lang w:val="en-US" w:eastAsia="zh-CN" w:bidi="zh-CN"/>
        </w:rPr>
      </w:pPr>
      <w:r>
        <w:rPr>
          <w:rFonts w:hint="default" w:ascii="Times New Roman" w:hAnsi="Times New Roman" w:eastAsia="仿宋_GB2312" w:cs="Times New Roman"/>
          <w:b w:val="0"/>
          <w:bCs w:val="0"/>
          <w:sz w:val="32"/>
          <w:szCs w:val="32"/>
        </w:rPr>
        <w:drawing>
          <wp:anchor distT="0" distB="0" distL="114300" distR="114300" simplePos="0" relativeHeight="251660288" behindDoc="0" locked="0" layoutInCell="1" allowOverlap="1">
            <wp:simplePos x="0" y="0"/>
            <wp:positionH relativeFrom="column">
              <wp:posOffset>71755</wp:posOffset>
            </wp:positionH>
            <wp:positionV relativeFrom="page">
              <wp:posOffset>3907790</wp:posOffset>
            </wp:positionV>
            <wp:extent cx="5256530" cy="2988310"/>
            <wp:effectExtent l="5080" t="4445" r="15240" b="1714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default" w:ascii="Times New Roman" w:hAnsi="Times New Roman" w:eastAsia="仿宋_GB2312" w:cs="Times New Roman"/>
          <w:kern w:val="0"/>
          <w:sz w:val="32"/>
          <w:szCs w:val="32"/>
          <w:lang w:val="en-US" w:eastAsia="zh-CN" w:bidi="zh-CN"/>
        </w:rPr>
        <w:t>2023年，</w:t>
      </w:r>
      <w:r>
        <w:rPr>
          <w:rFonts w:hint="eastAsia" w:ascii="Times New Roman" w:hAnsi="Times New Roman" w:eastAsia="仿宋_GB2312" w:cs="Times New Roman"/>
          <w:kern w:val="0"/>
          <w:sz w:val="32"/>
          <w:szCs w:val="32"/>
          <w:lang w:val="en-US" w:eastAsia="zh-CN" w:bidi="zh-CN"/>
        </w:rPr>
        <w:t>通过各类新媒体公开信息361条。其中，</w:t>
      </w:r>
      <w:r>
        <w:rPr>
          <w:rFonts w:hint="default" w:ascii="Times New Roman" w:hAnsi="Times New Roman" w:eastAsia="仿宋_GB2312" w:cs="Times New Roman"/>
          <w:kern w:val="0"/>
          <w:sz w:val="32"/>
          <w:szCs w:val="32"/>
          <w:lang w:val="en-US" w:eastAsia="zh-CN" w:bidi="zh-CN"/>
        </w:rPr>
        <w:t>大众日报、山东商报·速豹新闻、博览新闻、海报新闻、淄博学习平台等省市级媒体客户端刊发信息63篇，在淄博城市管理公众号推送信息39篇，在沂源融媒、掌上沂源等县级媒体推送视频、信息37篇，沂源政务信息采用信息12篇，在沂源城市管理公众号推送信息136篇，视频号、抖音号推送视频74期。</w:t>
      </w:r>
    </w:p>
    <w:p>
      <w:pPr>
        <w:pStyle w:val="5"/>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仿宋_GB2312" w:cs="Times New Roman"/>
          <w:kern w:val="0"/>
          <w:sz w:val="32"/>
          <w:szCs w:val="32"/>
          <w:lang w:val="en-US" w:eastAsia="zh-CN" w:bidi="zh-CN"/>
        </w:rPr>
        <w:drawing>
          <wp:anchor distT="0" distB="0" distL="114300" distR="114300" simplePos="0" relativeHeight="251661312" behindDoc="0" locked="0" layoutInCell="1" allowOverlap="1">
            <wp:simplePos x="0" y="0"/>
            <wp:positionH relativeFrom="column">
              <wp:posOffset>233680</wp:posOffset>
            </wp:positionH>
            <wp:positionV relativeFrom="page">
              <wp:posOffset>556895</wp:posOffset>
            </wp:positionV>
            <wp:extent cx="5256530" cy="2988310"/>
            <wp:effectExtent l="5080" t="4445" r="15240" b="55245"/>
            <wp:wrapSquare wrapText="bothSides"/>
            <wp:docPr id="9" name="图表 9" descr="7b0a202020202263686172745265734964223a202232303437363130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default" w:ascii="Times New Roman" w:hAnsi="Times New Roman" w:eastAsia="楷体_GB2312" w:cs="Times New Roman"/>
          <w:b w:val="0"/>
          <w:bCs w:val="0"/>
          <w:sz w:val="32"/>
          <w:szCs w:val="32"/>
          <w:lang w:val="en-US" w:eastAsia="zh-CN"/>
        </w:rPr>
        <w:t>（二）</w:t>
      </w:r>
      <w:r>
        <w:rPr>
          <w:rFonts w:hint="default" w:ascii="Times New Roman" w:hAnsi="Times New Roman" w:eastAsia="楷体_GB2312" w:cs="Times New Roman"/>
          <w:b w:val="0"/>
          <w:bCs w:val="0"/>
          <w:sz w:val="32"/>
          <w:szCs w:val="32"/>
          <w:lang w:eastAsia="zh-CN"/>
        </w:rPr>
        <w:t>依申请公开情况</w:t>
      </w:r>
    </w:p>
    <w:p>
      <w:pPr>
        <w:pStyle w:val="5"/>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收到</w:t>
      </w:r>
      <w:r>
        <w:rPr>
          <w:rFonts w:hint="default" w:ascii="Times New Roman" w:hAnsi="Times New Roman" w:eastAsia="仿宋_GB2312" w:cs="Times New Roman"/>
          <w:b w:val="0"/>
          <w:bCs w:val="0"/>
          <w:sz w:val="32"/>
          <w:szCs w:val="32"/>
          <w:lang w:eastAsia="zh-CN"/>
        </w:rPr>
        <w:t>依申请公开</w:t>
      </w:r>
      <w:r>
        <w:rPr>
          <w:rFonts w:hint="eastAsia" w:ascii="Times New Roman" w:hAnsi="Times New Roman" w:eastAsia="仿宋_GB2312" w:cs="Times New Roman"/>
          <w:b w:val="0"/>
          <w:bCs w:val="0"/>
          <w:sz w:val="32"/>
          <w:szCs w:val="32"/>
          <w:lang w:val="en-US" w:eastAsia="zh-CN"/>
        </w:rPr>
        <w:t>3件</w:t>
      </w:r>
      <w:r>
        <w:rPr>
          <w:rFonts w:hint="default" w:ascii="Times New Roman" w:hAnsi="Times New Roman" w:eastAsia="仿宋_GB2312" w:cs="Times New Roman"/>
          <w:b w:val="0"/>
          <w:bCs w:val="0"/>
          <w:sz w:val="32"/>
          <w:szCs w:val="32"/>
          <w:lang w:val="en-US" w:eastAsia="zh-CN"/>
        </w:rPr>
        <w:t>，申请人为自然人，</w:t>
      </w:r>
      <w:r>
        <w:rPr>
          <w:rFonts w:hint="eastAsia" w:ascii="仿宋_GB2312" w:hAnsi="微软雅黑" w:eastAsia="仿宋_GB2312" w:cs="仿宋_GB2312"/>
          <w:i w:val="0"/>
          <w:iCs w:val="0"/>
          <w:caps w:val="0"/>
          <w:color w:val="000000"/>
          <w:spacing w:val="0"/>
          <w:sz w:val="32"/>
          <w:szCs w:val="32"/>
          <w:vertAlign w:val="baseline"/>
        </w:rPr>
        <w:t>已按照规范格式在规定时限内进行答复，未收取信息处理费</w:t>
      </w:r>
      <w:r>
        <w:rPr>
          <w:rFonts w:hint="eastAsia" w:ascii="仿宋_GB2312" w:hAnsi="微软雅黑" w:eastAsia="仿宋_GB2312" w:cs="仿宋_GB2312"/>
          <w:i w:val="0"/>
          <w:iCs w:val="0"/>
          <w:caps w:val="0"/>
          <w:color w:val="000000"/>
          <w:spacing w:val="0"/>
          <w:sz w:val="32"/>
          <w:szCs w:val="32"/>
          <w:vertAlign w:val="baseline"/>
          <w:lang w:eastAsia="zh-CN"/>
        </w:rPr>
        <w:t>，</w:t>
      </w:r>
      <w:r>
        <w:rPr>
          <w:rFonts w:hint="eastAsia" w:ascii="Times New Roman" w:hAnsi="Times New Roman" w:eastAsia="仿宋_GB2312" w:cs="Times New Roman"/>
          <w:b w:val="0"/>
          <w:bCs w:val="0"/>
          <w:sz w:val="32"/>
          <w:szCs w:val="32"/>
          <w:lang w:val="en-US" w:eastAsia="zh-CN"/>
        </w:rPr>
        <w:t>相比较去年，依申请公开数量有所增加。</w:t>
      </w:r>
      <w:r>
        <w:rPr>
          <w:rFonts w:hint="eastAsia" w:ascii="Times New Roman" w:hAnsi="Times New Roman" w:eastAsia="仿宋_GB2312" w:cs="Times New Roman"/>
          <w:b w:val="0"/>
          <w:bCs w:val="0"/>
          <w:sz w:val="32"/>
          <w:szCs w:val="32"/>
          <w:lang w:val="en-US" w:eastAsia="zh-CN"/>
        </w:rPr>
        <w:drawing>
          <wp:anchor distT="0" distB="0" distL="114300" distR="114300" simplePos="0" relativeHeight="251659264" behindDoc="0" locked="0" layoutInCell="1" allowOverlap="1">
            <wp:simplePos x="0" y="0"/>
            <wp:positionH relativeFrom="column">
              <wp:posOffset>168910</wp:posOffset>
            </wp:positionH>
            <wp:positionV relativeFrom="page">
              <wp:posOffset>5290820</wp:posOffset>
            </wp:positionV>
            <wp:extent cx="5256530" cy="2988310"/>
            <wp:effectExtent l="5080" t="4445" r="15240" b="17145"/>
            <wp:wrapSquare wrapText="bothSides"/>
            <wp:docPr id="5" name="图表 5" descr="7b0a202020202263686172745265734964223a20223436363938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5"/>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楷体_GB2312" w:cs="Times New Roman"/>
          <w:b w:val="0"/>
          <w:bCs w:val="0"/>
          <w:sz w:val="32"/>
          <w:szCs w:val="32"/>
        </w:rPr>
        <w:t>（三）政府信息管理情况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spacing w:val="0"/>
          <w:sz w:val="32"/>
          <w:szCs w:val="32"/>
          <w:shd w:val="clear" w:fill="FFFFFF"/>
        </w:rPr>
        <w:t>按照要求，对机构职能、部门文件会议、相关解读、规划计划、财务等信息进行公开，并</w:t>
      </w:r>
      <w:r>
        <w:rPr>
          <w:rFonts w:hint="default" w:ascii="Times New Roman" w:hAnsi="Times New Roman" w:eastAsia="仿宋_GB2312" w:cs="Times New Roman"/>
          <w:sz w:val="32"/>
          <w:szCs w:val="32"/>
        </w:rPr>
        <w:t>明确责任科室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保障政府信息公开各项工作按时间节点顺利推进。</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及时更新调整领导信息、机构职能等事项，并</w:t>
      </w:r>
      <w:r>
        <w:rPr>
          <w:rFonts w:hint="default" w:ascii="Times New Roman" w:hAnsi="Times New Roman" w:eastAsia="仿宋_GB2312" w:cs="Times New Roman"/>
          <w:color w:val="000000" w:themeColor="text1"/>
          <w:sz w:val="32"/>
          <w:szCs w:val="32"/>
          <w14:textFill>
            <w14:solidFill>
              <w14:schemeClr w14:val="tx1"/>
            </w14:solidFill>
          </w14:textFill>
        </w:rPr>
        <w:t>根据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实际情况，及时调整政务公开工作领导小组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明确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了由</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主要负责人领导，分管负责人负责，办公室承办具体任务，其他科室协助办理的工作层级，</w:t>
      </w:r>
      <w:r>
        <w:rPr>
          <w:rFonts w:hint="default" w:ascii="Times New Roman" w:hAnsi="Times New Roman" w:eastAsia="仿宋_GB2312" w:cs="Times New Roman"/>
          <w:color w:val="000000" w:themeColor="text1"/>
          <w:sz w:val="32"/>
          <w:szCs w:val="32"/>
          <w14:textFill>
            <w14:solidFill>
              <w14:schemeClr w14:val="tx1"/>
            </w14:solidFill>
          </w14:textFill>
        </w:rPr>
        <w:t>确保发布的信息准确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脱敏</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不断提升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政务公开工作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成效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5"/>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（四）政府信息公开平台建设情况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eastAsia" w:ascii="仿宋_GB2312" w:hAnsi="微软雅黑" w:eastAsia="仿宋_GB2312" w:cs="仿宋_GB2312"/>
          <w:i w:val="0"/>
          <w:iCs w:val="0"/>
          <w:caps w:val="0"/>
          <w:color w:val="000000"/>
          <w:spacing w:val="0"/>
          <w:sz w:val="32"/>
          <w:szCs w:val="32"/>
          <w:vertAlign w:val="baseline"/>
        </w:rPr>
        <w:t>按照“内容准确、发布规范、更新及时”的要求，在县政府网站规范设置信息公开栏目，安排专人加强日常监管和维护，做好信息发布审核工作，进一步增强公开实效</w:t>
      </w:r>
      <w:r>
        <w:rPr>
          <w:rFonts w:hint="eastAsia" w:ascii="仿宋_GB2312" w:hAnsi="微软雅黑" w:eastAsia="仿宋_GB2312" w:cs="仿宋_GB2312"/>
          <w:i w:val="0"/>
          <w:iCs w:val="0"/>
          <w:caps w:val="0"/>
          <w:color w:val="000000"/>
          <w:spacing w:val="0"/>
          <w:sz w:val="32"/>
          <w:szCs w:val="32"/>
          <w:vertAlign w:val="baseline"/>
          <w:lang w:eastAsia="zh-CN"/>
        </w:rPr>
        <w:t>；</w:t>
      </w:r>
      <w:r>
        <w:rPr>
          <w:rFonts w:hint="eastAsia" w:ascii="仿宋_GB2312" w:hAnsi="微软雅黑" w:eastAsia="仿宋_GB2312" w:cs="仿宋_GB2312"/>
          <w:i w:val="0"/>
          <w:iCs w:val="0"/>
          <w:caps w:val="0"/>
          <w:color w:val="000000"/>
          <w:spacing w:val="0"/>
          <w:sz w:val="32"/>
          <w:szCs w:val="32"/>
          <w:vertAlign w:val="baseline"/>
        </w:rPr>
        <w:t>充分利用各类新媒体平台，在</w:t>
      </w:r>
      <w:r>
        <w:rPr>
          <w:rFonts w:hint="eastAsia" w:ascii="仿宋_GB2312" w:hAnsi="微软雅黑" w:eastAsia="仿宋_GB2312" w:cs="仿宋_GB2312"/>
          <w:i w:val="0"/>
          <w:iCs w:val="0"/>
          <w:caps w:val="0"/>
          <w:color w:val="000000"/>
          <w:spacing w:val="0"/>
          <w:sz w:val="32"/>
          <w:szCs w:val="32"/>
          <w:vertAlign w:val="baseline"/>
          <w:lang w:val="en-US" w:eastAsia="zh-CN"/>
        </w:rPr>
        <w:t>省</w:t>
      </w:r>
      <w:r>
        <w:rPr>
          <w:rFonts w:hint="eastAsia" w:ascii="仿宋_GB2312" w:hAnsi="微软雅黑" w:eastAsia="仿宋_GB2312" w:cs="仿宋_GB2312"/>
          <w:i w:val="0"/>
          <w:iCs w:val="0"/>
          <w:caps w:val="0"/>
          <w:color w:val="000000"/>
          <w:spacing w:val="0"/>
          <w:sz w:val="32"/>
          <w:szCs w:val="32"/>
          <w:vertAlign w:val="baseline"/>
        </w:rPr>
        <w:t>市县各级媒体、“</w:t>
      </w:r>
      <w:r>
        <w:rPr>
          <w:rFonts w:hint="eastAsia" w:ascii="仿宋_GB2312" w:hAnsi="微软雅黑" w:eastAsia="仿宋_GB2312" w:cs="仿宋_GB2312"/>
          <w:i w:val="0"/>
          <w:iCs w:val="0"/>
          <w:caps w:val="0"/>
          <w:color w:val="000000"/>
          <w:spacing w:val="0"/>
          <w:sz w:val="32"/>
          <w:szCs w:val="32"/>
          <w:vertAlign w:val="baseline"/>
          <w:lang w:val="en-US" w:eastAsia="zh-CN"/>
        </w:rPr>
        <w:t>沂源</w:t>
      </w:r>
      <w:r>
        <w:rPr>
          <w:rFonts w:hint="eastAsia" w:ascii="仿宋_GB2312" w:hAnsi="微软雅黑" w:eastAsia="仿宋_GB2312" w:cs="仿宋_GB2312"/>
          <w:i w:val="0"/>
          <w:iCs w:val="0"/>
          <w:caps w:val="0"/>
          <w:color w:val="000000"/>
          <w:spacing w:val="0"/>
          <w:sz w:val="32"/>
          <w:szCs w:val="32"/>
          <w:vertAlign w:val="baseline"/>
        </w:rPr>
        <w:t>城市管理”微信公众号，多形式、多角度发布城市管理工作信息，扩大政务公开的覆盖面和影响力。</w:t>
      </w:r>
    </w:p>
    <w:p>
      <w:pPr>
        <w:pStyle w:val="5"/>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监督保障情况</w:t>
      </w:r>
    </w:p>
    <w:p>
      <w:pPr>
        <w:pStyle w:val="5"/>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line="560" w:lineRule="exact"/>
        <w:ind w:right="0" w:rightChars="0" w:firstLine="640" w:firstLineChars="200"/>
        <w:jc w:val="both"/>
        <w:textAlignment w:val="auto"/>
        <w:rPr>
          <w:rFonts w:hint="default" w:ascii="仿宋_GB2312" w:hAnsi="微软雅黑" w:eastAsia="仿宋_GB2312" w:cs="仿宋_GB2312"/>
          <w:i w:val="0"/>
          <w:iCs w:val="0"/>
          <w:caps w:val="0"/>
          <w:color w:val="000000"/>
          <w:spacing w:val="0"/>
          <w:kern w:val="0"/>
          <w:sz w:val="32"/>
          <w:szCs w:val="32"/>
          <w:vertAlign w:val="baseline"/>
          <w:lang w:val="zh-CN" w:eastAsia="zh-CN" w:bidi="zh-CN"/>
        </w:rPr>
      </w:pPr>
      <w:r>
        <w:rPr>
          <w:rFonts w:hint="default" w:ascii="仿宋_GB2312" w:hAnsi="微软雅黑" w:eastAsia="仿宋_GB2312" w:cs="仿宋_GB2312"/>
          <w:i w:val="0"/>
          <w:iCs w:val="0"/>
          <w:caps w:val="0"/>
          <w:color w:val="000000"/>
          <w:spacing w:val="0"/>
          <w:kern w:val="0"/>
          <w:sz w:val="32"/>
          <w:szCs w:val="32"/>
          <w:vertAlign w:val="baseline"/>
          <w:lang w:val="zh-CN" w:eastAsia="zh-CN" w:bidi="zh-CN"/>
        </w:rPr>
        <w:t>加强组织领导，健全工作机制</w:t>
      </w:r>
      <w:r>
        <w:rPr>
          <w:rFonts w:hint="eastAsia" w:ascii="仿宋_GB2312" w:hAnsi="微软雅黑" w:eastAsia="仿宋_GB2312" w:cs="仿宋_GB2312"/>
          <w:i w:val="0"/>
          <w:iCs w:val="0"/>
          <w:caps w:val="0"/>
          <w:color w:val="000000"/>
          <w:spacing w:val="0"/>
          <w:kern w:val="0"/>
          <w:sz w:val="32"/>
          <w:szCs w:val="32"/>
          <w:vertAlign w:val="baseline"/>
          <w:lang w:val="zh-CN" w:eastAsia="zh-CN" w:bidi="zh-CN"/>
        </w:rPr>
        <w:t>，明确主要负责同志对政务公开工作负总责，各科室确定一名政务公开工作联络员，</w:t>
      </w:r>
      <w:r>
        <w:rPr>
          <w:rFonts w:hint="eastAsia" w:ascii="仿宋_GB2312" w:hAnsi="微软雅黑" w:eastAsia="仿宋_GB2312" w:cs="仿宋_GB2312"/>
          <w:i w:val="0"/>
          <w:iCs w:val="0"/>
          <w:caps w:val="0"/>
          <w:color w:val="000000"/>
          <w:spacing w:val="0"/>
          <w:kern w:val="0"/>
          <w:sz w:val="32"/>
          <w:szCs w:val="32"/>
          <w:vertAlign w:val="baseline"/>
          <w:lang w:val="en-US" w:eastAsia="zh-CN" w:bidi="zh-CN"/>
        </w:rPr>
        <w:t>不断</w:t>
      </w:r>
      <w:r>
        <w:rPr>
          <w:rFonts w:hint="default" w:ascii="仿宋_GB2312" w:hAnsi="微软雅黑" w:eastAsia="仿宋_GB2312" w:cs="仿宋_GB2312"/>
          <w:i w:val="0"/>
          <w:iCs w:val="0"/>
          <w:caps w:val="0"/>
          <w:color w:val="000000"/>
          <w:spacing w:val="0"/>
          <w:kern w:val="0"/>
          <w:sz w:val="32"/>
          <w:szCs w:val="32"/>
          <w:vertAlign w:val="baseline"/>
          <w:lang w:val="zh-CN" w:eastAsia="zh-CN" w:bidi="zh-CN"/>
        </w:rPr>
        <w:t>细化分解政务公开</w:t>
      </w:r>
      <w:r>
        <w:rPr>
          <w:rFonts w:hint="eastAsia" w:ascii="仿宋_GB2312" w:hAnsi="微软雅黑" w:eastAsia="仿宋_GB2312" w:cs="仿宋_GB2312"/>
          <w:i w:val="0"/>
          <w:iCs w:val="0"/>
          <w:caps w:val="0"/>
          <w:color w:val="000000"/>
          <w:spacing w:val="0"/>
          <w:kern w:val="0"/>
          <w:sz w:val="32"/>
          <w:szCs w:val="32"/>
          <w:vertAlign w:val="baseline"/>
          <w:lang w:val="en-US" w:eastAsia="zh-CN" w:bidi="zh-CN"/>
        </w:rPr>
        <w:t>工作任务，构建</w:t>
      </w:r>
      <w:r>
        <w:rPr>
          <w:rFonts w:hint="default" w:ascii="仿宋_GB2312" w:hAnsi="微软雅黑" w:eastAsia="仿宋_GB2312" w:cs="仿宋_GB2312"/>
          <w:i w:val="0"/>
          <w:iCs w:val="0"/>
          <w:caps w:val="0"/>
          <w:color w:val="000000"/>
          <w:spacing w:val="0"/>
          <w:kern w:val="0"/>
          <w:sz w:val="32"/>
          <w:szCs w:val="32"/>
          <w:vertAlign w:val="baseline"/>
          <w:lang w:val="zh-CN" w:eastAsia="zh-CN" w:bidi="zh-CN"/>
        </w:rPr>
        <w:t>上下联动的政务公开工作网络体系，</w:t>
      </w:r>
      <w:r>
        <w:rPr>
          <w:rFonts w:hint="eastAsia" w:ascii="仿宋_GB2312" w:hAnsi="微软雅黑" w:eastAsia="仿宋_GB2312" w:cs="仿宋_GB2312"/>
          <w:i w:val="0"/>
          <w:iCs w:val="0"/>
          <w:caps w:val="0"/>
          <w:color w:val="000000"/>
          <w:spacing w:val="0"/>
          <w:kern w:val="0"/>
          <w:sz w:val="32"/>
          <w:szCs w:val="32"/>
          <w:vertAlign w:val="baseline"/>
          <w:lang w:val="en-US" w:eastAsia="zh-CN" w:bidi="zh-CN"/>
        </w:rPr>
        <w:t>确保</w:t>
      </w:r>
      <w:r>
        <w:rPr>
          <w:rFonts w:hint="default" w:ascii="仿宋_GB2312" w:hAnsi="微软雅黑" w:eastAsia="仿宋_GB2312" w:cs="仿宋_GB2312"/>
          <w:i w:val="0"/>
          <w:iCs w:val="0"/>
          <w:caps w:val="0"/>
          <w:color w:val="000000"/>
          <w:spacing w:val="0"/>
          <w:kern w:val="0"/>
          <w:sz w:val="32"/>
          <w:szCs w:val="32"/>
          <w:vertAlign w:val="baseline"/>
          <w:lang w:val="zh-CN" w:eastAsia="zh-CN" w:bidi="zh-CN"/>
        </w:rPr>
        <w:t>政务公开工作有组织、有计划、有步骤推进。强化政务公开业务知识培训</w:t>
      </w:r>
      <w:r>
        <w:rPr>
          <w:rFonts w:hint="eastAsia" w:ascii="仿宋_GB2312" w:hAnsi="微软雅黑" w:eastAsia="仿宋_GB2312" w:cs="仿宋_GB2312"/>
          <w:i w:val="0"/>
          <w:iCs w:val="0"/>
          <w:caps w:val="0"/>
          <w:color w:val="000000"/>
          <w:spacing w:val="0"/>
          <w:kern w:val="0"/>
          <w:sz w:val="32"/>
          <w:szCs w:val="32"/>
          <w:vertAlign w:val="baseline"/>
          <w:lang w:val="zh-CN" w:eastAsia="zh-CN" w:bidi="zh-CN"/>
        </w:rPr>
        <w:t>，</w:t>
      </w:r>
      <w:r>
        <w:rPr>
          <w:rFonts w:hint="default" w:ascii="仿宋_GB2312" w:hAnsi="微软雅黑" w:eastAsia="仿宋_GB2312" w:cs="仿宋_GB2312"/>
          <w:i w:val="0"/>
          <w:iCs w:val="0"/>
          <w:caps w:val="0"/>
          <w:color w:val="000000"/>
          <w:spacing w:val="0"/>
          <w:kern w:val="0"/>
          <w:sz w:val="32"/>
          <w:szCs w:val="32"/>
          <w:vertAlign w:val="baseline"/>
          <w:lang w:val="zh-CN" w:eastAsia="zh-CN" w:bidi="zh-CN"/>
        </w:rPr>
        <w:t>积极参加政务公开业务培训会议，定期</w:t>
      </w:r>
      <w:r>
        <w:rPr>
          <w:rFonts w:hint="eastAsia" w:ascii="仿宋_GB2312" w:hAnsi="微软雅黑" w:eastAsia="仿宋_GB2312" w:cs="仿宋_GB2312"/>
          <w:i w:val="0"/>
          <w:iCs w:val="0"/>
          <w:caps w:val="0"/>
          <w:color w:val="000000"/>
          <w:spacing w:val="0"/>
          <w:kern w:val="0"/>
          <w:sz w:val="32"/>
          <w:szCs w:val="32"/>
          <w:vertAlign w:val="baseline"/>
          <w:lang w:val="en-US" w:eastAsia="zh-CN" w:bidi="zh-CN"/>
        </w:rPr>
        <w:t>组织相关科室</w:t>
      </w:r>
      <w:r>
        <w:rPr>
          <w:rFonts w:hint="default" w:ascii="仿宋_GB2312" w:hAnsi="微软雅黑" w:eastAsia="仿宋_GB2312" w:cs="仿宋_GB2312"/>
          <w:i w:val="0"/>
          <w:iCs w:val="0"/>
          <w:caps w:val="0"/>
          <w:color w:val="000000"/>
          <w:spacing w:val="0"/>
          <w:kern w:val="0"/>
          <w:sz w:val="32"/>
          <w:szCs w:val="32"/>
          <w:vertAlign w:val="baseline"/>
          <w:lang w:val="zh-CN" w:eastAsia="zh-CN" w:bidi="zh-CN"/>
        </w:rPr>
        <w:t>进行政务公开业务培训，</w:t>
      </w:r>
      <w:r>
        <w:rPr>
          <w:rFonts w:hint="eastAsia" w:ascii="仿宋_GB2312" w:hAnsi="微软雅黑" w:eastAsia="仿宋_GB2312" w:cs="仿宋_GB2312"/>
          <w:i w:val="0"/>
          <w:iCs w:val="0"/>
          <w:caps w:val="0"/>
          <w:color w:val="000000"/>
          <w:spacing w:val="0"/>
          <w:kern w:val="0"/>
          <w:sz w:val="32"/>
          <w:szCs w:val="32"/>
          <w:vertAlign w:val="baseline"/>
          <w:lang w:val="en-US" w:eastAsia="zh-CN" w:bidi="zh-CN"/>
        </w:rPr>
        <w:t>不断提高</w:t>
      </w:r>
      <w:r>
        <w:rPr>
          <w:rFonts w:hint="default" w:ascii="仿宋_GB2312" w:hAnsi="微软雅黑" w:eastAsia="仿宋_GB2312" w:cs="仿宋_GB2312"/>
          <w:i w:val="0"/>
          <w:iCs w:val="0"/>
          <w:caps w:val="0"/>
          <w:color w:val="000000"/>
          <w:spacing w:val="0"/>
          <w:kern w:val="0"/>
          <w:sz w:val="32"/>
          <w:szCs w:val="32"/>
          <w:vertAlign w:val="baseline"/>
          <w:lang w:val="zh-CN" w:eastAsia="zh-CN" w:bidi="zh-CN"/>
        </w:rPr>
        <w:t>政务公开工作人员的业务素质和工作水平。</w:t>
      </w:r>
    </w:p>
    <w:p>
      <w:pPr>
        <w:pStyle w:val="2"/>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cs="Times New Roman"/>
        </w:rPr>
      </w:pPr>
      <w:r>
        <w:rPr>
          <w:rFonts w:hint="default" w:ascii="Times New Roman" w:hAnsi="Times New Roman" w:eastAsia="黑体" w:cs="Times New Roman"/>
          <w:b w:val="0"/>
          <w:bCs w:val="0"/>
          <w:i w:val="0"/>
          <w:caps w:val="0"/>
          <w:color w:val="auto"/>
          <w:spacing w:val="0"/>
          <w:sz w:val="32"/>
          <w:szCs w:val="32"/>
          <w:shd w:val="clear" w:fill="FFFFFF"/>
          <w:lang w:eastAsia="zh-CN"/>
        </w:rPr>
        <w:t>二 、主动公开政府信息情况</w:t>
      </w:r>
    </w:p>
    <w:tbl>
      <w:tblPr>
        <w:tblStyle w:val="8"/>
        <w:tblW w:w="8800"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91"/>
        <w:gridCol w:w="1688"/>
        <w:gridCol w:w="1818"/>
        <w:gridCol w:w="2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8800" w:type="dxa"/>
            <w:gridSpan w:val="4"/>
            <w:shd w:val="clear" w:color="auto" w:fill="C2D6F7"/>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91"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信息内容</w:t>
            </w:r>
          </w:p>
        </w:tc>
        <w:tc>
          <w:tcPr>
            <w:tcW w:w="1688"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本年制发件数</w:t>
            </w:r>
          </w:p>
        </w:tc>
        <w:tc>
          <w:tcPr>
            <w:tcW w:w="1818"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本年废止件数</w:t>
            </w:r>
          </w:p>
        </w:tc>
        <w:tc>
          <w:tcPr>
            <w:tcW w:w="2003"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3291"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2"/>
                <w:szCs w:val="22"/>
              </w:rPr>
            </w:pPr>
            <w:r>
              <w:rPr>
                <w:rFonts w:hint="default" w:ascii="Times New Roman" w:hAnsi="Times New Roman" w:eastAsia="宋体" w:cs="Times New Roman"/>
                <w:spacing w:val="8"/>
                <w:sz w:val="22"/>
                <w:szCs w:val="22"/>
              </w:rPr>
              <w:t>规章</w:t>
            </w:r>
          </w:p>
        </w:tc>
        <w:tc>
          <w:tcPr>
            <w:tcW w:w="1688"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21"/>
                <w:lang w:val="en-US" w:eastAsia="zh-CN"/>
              </w:rPr>
            </w:pPr>
            <w:r>
              <w:rPr>
                <w:rFonts w:hint="default" w:ascii="Times New Roman" w:hAnsi="Times New Roman" w:cs="Times New Roman"/>
                <w:sz w:val="32"/>
                <w:szCs w:val="32"/>
                <w:lang w:val="en-US" w:eastAsia="zh-CN"/>
              </w:rPr>
              <w:t>0</w:t>
            </w:r>
          </w:p>
        </w:tc>
        <w:tc>
          <w:tcPr>
            <w:tcW w:w="1818"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0</w:t>
            </w:r>
          </w:p>
        </w:tc>
        <w:tc>
          <w:tcPr>
            <w:tcW w:w="2003"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291"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2"/>
                <w:szCs w:val="22"/>
              </w:rPr>
            </w:pPr>
            <w:r>
              <w:rPr>
                <w:rFonts w:hint="default" w:ascii="Times New Roman" w:hAnsi="Times New Roman" w:eastAsia="宋体" w:cs="Times New Roman"/>
                <w:spacing w:val="1"/>
                <w:sz w:val="22"/>
                <w:szCs w:val="22"/>
              </w:rPr>
              <w:t>行政规范性文件</w:t>
            </w:r>
          </w:p>
        </w:tc>
        <w:tc>
          <w:tcPr>
            <w:tcW w:w="1688"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21"/>
                <w:lang w:val="en-US" w:eastAsia="zh-CN"/>
              </w:rPr>
            </w:pPr>
            <w:r>
              <w:rPr>
                <w:rFonts w:hint="default" w:ascii="Times New Roman" w:hAnsi="Times New Roman" w:cs="Times New Roman"/>
                <w:sz w:val="32"/>
                <w:szCs w:val="32"/>
                <w:lang w:val="en-US" w:eastAsia="zh-CN"/>
              </w:rPr>
              <w:t>0</w:t>
            </w:r>
          </w:p>
        </w:tc>
        <w:tc>
          <w:tcPr>
            <w:tcW w:w="1818"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0</w:t>
            </w:r>
          </w:p>
        </w:tc>
        <w:tc>
          <w:tcPr>
            <w:tcW w:w="2003"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800" w:type="dxa"/>
            <w:gridSpan w:val="4"/>
            <w:shd w:val="clear" w:color="auto" w:fill="C3D5F7"/>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2"/>
                <w:szCs w:val="22"/>
              </w:rPr>
            </w:pPr>
            <w:r>
              <w:rPr>
                <w:rFonts w:hint="default" w:ascii="Times New Roman" w:hAnsi="Times New Roman" w:eastAsia="宋体" w:cs="Times New Roman"/>
                <w:spacing w:val="1"/>
                <w:sz w:val="22"/>
                <w:szCs w:val="22"/>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3291"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信息内容</w:t>
            </w:r>
          </w:p>
        </w:tc>
        <w:tc>
          <w:tcPr>
            <w:tcW w:w="5509" w:type="dxa"/>
            <w:gridSpan w:val="3"/>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2"/>
                <w:szCs w:val="22"/>
              </w:rPr>
            </w:pPr>
            <w:r>
              <w:rPr>
                <w:rFonts w:hint="default" w:ascii="Times New Roman" w:hAnsi="Times New Roman" w:eastAsia="宋体" w:cs="Times New Roman"/>
                <w:b/>
                <w:bCs/>
                <w:spacing w:val="-4"/>
                <w:sz w:val="22"/>
                <w:szCs w:val="22"/>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291"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行政许可</w:t>
            </w:r>
          </w:p>
        </w:tc>
        <w:tc>
          <w:tcPr>
            <w:tcW w:w="5509" w:type="dxa"/>
            <w:gridSpan w:val="3"/>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21"/>
                <w:lang w:val="en-US" w:eastAsia="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8800" w:type="dxa"/>
            <w:gridSpan w:val="4"/>
            <w:shd w:val="clear" w:color="auto" w:fill="BBCBF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2"/>
                <w:szCs w:val="22"/>
              </w:rPr>
            </w:pPr>
            <w:r>
              <w:rPr>
                <w:rFonts w:hint="default" w:ascii="Times New Roman" w:hAnsi="Times New Roman" w:eastAsia="宋体" w:cs="Times New Roman"/>
                <w:spacing w:val="1"/>
                <w:sz w:val="22"/>
                <w:szCs w:val="22"/>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291"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信息内容</w:t>
            </w:r>
          </w:p>
        </w:tc>
        <w:tc>
          <w:tcPr>
            <w:tcW w:w="5509" w:type="dxa"/>
            <w:gridSpan w:val="3"/>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2"/>
                <w:szCs w:val="22"/>
              </w:rPr>
            </w:pPr>
            <w:r>
              <w:rPr>
                <w:rFonts w:hint="default" w:ascii="Times New Roman" w:hAnsi="Times New Roman" w:eastAsia="宋体" w:cs="Times New Roman"/>
                <w:b/>
                <w:bCs/>
                <w:spacing w:val="-4"/>
                <w:sz w:val="22"/>
                <w:szCs w:val="22"/>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3291"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2"/>
                <w:szCs w:val="22"/>
              </w:rPr>
            </w:pPr>
            <w:r>
              <w:rPr>
                <w:rFonts w:hint="default" w:ascii="Times New Roman" w:hAnsi="Times New Roman" w:eastAsia="宋体" w:cs="Times New Roman"/>
                <w:spacing w:val="6"/>
                <w:sz w:val="22"/>
                <w:szCs w:val="22"/>
              </w:rPr>
              <w:t>行政处罚</w:t>
            </w:r>
          </w:p>
        </w:tc>
        <w:tc>
          <w:tcPr>
            <w:tcW w:w="5509" w:type="dxa"/>
            <w:gridSpan w:val="3"/>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rightChars="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cs="Times New Roman"/>
                <w:sz w:val="32"/>
                <w:szCs w:val="32"/>
                <w:lang w:val="en-US" w:eastAsia="zh-CN"/>
              </w:rPr>
              <w:t>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291"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2"/>
                <w:szCs w:val="22"/>
              </w:rPr>
            </w:pPr>
            <w:r>
              <w:rPr>
                <w:rFonts w:hint="default" w:ascii="Times New Roman" w:hAnsi="Times New Roman" w:eastAsia="宋体" w:cs="Times New Roman"/>
                <w:spacing w:val="4"/>
                <w:sz w:val="22"/>
                <w:szCs w:val="22"/>
              </w:rPr>
              <w:t>行政强制</w:t>
            </w:r>
          </w:p>
        </w:tc>
        <w:tc>
          <w:tcPr>
            <w:tcW w:w="5509" w:type="dxa"/>
            <w:gridSpan w:val="3"/>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rightChars="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cs="Times New Roman"/>
                <w:sz w:val="32"/>
                <w:szCs w:val="32"/>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800" w:type="dxa"/>
            <w:gridSpan w:val="4"/>
            <w:shd w:val="clear" w:color="auto" w:fill="BDD1F9"/>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2"/>
                <w:szCs w:val="22"/>
              </w:rPr>
            </w:pPr>
            <w:r>
              <w:rPr>
                <w:rFonts w:hint="default" w:ascii="Times New Roman" w:hAnsi="Times New Roman" w:eastAsia="宋体" w:cs="Times New Roman"/>
                <w:b/>
                <w:bCs/>
                <w:spacing w:val="-4"/>
                <w:sz w:val="22"/>
                <w:szCs w:val="22"/>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3291"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信息内容</w:t>
            </w:r>
          </w:p>
        </w:tc>
        <w:tc>
          <w:tcPr>
            <w:tcW w:w="5509" w:type="dxa"/>
            <w:gridSpan w:val="3"/>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本年收费金额(单位：万元)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3291"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2"/>
                <w:szCs w:val="22"/>
              </w:rPr>
            </w:pPr>
            <w:r>
              <w:rPr>
                <w:rFonts w:hint="default" w:ascii="Times New Roman" w:hAnsi="Times New Roman" w:eastAsia="宋体" w:cs="Times New Roman"/>
                <w:spacing w:val="1"/>
                <w:sz w:val="22"/>
                <w:szCs w:val="22"/>
              </w:rPr>
              <w:t>行政事业性收费</w:t>
            </w:r>
          </w:p>
        </w:tc>
        <w:tc>
          <w:tcPr>
            <w:tcW w:w="5509" w:type="dxa"/>
            <w:gridSpan w:val="3"/>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21"/>
                <w:lang w:val="en-US" w:eastAsia="zh-CN"/>
              </w:rPr>
            </w:pPr>
            <w:r>
              <w:rPr>
                <w:rFonts w:hint="eastAsia" w:ascii="Times New Roman" w:hAnsi="Times New Roman" w:cs="Times New Roman"/>
                <w:sz w:val="32"/>
                <w:szCs w:val="32"/>
                <w:lang w:val="en-US" w:eastAsia="zh-CN"/>
              </w:rPr>
              <w:t>0</w:t>
            </w:r>
          </w:p>
        </w:tc>
      </w:tr>
    </w:tbl>
    <w:p>
      <w:pPr>
        <w:pStyle w:val="2"/>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560" w:lineRule="exact"/>
        <w:ind w:right="0" w:rightChars="0" w:firstLine="640" w:firstLineChars="200"/>
        <w:textAlignment w:val="auto"/>
        <w:rPr>
          <w:rFonts w:hint="eastAsia" w:ascii="Times New Roman" w:hAnsi="Times New Roman" w:eastAsia="黑体" w:cs="Times New Roman"/>
          <w:b w:val="0"/>
          <w:bCs w:val="0"/>
          <w:i w:val="0"/>
          <w:caps w:val="0"/>
          <w:color w:val="auto"/>
          <w:spacing w:val="0"/>
          <w:kern w:val="0"/>
          <w:sz w:val="32"/>
          <w:szCs w:val="32"/>
          <w:shd w:val="clear" w:fill="FFFFFF"/>
          <w:lang w:val="en-US" w:eastAsia="zh-CN" w:bidi="ar"/>
        </w:rPr>
      </w:pPr>
      <w:r>
        <w:rPr>
          <w:rFonts w:hint="eastAsia" w:ascii="Times New Roman" w:hAnsi="Times New Roman" w:eastAsia="黑体" w:cs="Times New Roman"/>
          <w:b w:val="0"/>
          <w:bCs w:val="0"/>
          <w:i w:val="0"/>
          <w:caps w:val="0"/>
          <w:color w:val="auto"/>
          <w:spacing w:val="0"/>
          <w:kern w:val="0"/>
          <w:sz w:val="32"/>
          <w:szCs w:val="32"/>
          <w:shd w:val="clear" w:fill="FFFFFF"/>
          <w:lang w:val="en-US" w:eastAsia="zh-CN" w:bidi="ar"/>
        </w:rPr>
        <w:t>三、</w:t>
      </w:r>
      <w:r>
        <w:rPr>
          <w:rFonts w:hint="default" w:ascii="Times New Roman" w:hAnsi="Times New Roman" w:eastAsia="黑体" w:cs="Times New Roman"/>
          <w:b w:val="0"/>
          <w:bCs w:val="0"/>
          <w:i w:val="0"/>
          <w:caps w:val="0"/>
          <w:color w:val="auto"/>
          <w:spacing w:val="0"/>
          <w:sz w:val="32"/>
          <w:szCs w:val="32"/>
          <w:shd w:val="clear" w:fill="FFFFFF"/>
          <w:lang w:eastAsia="zh-CN"/>
        </w:rPr>
        <w:t>收到和处理政府信息公开申请情况</w:t>
      </w:r>
    </w:p>
    <w:tbl>
      <w:tblPr>
        <w:tblStyle w:val="8"/>
        <w:tblpPr w:leftFromText="180" w:rightFromText="180" w:vertAnchor="text" w:horzAnchor="page" w:tblpX="1204" w:tblpY="-1435"/>
        <w:tblOverlap w:val="never"/>
        <w:tblW w:w="90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968"/>
        <w:gridCol w:w="2697"/>
        <w:gridCol w:w="659"/>
        <w:gridCol w:w="649"/>
        <w:gridCol w:w="639"/>
        <w:gridCol w:w="650"/>
        <w:gridCol w:w="649"/>
        <w:gridCol w:w="659"/>
        <w:gridCol w:w="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535" w:type="dxa"/>
            <w:gridSpan w:val="3"/>
            <w:vMerge w:val="restart"/>
            <w:tcBorders>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(本列数据的勾稽关系为：第一项加</w:t>
            </w: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第二项之和，</w:t>
            </w: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宋体" w:cs="Times New Roman"/>
                <w:sz w:val="21"/>
                <w:szCs w:val="21"/>
              </w:rPr>
            </w:pPr>
            <w:r>
              <w:rPr>
                <w:rFonts w:hint="default" w:ascii="Times New Roman" w:hAnsi="Times New Roman" w:cs="Times New Roman"/>
                <w:sz w:val="21"/>
              </w:rPr>
              <w:t>等于第三项加第四项之和）</w:t>
            </w:r>
          </w:p>
        </w:tc>
        <w:tc>
          <w:tcPr>
            <w:tcW w:w="4549" w:type="dxa"/>
            <w:gridSpan w:val="7"/>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535" w:type="dxa"/>
            <w:gridSpan w:val="3"/>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tc>
        <w:tc>
          <w:tcPr>
            <w:tcW w:w="659" w:type="dxa"/>
            <w:vMerge w:val="restart"/>
            <w:tcBorders>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自</w:t>
            </w: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然</w:t>
            </w: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人</w:t>
            </w:r>
          </w:p>
        </w:tc>
        <w:tc>
          <w:tcPr>
            <w:tcW w:w="3246" w:type="dxa"/>
            <w:gridSpan w:val="5"/>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法人或其他组织</w:t>
            </w:r>
          </w:p>
        </w:tc>
        <w:tc>
          <w:tcPr>
            <w:tcW w:w="644" w:type="dxa"/>
            <w:vMerge w:val="restart"/>
            <w:tcBorders>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535" w:type="dxa"/>
            <w:gridSpan w:val="3"/>
            <w:vMerge w:val="continue"/>
            <w:tcBorders>
              <w:top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cs="Times New Roman"/>
                <w:sz w:val="21"/>
              </w:rPr>
            </w:pPr>
          </w:p>
        </w:tc>
        <w:tc>
          <w:tcPr>
            <w:tcW w:w="659" w:type="dxa"/>
            <w:vMerge w:val="continue"/>
            <w:tcBorders>
              <w:top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商业 企业</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科研 机构</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社会公 益组织</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法律服 务机构</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其他</w:t>
            </w:r>
          </w:p>
        </w:tc>
        <w:tc>
          <w:tcPr>
            <w:tcW w:w="644" w:type="dxa"/>
            <w:vMerge w:val="continue"/>
            <w:tcBorders>
              <w:top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535" w:type="dxa"/>
            <w:gridSpan w:val="3"/>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1"/>
                <w:szCs w:val="21"/>
              </w:rPr>
            </w:pPr>
            <w:r>
              <w:rPr>
                <w:rFonts w:hint="default" w:ascii="Times New Roman" w:hAnsi="Times New Roman" w:cs="Times New Roman"/>
                <w:sz w:val="21"/>
              </w:rPr>
              <w:t>一、本年新收政府信息公开申请数量</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cs="Times New Roman"/>
                <w:sz w:val="32"/>
                <w:szCs w:val="32"/>
                <w:lang w:val="en-US" w:eastAsia="zh-CN"/>
              </w:rPr>
              <w:t>3</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cs="Times New Roman"/>
                <w:sz w:val="32"/>
                <w:szCs w:val="32"/>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535" w:type="dxa"/>
            <w:gridSpan w:val="3"/>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1"/>
                <w:szCs w:val="21"/>
              </w:rPr>
            </w:pPr>
            <w:r>
              <w:rPr>
                <w:rFonts w:hint="default" w:ascii="Times New Roman" w:hAnsi="Times New Roman" w:cs="Times New Roman"/>
                <w:sz w:val="21"/>
              </w:rPr>
              <w:t>二、上年结转政府信息公开申请数量</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70" w:type="dxa"/>
            <w:vMerge w:val="restart"/>
            <w:tcBorders>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三</w:t>
            </w: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本</w:t>
            </w: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 xml:space="preserve">年 </w:t>
            </w: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度</w:t>
            </w: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办</w:t>
            </w: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理</w:t>
            </w: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结</w:t>
            </w: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果</w:t>
            </w:r>
          </w:p>
        </w:tc>
        <w:tc>
          <w:tcPr>
            <w:tcW w:w="3665" w:type="dxa"/>
            <w:gridSpan w:val="2"/>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(一)予以公开</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eastAsia" w:ascii="Times New Roman" w:hAnsi="Times New Roman" w:cs="Times New Roman"/>
                <w:sz w:val="32"/>
                <w:szCs w:val="32"/>
                <w:lang w:val="en-US" w:eastAsia="zh-CN"/>
              </w:rPr>
              <w:t>3</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eastAsia" w:ascii="Times New Roman" w:hAnsi="Times New Roman" w:cs="Times New Roman"/>
                <w:sz w:val="32"/>
                <w:szCs w:val="32"/>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70"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cs="Times New Roman"/>
                <w:sz w:val="21"/>
              </w:rPr>
            </w:pPr>
          </w:p>
        </w:tc>
        <w:tc>
          <w:tcPr>
            <w:tcW w:w="3665" w:type="dxa"/>
            <w:gridSpan w:val="2"/>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cs="Times New Roman"/>
                <w:sz w:val="21"/>
              </w:rPr>
              <w:t>二)部分公开(区分处理的，只计这一情形，不计其他情形)</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70"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cs="Times New Roman"/>
                <w:sz w:val="21"/>
              </w:rPr>
            </w:pPr>
          </w:p>
        </w:tc>
        <w:tc>
          <w:tcPr>
            <w:tcW w:w="968" w:type="dxa"/>
            <w:vMerge w:val="restart"/>
            <w:tcBorders>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(三)不予公开</w:t>
            </w:r>
          </w:p>
        </w:tc>
        <w:tc>
          <w:tcPr>
            <w:tcW w:w="2697"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1.属于国家秘密</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70"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cs="Times New Roman"/>
                <w:sz w:val="21"/>
              </w:rPr>
            </w:pPr>
          </w:p>
        </w:tc>
        <w:tc>
          <w:tcPr>
            <w:tcW w:w="968"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tc>
        <w:tc>
          <w:tcPr>
            <w:tcW w:w="2697"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2.其他法律行政法规禁止 公开</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70"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cs="Times New Roman"/>
                <w:sz w:val="21"/>
              </w:rPr>
            </w:pPr>
          </w:p>
        </w:tc>
        <w:tc>
          <w:tcPr>
            <w:tcW w:w="968"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tc>
        <w:tc>
          <w:tcPr>
            <w:tcW w:w="2697"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3.危及“三安全一稳定”</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70"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cs="Times New Roman"/>
                <w:sz w:val="21"/>
              </w:rPr>
            </w:pPr>
          </w:p>
        </w:tc>
        <w:tc>
          <w:tcPr>
            <w:tcW w:w="968"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tc>
        <w:tc>
          <w:tcPr>
            <w:tcW w:w="2697"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4.保护第三方合法权益</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70"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cs="Times New Roman"/>
                <w:sz w:val="21"/>
              </w:rPr>
            </w:pPr>
          </w:p>
        </w:tc>
        <w:tc>
          <w:tcPr>
            <w:tcW w:w="968"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tc>
        <w:tc>
          <w:tcPr>
            <w:tcW w:w="2697"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5.属于三类内部事务信息</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70"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cs="Times New Roman"/>
                <w:sz w:val="21"/>
              </w:rPr>
            </w:pPr>
          </w:p>
        </w:tc>
        <w:tc>
          <w:tcPr>
            <w:tcW w:w="968"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tc>
        <w:tc>
          <w:tcPr>
            <w:tcW w:w="2697"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6.属于四类过程性信息</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70"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cs="Times New Roman"/>
                <w:sz w:val="21"/>
              </w:rPr>
            </w:pPr>
          </w:p>
        </w:tc>
        <w:tc>
          <w:tcPr>
            <w:tcW w:w="968"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tc>
        <w:tc>
          <w:tcPr>
            <w:tcW w:w="2697"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7.属于行政执法案卷</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70"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cs="Times New Roman"/>
                <w:sz w:val="21"/>
              </w:rPr>
            </w:pPr>
          </w:p>
        </w:tc>
        <w:tc>
          <w:tcPr>
            <w:tcW w:w="968" w:type="dxa"/>
            <w:vMerge w:val="continue"/>
            <w:tcBorders>
              <w:top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tc>
        <w:tc>
          <w:tcPr>
            <w:tcW w:w="2697"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8.属于行政查询事项</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70"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cs="Times New Roman"/>
                <w:sz w:val="21"/>
              </w:rPr>
            </w:pPr>
          </w:p>
        </w:tc>
        <w:tc>
          <w:tcPr>
            <w:tcW w:w="968" w:type="dxa"/>
            <w:vMerge w:val="restart"/>
            <w:tcBorders>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(四)无法提供</w:t>
            </w:r>
          </w:p>
        </w:tc>
        <w:tc>
          <w:tcPr>
            <w:tcW w:w="2697"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1.本机关不掌握相关政府信息</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70"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cs="Times New Roman"/>
                <w:sz w:val="21"/>
              </w:rPr>
            </w:pPr>
          </w:p>
        </w:tc>
        <w:tc>
          <w:tcPr>
            <w:tcW w:w="968"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tc>
        <w:tc>
          <w:tcPr>
            <w:tcW w:w="2697"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2.没有现成信息需要另行制作</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70"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cs="Times New Roman"/>
                <w:sz w:val="21"/>
              </w:rPr>
            </w:pPr>
          </w:p>
        </w:tc>
        <w:tc>
          <w:tcPr>
            <w:tcW w:w="968" w:type="dxa"/>
            <w:vMerge w:val="continue"/>
            <w:tcBorders>
              <w:top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tc>
        <w:tc>
          <w:tcPr>
            <w:tcW w:w="2697"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3.补正后申请内容仍不明确</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70"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cs="Times New Roman"/>
                <w:sz w:val="21"/>
              </w:rPr>
            </w:pPr>
          </w:p>
        </w:tc>
        <w:tc>
          <w:tcPr>
            <w:tcW w:w="968" w:type="dxa"/>
            <w:vMerge w:val="restart"/>
            <w:tcBorders>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(五)不予处理</w:t>
            </w:r>
          </w:p>
        </w:tc>
        <w:tc>
          <w:tcPr>
            <w:tcW w:w="2697"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1.信访举报投诉类申请</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70"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cs="Times New Roman"/>
                <w:sz w:val="21"/>
              </w:rPr>
            </w:pPr>
          </w:p>
        </w:tc>
        <w:tc>
          <w:tcPr>
            <w:tcW w:w="968"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tc>
        <w:tc>
          <w:tcPr>
            <w:tcW w:w="2697"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2.重复申请</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70"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cs="Times New Roman"/>
                <w:sz w:val="21"/>
              </w:rPr>
            </w:pPr>
          </w:p>
        </w:tc>
        <w:tc>
          <w:tcPr>
            <w:tcW w:w="968"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tc>
        <w:tc>
          <w:tcPr>
            <w:tcW w:w="2697"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3.要求提供公开出版物</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70"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cs="Times New Roman"/>
                <w:sz w:val="21"/>
              </w:rPr>
            </w:pPr>
          </w:p>
        </w:tc>
        <w:tc>
          <w:tcPr>
            <w:tcW w:w="968"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tc>
        <w:tc>
          <w:tcPr>
            <w:tcW w:w="2697"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4 . 无正当理由大量反复 申 请</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70"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cs="Times New Roman"/>
                <w:sz w:val="21"/>
              </w:rPr>
            </w:pPr>
          </w:p>
        </w:tc>
        <w:tc>
          <w:tcPr>
            <w:tcW w:w="968" w:type="dxa"/>
            <w:vMerge w:val="continue"/>
            <w:tcBorders>
              <w:top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tc>
        <w:tc>
          <w:tcPr>
            <w:tcW w:w="2697"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5.要求行政机关确认或重 新出具已获取信息</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870"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cs="Times New Roman"/>
                <w:sz w:val="21"/>
              </w:rPr>
            </w:pPr>
          </w:p>
        </w:tc>
        <w:tc>
          <w:tcPr>
            <w:tcW w:w="968" w:type="dxa"/>
            <w:vMerge w:val="restart"/>
            <w:tcBorders>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(六)其他处理</w:t>
            </w:r>
          </w:p>
        </w:tc>
        <w:tc>
          <w:tcPr>
            <w:tcW w:w="2697"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1. 申请人无正当理由逾期 不补正、行政机关不再处理 其政府信息公开申请</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70"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textAlignment w:val="auto"/>
              <w:rPr>
                <w:rFonts w:hint="default" w:ascii="Times New Roman" w:hAnsi="Times New Roman" w:cs="Times New Roman"/>
                <w:sz w:val="21"/>
              </w:rPr>
            </w:pPr>
          </w:p>
        </w:tc>
        <w:tc>
          <w:tcPr>
            <w:tcW w:w="968"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tc>
        <w:tc>
          <w:tcPr>
            <w:tcW w:w="2697"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2.申请人逾期未按收费通知 要求缴纳费用、行政机关不再 处理其政府信息公开申请</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70" w:type="dxa"/>
            <w:vMerge w:val="continue"/>
            <w:tcBorders>
              <w:top w:val="nil"/>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tc>
        <w:tc>
          <w:tcPr>
            <w:tcW w:w="968" w:type="dxa"/>
            <w:vMerge w:val="continue"/>
            <w:tcBorders>
              <w:top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tc>
        <w:tc>
          <w:tcPr>
            <w:tcW w:w="2697"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3 .其他</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70" w:type="dxa"/>
            <w:vMerge w:val="continue"/>
            <w:tcBorders>
              <w:top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p>
        </w:tc>
        <w:tc>
          <w:tcPr>
            <w:tcW w:w="3665" w:type="dxa"/>
            <w:gridSpan w:val="2"/>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(七)总计</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cs="Times New Roman"/>
                <w:sz w:val="32"/>
                <w:szCs w:val="32"/>
                <w:lang w:val="en-US" w:eastAsia="zh-CN"/>
              </w:rPr>
              <w:t>3</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32"/>
                <w:szCs w:val="32"/>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32"/>
                <w:szCs w:val="32"/>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32"/>
                <w:szCs w:val="32"/>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32"/>
                <w:szCs w:val="32"/>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32"/>
                <w:szCs w:val="32"/>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cs="Times New Roman"/>
                <w:sz w:val="32"/>
                <w:szCs w:val="32"/>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535" w:type="dxa"/>
            <w:gridSpan w:val="3"/>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left"/>
              <w:textAlignment w:val="auto"/>
              <w:rPr>
                <w:rFonts w:hint="default" w:ascii="Times New Roman" w:hAnsi="Times New Roman" w:cs="Times New Roman"/>
                <w:sz w:val="21"/>
              </w:rPr>
            </w:pPr>
            <w:r>
              <w:rPr>
                <w:rFonts w:hint="default" w:ascii="Times New Roman" w:hAnsi="Times New Roman" w:cs="Times New Roman"/>
                <w:sz w:val="21"/>
              </w:rPr>
              <w:t>四、结转下年度继续办理</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3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5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c>
          <w:tcPr>
            <w:tcW w:w="64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cs="Times New Roman"/>
                <w:sz w:val="32"/>
                <w:szCs w:val="32"/>
                <w:lang w:val="en-US" w:eastAsia="zh-CN"/>
              </w:rPr>
              <w:t>0</w:t>
            </w:r>
          </w:p>
        </w:tc>
      </w:tr>
    </w:tbl>
    <w:p>
      <w:pPr>
        <w:pStyle w:val="2"/>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560" w:lineRule="exact"/>
        <w:ind w:right="0" w:rightChars="0" w:firstLine="540" w:firstLineChars="200"/>
        <w:textAlignment w:val="auto"/>
        <w:rPr>
          <w:rFonts w:hint="eastAsia" w:eastAsia="方正仿宋_GBK"/>
          <w:lang w:eastAsia="zh-CN"/>
        </w:rPr>
      </w:pPr>
    </w:p>
    <w:p>
      <w:pPr>
        <w:keepNext w:val="0"/>
        <w:keepLines w:val="0"/>
        <w:pageBreakBefore w:val="0"/>
        <w:kinsoku/>
        <w:wordWrap/>
        <w:overflowPunct/>
        <w:topLinePunct w:val="0"/>
        <w:bidi w:val="0"/>
        <w:adjustRightInd/>
        <w:snapToGrid/>
        <w:spacing w:beforeAutospacing="0" w:afterAutospacing="0" w:line="560" w:lineRule="exact"/>
        <w:ind w:left="0" w:leftChars="0" w:right="0"/>
        <w:textAlignment w:val="auto"/>
        <w:rPr>
          <w:rFonts w:hint="default" w:ascii="Times New Roman" w:hAnsi="Times New Roman" w:cs="Times New Roman"/>
        </w:rPr>
        <w:sectPr>
          <w:footerReference r:id="rId3" w:type="default"/>
          <w:pgSz w:w="11820" w:h="16730"/>
          <w:pgMar w:top="1984" w:right="1587" w:bottom="1701" w:left="1587" w:header="850" w:footer="1417" w:gutter="0"/>
          <w:pgNumType w:fmt="decimal"/>
          <w:cols w:space="720" w:num="1"/>
        </w:sectPr>
      </w:pPr>
    </w:p>
    <w:p>
      <w:pPr>
        <w:keepNext w:val="0"/>
        <w:keepLines w:val="0"/>
        <w:pageBreakBefore w:val="0"/>
        <w:kinsoku/>
        <w:wordWrap/>
        <w:overflowPunct/>
        <w:topLinePunct w:val="0"/>
        <w:bidi w:val="0"/>
        <w:adjustRightInd/>
        <w:snapToGrid/>
        <w:spacing w:beforeAutospacing="0" w:afterAutospacing="0" w:line="560" w:lineRule="exact"/>
        <w:ind w:left="0" w:leftChars="0" w:right="0" w:firstLine="640" w:firstLineChars="200"/>
        <w:textAlignment w:val="auto"/>
        <w:outlineLvl w:val="0"/>
        <w:rPr>
          <w:rFonts w:hint="default" w:ascii="Times New Roman" w:hAnsi="Times New Roman" w:cs="Times New Roman"/>
          <w:sz w:val="2"/>
        </w:rPr>
      </w:pPr>
      <w:r>
        <w:rPr>
          <w:rFonts w:hint="default" w:ascii="Times New Roman" w:hAnsi="Times New Roman" w:eastAsia="黑体" w:cs="Times New Roman"/>
          <w:b w:val="0"/>
          <w:bCs w:val="0"/>
          <w:i w:val="0"/>
          <w:caps w:val="0"/>
          <w:color w:val="auto"/>
          <w:spacing w:val="0"/>
          <w:kern w:val="0"/>
          <w:sz w:val="32"/>
          <w:szCs w:val="32"/>
          <w:shd w:val="clear" w:fill="FFFFFF"/>
          <w:lang w:val="en-US" w:eastAsia="zh-CN" w:bidi="ar"/>
        </w:rPr>
        <w:t>四、政府信息公开行政复议、行政诉讼情况</w:t>
      </w:r>
    </w:p>
    <w:tbl>
      <w:tblPr>
        <w:tblStyle w:val="8"/>
        <w:tblW w:w="87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4"/>
        <w:gridCol w:w="580"/>
        <w:gridCol w:w="579"/>
        <w:gridCol w:w="579"/>
        <w:gridCol w:w="590"/>
        <w:gridCol w:w="589"/>
        <w:gridCol w:w="579"/>
        <w:gridCol w:w="580"/>
        <w:gridCol w:w="579"/>
        <w:gridCol w:w="579"/>
        <w:gridCol w:w="579"/>
        <w:gridCol w:w="580"/>
        <w:gridCol w:w="589"/>
        <w:gridCol w:w="589"/>
        <w:gridCol w:w="5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912" w:type="dxa"/>
            <w:gridSpan w:val="5"/>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行政复议</w:t>
            </w:r>
          </w:p>
        </w:tc>
        <w:tc>
          <w:tcPr>
            <w:tcW w:w="5817" w:type="dxa"/>
            <w:gridSpan w:val="10"/>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84" w:type="dxa"/>
            <w:vMerge w:val="restart"/>
            <w:tcBorders>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结果 维持</w:t>
            </w:r>
          </w:p>
        </w:tc>
        <w:tc>
          <w:tcPr>
            <w:tcW w:w="580" w:type="dxa"/>
            <w:vMerge w:val="restart"/>
            <w:tcBorders>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结果 纠正</w:t>
            </w:r>
          </w:p>
        </w:tc>
        <w:tc>
          <w:tcPr>
            <w:tcW w:w="579" w:type="dxa"/>
            <w:vMerge w:val="restart"/>
            <w:tcBorders>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其他 结果</w:t>
            </w:r>
          </w:p>
        </w:tc>
        <w:tc>
          <w:tcPr>
            <w:tcW w:w="579" w:type="dxa"/>
            <w:vMerge w:val="restart"/>
            <w:tcBorders>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尚未 审结</w:t>
            </w:r>
          </w:p>
        </w:tc>
        <w:tc>
          <w:tcPr>
            <w:tcW w:w="590" w:type="dxa"/>
            <w:vMerge w:val="restart"/>
            <w:tcBorders>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总计</w:t>
            </w:r>
          </w:p>
        </w:tc>
        <w:tc>
          <w:tcPr>
            <w:tcW w:w="2906" w:type="dxa"/>
            <w:gridSpan w:val="5"/>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未经复议直接起诉</w:t>
            </w:r>
          </w:p>
        </w:tc>
        <w:tc>
          <w:tcPr>
            <w:tcW w:w="2911" w:type="dxa"/>
            <w:gridSpan w:val="5"/>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584" w:type="dxa"/>
            <w:vMerge w:val="continue"/>
            <w:tcBorders>
              <w:top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tc>
        <w:tc>
          <w:tcPr>
            <w:tcW w:w="580" w:type="dxa"/>
            <w:vMerge w:val="continue"/>
            <w:tcBorders>
              <w:top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tc>
        <w:tc>
          <w:tcPr>
            <w:tcW w:w="579" w:type="dxa"/>
            <w:vMerge w:val="continue"/>
            <w:tcBorders>
              <w:top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tc>
        <w:tc>
          <w:tcPr>
            <w:tcW w:w="579" w:type="dxa"/>
            <w:vMerge w:val="continue"/>
            <w:tcBorders>
              <w:top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tc>
        <w:tc>
          <w:tcPr>
            <w:tcW w:w="590" w:type="dxa"/>
            <w:vMerge w:val="continue"/>
            <w:tcBorders>
              <w:top w:val="nil"/>
            </w:tcBorders>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p>
        </w:tc>
        <w:tc>
          <w:tcPr>
            <w:tcW w:w="58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结果 维持</w:t>
            </w:r>
          </w:p>
        </w:tc>
        <w:tc>
          <w:tcPr>
            <w:tcW w:w="57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结果 纠正</w:t>
            </w:r>
          </w:p>
        </w:tc>
        <w:tc>
          <w:tcPr>
            <w:tcW w:w="58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其他 结果</w:t>
            </w:r>
          </w:p>
        </w:tc>
        <w:tc>
          <w:tcPr>
            <w:tcW w:w="57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尚未 审结</w:t>
            </w:r>
          </w:p>
        </w:tc>
        <w:tc>
          <w:tcPr>
            <w:tcW w:w="57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总计</w:t>
            </w:r>
          </w:p>
        </w:tc>
        <w:tc>
          <w:tcPr>
            <w:tcW w:w="57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结果 维持</w:t>
            </w:r>
          </w:p>
        </w:tc>
        <w:tc>
          <w:tcPr>
            <w:tcW w:w="58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结果 纠正</w:t>
            </w:r>
          </w:p>
        </w:tc>
        <w:tc>
          <w:tcPr>
            <w:tcW w:w="58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其他 结果</w:t>
            </w:r>
          </w:p>
        </w:tc>
        <w:tc>
          <w:tcPr>
            <w:tcW w:w="58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尚未 审结</w:t>
            </w:r>
          </w:p>
        </w:tc>
        <w:tc>
          <w:tcPr>
            <w:tcW w:w="57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cs="Times New Roman"/>
                <w:sz w:val="21"/>
              </w:rPr>
            </w:pPr>
            <w:r>
              <w:rPr>
                <w:rFonts w:hint="default" w:ascii="Times New Roman" w:hAnsi="Times New Roman" w:cs="Times New Roman"/>
                <w:sz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58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58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57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57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59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58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57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58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57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57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57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580"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58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589"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c>
          <w:tcPr>
            <w:tcW w:w="574" w:type="dxa"/>
            <w:vAlign w:val="top"/>
          </w:tcPr>
          <w:p>
            <w:pPr>
              <w:keepNext w:val="0"/>
              <w:keepLines w:val="0"/>
              <w:pageBreakBefore w:val="0"/>
              <w:widowControl w:val="0"/>
              <w:kinsoku/>
              <w:wordWrap/>
              <w:overflowPunct/>
              <w:topLinePunct w:val="0"/>
              <w:autoSpaceDE w:val="0"/>
              <w:autoSpaceDN w:val="0"/>
              <w:bidi w:val="0"/>
              <w:adjustRightInd/>
              <w:snapToGrid/>
              <w:spacing w:beforeAutospacing="0" w:afterAutospacing="0" w:line="0" w:lineRule="atLeast"/>
              <w:ind w:left="0" w:leftChars="0"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0</w:t>
            </w:r>
          </w:p>
        </w:tc>
      </w:tr>
    </w:tbl>
    <w:p>
      <w:pPr>
        <w:keepNext w:val="0"/>
        <w:keepLines w:val="0"/>
        <w:pageBreakBefore w:val="0"/>
        <w:numPr>
          <w:ilvl w:val="0"/>
          <w:numId w:val="0"/>
        </w:numPr>
        <w:kinsoku/>
        <w:wordWrap/>
        <w:overflowPunct/>
        <w:topLinePunct w:val="0"/>
        <w:bidi w:val="0"/>
        <w:adjustRightInd/>
        <w:snapToGrid/>
        <w:spacing w:beforeAutospacing="0" w:afterAutospacing="0" w:line="560" w:lineRule="exact"/>
        <w:ind w:left="0" w:leftChars="0" w:right="0" w:firstLine="640" w:firstLineChars="200"/>
        <w:textAlignment w:val="auto"/>
        <w:outlineLvl w:val="0"/>
        <w:rPr>
          <w:rFonts w:hint="default" w:ascii="Times New Roman" w:hAnsi="Times New Roman" w:eastAsia="黑体" w:cs="Times New Roman"/>
          <w:b w:val="0"/>
          <w:bCs w:val="0"/>
          <w:i w:val="0"/>
          <w:caps w:val="0"/>
          <w:color w:val="auto"/>
          <w:spacing w:val="0"/>
          <w:kern w:val="0"/>
          <w:sz w:val="32"/>
          <w:szCs w:val="32"/>
          <w:shd w:val="clear" w:fill="FFFFFF"/>
          <w:lang w:val="en-US" w:eastAsia="zh-CN" w:bidi="ar"/>
        </w:rPr>
      </w:pPr>
      <w:r>
        <w:rPr>
          <w:rFonts w:hint="default" w:ascii="Times New Roman" w:hAnsi="Times New Roman" w:eastAsia="黑体" w:cs="Times New Roman"/>
          <w:b w:val="0"/>
          <w:bCs w:val="0"/>
          <w:i w:val="0"/>
          <w:caps w:val="0"/>
          <w:color w:val="auto"/>
          <w:spacing w:val="0"/>
          <w:kern w:val="0"/>
          <w:sz w:val="32"/>
          <w:szCs w:val="32"/>
          <w:shd w:val="clear" w:fill="FFFFFF"/>
          <w:lang w:val="en-US" w:eastAsia="zh-CN" w:bidi="ar"/>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（一）存在问题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Chars="0" w:right="0"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一是对政务公开的重要性认识有待提高，主动公开意识较为薄弱。二是政务公开信息管理规范化标准化水平有待进一步提升。三是政策文件存在解读不及时、不规范。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（二）改进情况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Chars="0" w:right="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一是强化责任意识。加强对政务公开工作的认识，强化政务公开工作培训，进一步提升政府信息主动公开和依申请公开的质量与效果。二是建立健全工作制度。健全完善监督保障措施考核办法，确保政务信息及时公开，从制度上保证推进政府信息公开工作的有效运行。三是加强政策解读，做到解读材料与政策文件同步起草、同步审签、同步发布。</w:t>
      </w:r>
    </w:p>
    <w:p>
      <w:pPr>
        <w:keepNext w:val="0"/>
        <w:keepLines w:val="0"/>
        <w:pageBreakBefore w:val="0"/>
        <w:numPr>
          <w:ilvl w:val="0"/>
          <w:numId w:val="0"/>
        </w:numPr>
        <w:kinsoku/>
        <w:wordWrap/>
        <w:overflowPunct/>
        <w:topLinePunct w:val="0"/>
        <w:bidi w:val="0"/>
        <w:adjustRightInd/>
        <w:snapToGrid/>
        <w:spacing w:beforeAutospacing="0" w:afterAutospacing="0" w:line="560" w:lineRule="exact"/>
        <w:ind w:left="0" w:leftChars="0" w:right="0" w:rightChars="0" w:firstLine="640" w:firstLineChars="200"/>
        <w:textAlignment w:val="auto"/>
        <w:outlineLvl w:val="0"/>
        <w:rPr>
          <w:rFonts w:hint="default" w:ascii="Times New Roman" w:hAnsi="Times New Roman" w:eastAsia="黑体" w:cs="Times New Roman"/>
          <w:b w:val="0"/>
          <w:bCs w:val="0"/>
          <w:i w:val="0"/>
          <w:caps w:val="0"/>
          <w:color w:val="auto"/>
          <w:spacing w:val="0"/>
          <w:kern w:val="0"/>
          <w:sz w:val="32"/>
          <w:szCs w:val="32"/>
          <w:shd w:val="clear" w:fill="FFFFFF"/>
          <w:lang w:val="en-US" w:eastAsia="zh-CN" w:bidi="ar"/>
        </w:rPr>
      </w:pPr>
      <w:r>
        <w:rPr>
          <w:rFonts w:hint="eastAsia" w:ascii="Times New Roman" w:hAnsi="Times New Roman" w:eastAsia="黑体" w:cs="Times New Roman"/>
          <w:b w:val="0"/>
          <w:bCs w:val="0"/>
          <w:i w:val="0"/>
          <w:caps w:val="0"/>
          <w:color w:val="auto"/>
          <w:spacing w:val="0"/>
          <w:kern w:val="0"/>
          <w:sz w:val="32"/>
          <w:szCs w:val="32"/>
          <w:shd w:val="clear" w:fill="FFFFFF"/>
          <w:lang w:val="en-US" w:eastAsia="zh-CN" w:bidi="ar"/>
        </w:rPr>
        <w:t>六、</w:t>
      </w:r>
      <w:r>
        <w:rPr>
          <w:rFonts w:hint="default" w:ascii="Times New Roman" w:hAnsi="Times New Roman" w:eastAsia="黑体" w:cs="Times New Roman"/>
          <w:b w:val="0"/>
          <w:bCs w:val="0"/>
          <w:i w:val="0"/>
          <w:caps w:val="0"/>
          <w:color w:val="auto"/>
          <w:spacing w:val="0"/>
          <w:kern w:val="0"/>
          <w:sz w:val="32"/>
          <w:szCs w:val="32"/>
          <w:shd w:val="clear" w:fill="FFFFFF"/>
          <w:lang w:val="en-US" w:eastAsia="zh-CN" w:bidi="ar"/>
        </w:rPr>
        <w:t>其他需要报告的事项</w:t>
      </w:r>
    </w:p>
    <w:p>
      <w:pPr>
        <w:keepNext w:val="0"/>
        <w:keepLines w:val="0"/>
        <w:pageBreakBefore w:val="0"/>
        <w:numPr>
          <w:ilvl w:val="0"/>
          <w:numId w:val="0"/>
        </w:numPr>
        <w:kinsoku/>
        <w:wordWrap/>
        <w:overflowPunct/>
        <w:topLinePunct w:val="0"/>
        <w:bidi w:val="0"/>
        <w:adjustRightInd/>
        <w:snapToGrid/>
        <w:spacing w:beforeAutospacing="0" w:afterAutospacing="0" w:line="560" w:lineRule="exact"/>
        <w:ind w:leftChars="0" w:right="0" w:rightChars="0" w:firstLine="640" w:firstLineChars="200"/>
        <w:textAlignment w:val="auto"/>
        <w:outlineLvl w:val="0"/>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（一）本年度收取政府公开信息处理费情况</w:t>
      </w:r>
    </w:p>
    <w:p>
      <w:pPr>
        <w:keepNext w:val="0"/>
        <w:keepLines w:val="0"/>
        <w:pageBreakBefore w:val="0"/>
        <w:numPr>
          <w:ilvl w:val="0"/>
          <w:numId w:val="0"/>
        </w:numPr>
        <w:kinsoku/>
        <w:wordWrap/>
        <w:overflowPunct/>
        <w:topLinePunct w:val="0"/>
        <w:bidi w:val="0"/>
        <w:adjustRightInd/>
        <w:snapToGrid/>
        <w:spacing w:beforeAutospacing="0" w:afterAutospacing="0" w:line="560" w:lineRule="exact"/>
        <w:ind w:leftChars="0" w:right="0" w:rightChars="0" w:firstLine="640" w:firstLineChars="200"/>
        <w:textAlignment w:val="auto"/>
        <w:outlineLvl w:val="0"/>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202</w:t>
      </w:r>
      <w:r>
        <w:rPr>
          <w:rFonts w:hint="eastAsia" w:ascii="Times New Roman" w:hAnsi="Times New Roman" w:eastAsia="仿宋_GB2312" w:cs="Times New Roman"/>
          <w:b w:val="0"/>
          <w:bCs w:val="0"/>
          <w:kern w:val="0"/>
          <w:sz w:val="32"/>
          <w:szCs w:val="32"/>
          <w:lang w:val="en-US" w:eastAsia="zh-CN" w:bidi="ar"/>
        </w:rPr>
        <w:t>3</w:t>
      </w:r>
      <w:r>
        <w:rPr>
          <w:rFonts w:hint="default" w:ascii="Times New Roman" w:hAnsi="Times New Roman" w:eastAsia="仿宋_GB2312" w:cs="Times New Roman"/>
          <w:b w:val="0"/>
          <w:bCs w:val="0"/>
          <w:kern w:val="0"/>
          <w:sz w:val="32"/>
          <w:szCs w:val="32"/>
          <w:lang w:val="en-US" w:eastAsia="zh-CN" w:bidi="ar"/>
        </w:rPr>
        <w:t>年度，我局未收取政府信息公开信息处理费。</w:t>
      </w:r>
    </w:p>
    <w:p>
      <w:pPr>
        <w:keepNext w:val="0"/>
        <w:keepLines w:val="0"/>
        <w:pageBreakBefore w:val="0"/>
        <w:numPr>
          <w:ilvl w:val="0"/>
          <w:numId w:val="0"/>
        </w:numPr>
        <w:kinsoku/>
        <w:wordWrap/>
        <w:overflowPunct/>
        <w:topLinePunct w:val="0"/>
        <w:bidi w:val="0"/>
        <w:adjustRightInd/>
        <w:snapToGrid/>
        <w:spacing w:beforeAutospacing="0" w:afterAutospacing="0" w:line="560" w:lineRule="exact"/>
        <w:ind w:leftChars="0" w:right="0" w:rightChars="0" w:firstLine="640" w:firstLineChars="200"/>
        <w:textAlignment w:val="auto"/>
        <w:outlineLvl w:val="0"/>
        <w:rPr>
          <w:rFonts w:hint="default" w:ascii="Times New Roman" w:hAnsi="Times New Roman" w:eastAsia="楷体_GB2312" w:cs="Times New Roman"/>
          <w:b w:val="0"/>
          <w:bCs w:val="0"/>
          <w:sz w:val="32"/>
          <w:szCs w:val="32"/>
        </w:rPr>
      </w:pPr>
      <w:r>
        <w:rPr>
          <w:rFonts w:hint="default" w:ascii="Times New Roman" w:hAnsi="Times New Roman" w:eastAsia="仿宋_GB2312" w:cs="Times New Roman"/>
          <w:b w:val="0"/>
          <w:bCs w:val="0"/>
          <w:sz w:val="32"/>
          <w:szCs w:val="32"/>
          <w:lang w:eastAsia="zh-CN"/>
        </w:rPr>
        <w:t>（二）</w:t>
      </w:r>
      <w:r>
        <w:rPr>
          <w:rFonts w:hint="default" w:ascii="Times New Roman" w:hAnsi="Times New Roman" w:eastAsia="楷体_GB2312" w:cs="Times New Roman"/>
          <w:b w:val="0"/>
          <w:bCs w:val="0"/>
          <w:sz w:val="32"/>
          <w:szCs w:val="32"/>
        </w:rPr>
        <w:t>建议提案办理结果公开情况</w:t>
      </w:r>
    </w:p>
    <w:p>
      <w:pPr>
        <w:pStyle w:val="5"/>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202</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年，我局共收到人大建议、政协提案</w:t>
      </w:r>
      <w:r>
        <w:rPr>
          <w:rFonts w:hint="eastAsia"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rPr>
        <w:t>件，其中人大建议</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件，政协提</w:t>
      </w:r>
      <w:r>
        <w:rPr>
          <w:rFonts w:hint="eastAsia" w:ascii="Times New Roman" w:hAnsi="Times New Roman" w:eastAsia="仿宋_GB2312" w:cs="Times New Roman"/>
          <w:b w:val="0"/>
          <w:bCs w:val="0"/>
          <w:sz w:val="32"/>
          <w:szCs w:val="32"/>
          <w:lang w:val="en-US" w:eastAsia="zh-CN"/>
        </w:rPr>
        <w:t>15</w:t>
      </w:r>
      <w:r>
        <w:rPr>
          <w:rFonts w:hint="default" w:ascii="Times New Roman" w:hAnsi="Times New Roman" w:eastAsia="仿宋_GB2312" w:cs="Times New Roman"/>
          <w:b w:val="0"/>
          <w:bCs w:val="0"/>
          <w:sz w:val="32"/>
          <w:szCs w:val="32"/>
        </w:rPr>
        <w:t>件，主要涉及</w:t>
      </w:r>
      <w:r>
        <w:rPr>
          <w:rFonts w:hint="eastAsia" w:ascii="仿宋_GB2312" w:hAnsi="仿宋_GB2312" w:eastAsia="仿宋_GB2312" w:cs="仿宋_GB2312"/>
          <w:b w:val="0"/>
          <w:bCs w:val="0"/>
          <w:i w:val="0"/>
          <w:iCs w:val="0"/>
          <w:caps w:val="0"/>
          <w:color w:val="000000"/>
          <w:spacing w:val="0"/>
          <w:sz w:val="32"/>
          <w:szCs w:val="32"/>
        </w:rPr>
        <w:t>加快推进西部新城城市公园、文体活动场所</w:t>
      </w:r>
      <w:r>
        <w:rPr>
          <w:rFonts w:hint="eastAsia" w:ascii="仿宋_GB2312" w:hAnsi="仿宋_GB2312" w:eastAsia="仿宋_GB2312" w:cs="仿宋_GB2312"/>
          <w:b w:val="0"/>
          <w:bCs w:val="0"/>
          <w:i w:val="0"/>
          <w:iCs w:val="0"/>
          <w:caps w:val="0"/>
          <w:color w:val="000000"/>
          <w:spacing w:val="0"/>
          <w:sz w:val="32"/>
          <w:szCs w:val="32"/>
          <w:lang w:eastAsia="zh-CN"/>
        </w:rPr>
        <w:t>、加快城西污水管网建设</w:t>
      </w:r>
      <w:r>
        <w:rPr>
          <w:rFonts w:hint="default" w:ascii="Times New Roman" w:hAnsi="Times New Roman" w:eastAsia="仿宋_GB2312" w:cs="Times New Roman"/>
          <w:b w:val="0"/>
          <w:bCs w:val="0"/>
          <w:sz w:val="32"/>
          <w:szCs w:val="32"/>
        </w:rPr>
        <w:t>等方面。我局承办的</w:t>
      </w:r>
      <w:r>
        <w:rPr>
          <w:rFonts w:hint="eastAsia"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rPr>
        <w:t>件都已办理完成。</w:t>
      </w:r>
    </w:p>
    <w:p>
      <w:pPr>
        <w:pStyle w:val="2"/>
        <w:keepNext w:val="0"/>
        <w:keepLines w:val="0"/>
        <w:pageBreakBefore w:val="0"/>
        <w:numPr>
          <w:ilvl w:val="0"/>
          <w:numId w:val="2"/>
        </w:numPr>
        <w:kinsoku/>
        <w:wordWrap/>
        <w:overflowPunct/>
        <w:topLinePunct w:val="0"/>
        <w:bidi w:val="0"/>
        <w:adjustRightInd/>
        <w:snapToGrid/>
        <w:spacing w:before="0" w:beforeAutospacing="0" w:after="0" w:afterAutospacing="0" w:line="560" w:lineRule="exact"/>
        <w:ind w:left="0" w:leftChars="0" w:firstLine="640" w:firstLineChars="200"/>
        <w:textAlignment w:val="auto"/>
        <w:rPr>
          <w:rFonts w:hint="default" w:ascii="Times New Roman" w:hAnsi="Times New Roman" w:eastAsia="楷体_GB2312" w:cs="Times New Roman"/>
          <w:b w:val="0"/>
          <w:bCs w:val="0"/>
          <w:kern w:val="0"/>
          <w:sz w:val="32"/>
          <w:szCs w:val="32"/>
          <w:lang w:val="en-US" w:eastAsia="zh-CN" w:bidi="zh-CN"/>
        </w:rPr>
      </w:pPr>
      <w:r>
        <w:rPr>
          <w:rFonts w:hint="default" w:ascii="Times New Roman" w:hAnsi="Times New Roman" w:eastAsia="楷体_GB2312" w:cs="Times New Roman"/>
          <w:b w:val="0"/>
          <w:bCs w:val="0"/>
          <w:kern w:val="0"/>
          <w:sz w:val="32"/>
          <w:szCs w:val="32"/>
          <w:lang w:val="en-US" w:eastAsia="zh-CN" w:bidi="zh-CN"/>
        </w:rPr>
        <w:t>创新实践工作情况</w:t>
      </w:r>
    </w:p>
    <w:p>
      <w:pPr>
        <w:pStyle w:val="2"/>
        <w:keepNext w:val="0"/>
        <w:keepLines w:val="0"/>
        <w:pageBreakBefore w:val="0"/>
        <w:numPr>
          <w:ilvl w:val="0"/>
          <w:numId w:val="0"/>
        </w:numPr>
        <w:kinsoku/>
        <w:wordWrap/>
        <w:overflowPunct/>
        <w:topLinePunct w:val="0"/>
        <w:bidi w:val="0"/>
        <w:adjustRightInd/>
        <w:snapToGrid/>
        <w:spacing w:before="0" w:beforeAutospacing="0" w:after="0" w:afterAutospacing="0" w:line="560" w:lineRule="exact"/>
        <w:ind w:firstLine="640" w:firstLineChars="200"/>
        <w:textAlignment w:val="auto"/>
        <w:rPr>
          <w:rFonts w:hint="default"/>
          <w:lang w:val="en-US" w:eastAsia="zh-CN"/>
        </w:rPr>
      </w:pPr>
      <w:r>
        <w:rPr>
          <w:rFonts w:hint="eastAsia" w:ascii="Times New Roman" w:hAnsi="Times New Roman" w:eastAsia="仿宋_GB2312" w:cs="Times New Roman"/>
          <w:b w:val="0"/>
          <w:bCs w:val="0"/>
          <w:kern w:val="0"/>
          <w:sz w:val="32"/>
          <w:szCs w:val="32"/>
          <w:lang w:val="en-US" w:eastAsia="zh-CN" w:bidi="ar"/>
        </w:rPr>
        <w:t>我局采取多样化政务公开方式，通过沂源县人民政府官方网站、政府开放日活动、微信公众号新媒体平台等多种方式公开本单位重大活动以及重要会议，及时宣传重要政策措施。</w:t>
      </w:r>
    </w:p>
    <w:p>
      <w:pPr>
        <w:keepNext w:val="0"/>
        <w:keepLines w:val="0"/>
        <w:pageBreakBefore w:val="0"/>
        <w:kinsoku/>
        <w:wordWrap/>
        <w:overflowPunct/>
        <w:topLinePunct w:val="0"/>
        <w:bidi w:val="0"/>
        <w:adjustRightInd/>
        <w:snapToGrid/>
        <w:spacing w:beforeAutospacing="0" w:afterAutospacing="0" w:line="560" w:lineRule="exact"/>
        <w:ind w:leftChars="0" w:firstLine="640" w:firstLineChars="200"/>
        <w:textAlignment w:val="auto"/>
        <w:rPr>
          <w:rFonts w:hint="default" w:ascii="Times New Roman" w:hAnsi="Times New Roman" w:eastAsia="楷体_GB2312" w:cs="Times New Roman"/>
          <w:b w:val="0"/>
          <w:bCs w:val="0"/>
          <w:kern w:val="0"/>
          <w:sz w:val="32"/>
          <w:szCs w:val="32"/>
          <w:lang w:val="en-US" w:eastAsia="zh-CN" w:bidi="zh-CN"/>
        </w:rPr>
      </w:pPr>
      <w:r>
        <w:rPr>
          <w:rFonts w:hint="default" w:ascii="Times New Roman" w:hAnsi="Times New Roman" w:eastAsia="楷体_GB2312" w:cs="Times New Roman"/>
          <w:b w:val="0"/>
          <w:bCs w:val="0"/>
          <w:kern w:val="0"/>
          <w:sz w:val="32"/>
          <w:szCs w:val="32"/>
          <w:lang w:val="en-US" w:eastAsia="zh-CN" w:bidi="zh-CN"/>
        </w:rPr>
        <w:t>（四）《202</w:t>
      </w:r>
      <w:r>
        <w:rPr>
          <w:rFonts w:hint="eastAsia" w:ascii="Times New Roman" w:hAnsi="Times New Roman" w:eastAsia="楷体_GB2312" w:cs="Times New Roman"/>
          <w:b w:val="0"/>
          <w:bCs w:val="0"/>
          <w:kern w:val="0"/>
          <w:sz w:val="32"/>
          <w:szCs w:val="32"/>
          <w:lang w:val="en-US" w:eastAsia="zh-CN" w:bidi="zh-CN"/>
        </w:rPr>
        <w:t>3</w:t>
      </w:r>
      <w:r>
        <w:rPr>
          <w:rFonts w:hint="default" w:ascii="Times New Roman" w:hAnsi="Times New Roman" w:eastAsia="楷体_GB2312" w:cs="Times New Roman"/>
          <w:b w:val="0"/>
          <w:bCs w:val="0"/>
          <w:kern w:val="0"/>
          <w:sz w:val="32"/>
          <w:szCs w:val="32"/>
          <w:lang w:val="en-US" w:eastAsia="zh-CN" w:bidi="zh-CN"/>
        </w:rPr>
        <w:t>年沂源县政务公开工作</w:t>
      </w:r>
      <w:r>
        <w:rPr>
          <w:rFonts w:hint="eastAsia" w:ascii="Times New Roman" w:hAnsi="Times New Roman" w:eastAsia="楷体_GB2312" w:cs="Times New Roman"/>
          <w:b w:val="0"/>
          <w:bCs w:val="0"/>
          <w:kern w:val="0"/>
          <w:sz w:val="32"/>
          <w:szCs w:val="32"/>
          <w:lang w:val="en-US" w:eastAsia="zh-CN" w:bidi="zh-CN"/>
        </w:rPr>
        <w:t>方案</w:t>
      </w:r>
      <w:r>
        <w:rPr>
          <w:rFonts w:hint="default" w:ascii="Times New Roman" w:hAnsi="Times New Roman" w:eastAsia="楷体_GB2312" w:cs="Times New Roman"/>
          <w:b w:val="0"/>
          <w:bCs w:val="0"/>
          <w:kern w:val="0"/>
          <w:sz w:val="32"/>
          <w:szCs w:val="32"/>
          <w:lang w:val="en-US" w:eastAsia="zh-CN" w:bidi="zh-CN"/>
        </w:rPr>
        <w:t>》落实情况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202</w:t>
      </w:r>
      <w:r>
        <w:rPr>
          <w:rFonts w:hint="eastAsia" w:ascii="Times New Roman" w:hAnsi="Times New Roman" w:eastAsia="仿宋_GB2312" w:cs="Times New Roman"/>
          <w:b w:val="0"/>
          <w:bCs w:val="0"/>
          <w:kern w:val="0"/>
          <w:sz w:val="32"/>
          <w:szCs w:val="32"/>
          <w:lang w:val="en-US" w:eastAsia="zh-CN" w:bidi="ar"/>
        </w:rPr>
        <w:t>3</w:t>
      </w:r>
      <w:r>
        <w:rPr>
          <w:rFonts w:hint="default" w:ascii="Times New Roman" w:hAnsi="Times New Roman" w:eastAsia="仿宋_GB2312" w:cs="Times New Roman"/>
          <w:b w:val="0"/>
          <w:bCs w:val="0"/>
          <w:kern w:val="0"/>
          <w:sz w:val="32"/>
          <w:szCs w:val="32"/>
          <w:lang w:val="en-US" w:eastAsia="zh-CN" w:bidi="ar"/>
        </w:rPr>
        <w:t>年按照上级文件的有关要求，不断完善政府信息公开的内容，建立各项信息公开专栏，及时更新网站政务信息，形式更加多样化地主动向社会公开信息，以确保政府信息公开的完整性、全面性和及时性。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（五）其他事项及相关情况</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无</w:t>
      </w:r>
    </w:p>
    <w:p>
      <w:pPr>
        <w:pStyle w:val="2"/>
        <w:keepNext w:val="0"/>
        <w:keepLines w:val="0"/>
        <w:pageBreakBefore w:val="0"/>
        <w:kinsoku/>
        <w:wordWrap/>
        <w:overflowPunct/>
        <w:topLinePunct w:val="0"/>
        <w:bidi w:val="0"/>
        <w:adjustRightInd/>
        <w:snapToGrid/>
        <w:spacing w:before="0" w:beforeAutospacing="0" w:after="0" w:afterAutospacing="0" w:line="560" w:lineRule="exact"/>
        <w:textAlignment w:val="auto"/>
        <w:rPr>
          <w:rFonts w:hint="default" w:ascii="Times New Roman" w:hAnsi="Times New Roman" w:eastAsia="仿宋_GB2312" w:cs="Times New Roman"/>
          <w:b w:val="0"/>
          <w:bCs w:val="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480" w:firstLineChars="14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沂源县综合行政执法局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0" w:firstLineChars="1500"/>
        <w:textAlignment w:val="auto"/>
        <w:rPr>
          <w:rFonts w:hint="default" w:ascii="Times New Roman" w:hAnsi="Times New Roman" w:cs="Times New Roman"/>
          <w:sz w:val="24"/>
          <w:szCs w:val="24"/>
        </w:rPr>
      </w:pPr>
      <w:r>
        <w:rPr>
          <w:rFonts w:hint="default" w:ascii="Times New Roman" w:hAnsi="Times New Roman" w:eastAsia="仿宋_GB2312" w:cs="Times New Roman"/>
          <w:b w:val="0"/>
          <w:bCs w:val="0"/>
          <w:kern w:val="2"/>
          <w:sz w:val="32"/>
          <w:szCs w:val="32"/>
          <w:lang w:val="en-US" w:eastAsia="zh-CN" w:bidi="ar-SA"/>
        </w:rPr>
        <w:t>2023年1月</w:t>
      </w:r>
      <w:r>
        <w:rPr>
          <w:rFonts w:hint="eastAsia" w:ascii="Times New Roman" w:hAnsi="Times New Roman" w:eastAsia="仿宋_GB2312" w:cs="Times New Roman"/>
          <w:b w:val="0"/>
          <w:bCs w:val="0"/>
          <w:kern w:val="2"/>
          <w:sz w:val="32"/>
          <w:szCs w:val="32"/>
          <w:lang w:val="en-US" w:eastAsia="zh-CN" w:bidi="ar-SA"/>
        </w:rPr>
        <w:t>24</w:t>
      </w:r>
      <w:r>
        <w:rPr>
          <w:rFonts w:hint="default" w:ascii="Times New Roman" w:hAnsi="Times New Roman" w:eastAsia="仿宋_GB2312" w:cs="Times New Roman"/>
          <w:b w:val="0"/>
          <w:bCs w:val="0"/>
          <w:kern w:val="2"/>
          <w:sz w:val="32"/>
          <w:szCs w:val="32"/>
          <w:lang w:val="en-US" w:eastAsia="zh-CN" w:bidi="ar-SA"/>
        </w:rPr>
        <w:t>日</w:t>
      </w:r>
    </w:p>
    <w:p>
      <w:pPr>
        <w:keepNext w:val="0"/>
        <w:keepLines w:val="0"/>
        <w:pageBreakBefore w:val="0"/>
        <w:widowControl w:val="0"/>
        <w:kinsoku/>
        <w:wordWrap/>
        <w:overflowPunct/>
        <w:topLinePunct w:val="0"/>
        <w:bidi w:val="0"/>
        <w:adjustRightInd/>
        <w:snapToGrid/>
        <w:spacing w:beforeAutospacing="0" w:afterAutospacing="0" w:line="560" w:lineRule="exact"/>
        <w:ind w:left="0" w:leftChars="0" w:right="0"/>
        <w:textAlignment w:val="auto"/>
        <w:rPr>
          <w:rFonts w:hint="default" w:ascii="Times New Roman" w:hAnsi="Times New Roman" w:cs="Times New Roman"/>
          <w:color w:val="auto"/>
        </w:rPr>
      </w:pPr>
    </w:p>
    <w:sectPr>
      <w:pgSz w:w="11906" w:h="16838"/>
      <w:pgMar w:top="1984"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auto"/>
    <w:pitch w:val="default"/>
    <w:sig w:usb0="00000000" w:usb1="00000000"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224"/>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B0C6D"/>
    <w:multiLevelType w:val="singleLevel"/>
    <w:tmpl w:val="C11B0C6D"/>
    <w:lvl w:ilvl="0" w:tentative="0">
      <w:start w:val="5"/>
      <w:numFmt w:val="chineseCounting"/>
      <w:suff w:val="nothing"/>
      <w:lvlText w:val="（%1）"/>
      <w:lvlJc w:val="left"/>
      <w:rPr>
        <w:rFonts w:hint="eastAsia"/>
      </w:rPr>
    </w:lvl>
  </w:abstractNum>
  <w:abstractNum w:abstractNumId="1">
    <w:nsid w:val="197FDC28"/>
    <w:multiLevelType w:val="singleLevel"/>
    <w:tmpl w:val="197FDC2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29092A4A"/>
    <w:rsid w:val="0114696D"/>
    <w:rsid w:val="011F126D"/>
    <w:rsid w:val="014337F8"/>
    <w:rsid w:val="021A6319"/>
    <w:rsid w:val="02A543CA"/>
    <w:rsid w:val="033B50CF"/>
    <w:rsid w:val="095E2471"/>
    <w:rsid w:val="09A777B0"/>
    <w:rsid w:val="09EA3EF2"/>
    <w:rsid w:val="0AC85C6F"/>
    <w:rsid w:val="0B091BF9"/>
    <w:rsid w:val="0E551F4F"/>
    <w:rsid w:val="111725AC"/>
    <w:rsid w:val="12DA3FF8"/>
    <w:rsid w:val="12E3308D"/>
    <w:rsid w:val="152139F9"/>
    <w:rsid w:val="177B7D38"/>
    <w:rsid w:val="1A8F43B3"/>
    <w:rsid w:val="1BA13498"/>
    <w:rsid w:val="1DB55304"/>
    <w:rsid w:val="1DE62B13"/>
    <w:rsid w:val="1FF67686"/>
    <w:rsid w:val="23333DD5"/>
    <w:rsid w:val="23370BF7"/>
    <w:rsid w:val="24080A52"/>
    <w:rsid w:val="29092A4A"/>
    <w:rsid w:val="290D4568"/>
    <w:rsid w:val="29D4444C"/>
    <w:rsid w:val="2A4F1E48"/>
    <w:rsid w:val="2A55433A"/>
    <w:rsid w:val="2A9C2048"/>
    <w:rsid w:val="2ADF3CE2"/>
    <w:rsid w:val="2B2966D6"/>
    <w:rsid w:val="2BA00689"/>
    <w:rsid w:val="2C622E1D"/>
    <w:rsid w:val="2D522E91"/>
    <w:rsid w:val="2DA50311"/>
    <w:rsid w:val="2DF9330D"/>
    <w:rsid w:val="314F3970"/>
    <w:rsid w:val="330C3DDF"/>
    <w:rsid w:val="33323549"/>
    <w:rsid w:val="33355325"/>
    <w:rsid w:val="33BF7A97"/>
    <w:rsid w:val="353F4ED6"/>
    <w:rsid w:val="3626305B"/>
    <w:rsid w:val="3773054F"/>
    <w:rsid w:val="39D76BF8"/>
    <w:rsid w:val="3A736BFA"/>
    <w:rsid w:val="3ADE3FB6"/>
    <w:rsid w:val="3DB34524"/>
    <w:rsid w:val="3F2006FA"/>
    <w:rsid w:val="40622AED"/>
    <w:rsid w:val="43845143"/>
    <w:rsid w:val="44C23E37"/>
    <w:rsid w:val="45E561F9"/>
    <w:rsid w:val="46752F47"/>
    <w:rsid w:val="46D22C21"/>
    <w:rsid w:val="480C5CBF"/>
    <w:rsid w:val="48934632"/>
    <w:rsid w:val="49157C69"/>
    <w:rsid w:val="4BE64226"/>
    <w:rsid w:val="4EAA7FE0"/>
    <w:rsid w:val="4F1162B1"/>
    <w:rsid w:val="506E3F2C"/>
    <w:rsid w:val="507704C5"/>
    <w:rsid w:val="50EE4AFC"/>
    <w:rsid w:val="50F92314"/>
    <w:rsid w:val="516A5AB7"/>
    <w:rsid w:val="529769A0"/>
    <w:rsid w:val="562E599A"/>
    <w:rsid w:val="56335624"/>
    <w:rsid w:val="56821842"/>
    <w:rsid w:val="56E97A1E"/>
    <w:rsid w:val="58BD754D"/>
    <w:rsid w:val="58FC58DC"/>
    <w:rsid w:val="59122607"/>
    <w:rsid w:val="5AE24555"/>
    <w:rsid w:val="5BBC5376"/>
    <w:rsid w:val="5C943CEB"/>
    <w:rsid w:val="5C946EE9"/>
    <w:rsid w:val="5CA31420"/>
    <w:rsid w:val="5DAF4A56"/>
    <w:rsid w:val="5FB8156D"/>
    <w:rsid w:val="612605C3"/>
    <w:rsid w:val="62BB6808"/>
    <w:rsid w:val="65A4210E"/>
    <w:rsid w:val="663042DF"/>
    <w:rsid w:val="684145EE"/>
    <w:rsid w:val="6BF54B38"/>
    <w:rsid w:val="6CB26586"/>
    <w:rsid w:val="6F17200B"/>
    <w:rsid w:val="70D171F6"/>
    <w:rsid w:val="73D94D40"/>
    <w:rsid w:val="74C5185D"/>
    <w:rsid w:val="76341608"/>
    <w:rsid w:val="7657019E"/>
    <w:rsid w:val="78A85CB7"/>
    <w:rsid w:val="78D0234D"/>
    <w:rsid w:val="79626D42"/>
    <w:rsid w:val="79E81839"/>
    <w:rsid w:val="7C8F243F"/>
    <w:rsid w:val="7CB6499D"/>
    <w:rsid w:val="7CF6426C"/>
    <w:rsid w:val="7F533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方正仿宋_GBK" w:hAnsi="方正仿宋_GBK" w:eastAsia="方正仿宋_GBK" w:cs="方正仿宋_GBK"/>
      <w:sz w:val="22"/>
      <w:szCs w:val="22"/>
      <w:lang w:val="zh-CN" w:eastAsia="zh-CN" w:bidi="zh-CN"/>
    </w:rPr>
  </w:style>
  <w:style w:type="paragraph" w:styleId="2">
    <w:name w:val="heading 3"/>
    <w:basedOn w:val="1"/>
    <w:next w:val="1"/>
    <w:autoRedefine/>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image" Target="../media/image2.png"/><Relationship Id="rId3" Type="http://schemas.openxmlformats.org/officeDocument/2006/relationships/image" Target="../media/image1.png"/><Relationship Id="rId2" Type="http://schemas.openxmlformats.org/officeDocument/2006/relationships/themeOverride" Target="../theme/themeOverride2.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2474027542885"/>
          <c:y val="0.0286867828304292"/>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政务公开网站发布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Lbls>
            <c:delete val="1"/>
          </c:dLbls>
          <c:cat>
            <c:strRef>
              <c:f>Sheet1!$A$2:$A$16</c:f>
              <c:strCache>
                <c:ptCount val="15"/>
                <c:pt idx="0">
                  <c:v>机构职能</c:v>
                </c:pt>
                <c:pt idx="1">
                  <c:v>政策法规</c:v>
                </c:pt>
                <c:pt idx="2">
                  <c:v>部门会议及解读</c:v>
                </c:pt>
                <c:pt idx="3">
                  <c:v>规划计划</c:v>
                </c:pt>
                <c:pt idx="4">
                  <c:v>污染防治</c:v>
                </c:pt>
                <c:pt idx="5">
                  <c:v>建议提案办理</c:v>
                </c:pt>
                <c:pt idx="6">
                  <c:v>财政信息</c:v>
                </c:pt>
                <c:pt idx="7">
                  <c:v>管理和服务公开</c:v>
                </c:pt>
                <c:pt idx="8">
                  <c:v>双随机一公开</c:v>
                </c:pt>
                <c:pt idx="9">
                  <c:v>政务公开组织领导</c:v>
                </c:pt>
                <c:pt idx="10">
                  <c:v>信息公开指南</c:v>
                </c:pt>
                <c:pt idx="11">
                  <c:v>信息公开年度报告</c:v>
                </c:pt>
                <c:pt idx="12">
                  <c:v>政务公开培训</c:v>
                </c:pt>
                <c:pt idx="13">
                  <c:v>政务公开工作推进</c:v>
                </c:pt>
                <c:pt idx="14">
                  <c:v>法制建设专栏</c:v>
                </c:pt>
              </c:strCache>
            </c:strRef>
          </c:cat>
          <c:val>
            <c:numRef>
              <c:f>Sheet1!$B$2:$B$16</c:f>
              <c:numCache>
                <c:formatCode>General</c:formatCode>
                <c:ptCount val="15"/>
                <c:pt idx="0">
                  <c:v>2</c:v>
                </c:pt>
                <c:pt idx="1">
                  <c:v>9</c:v>
                </c:pt>
                <c:pt idx="2">
                  <c:v>17</c:v>
                </c:pt>
                <c:pt idx="3">
                  <c:v>2</c:v>
                </c:pt>
                <c:pt idx="4">
                  <c:v>17</c:v>
                </c:pt>
                <c:pt idx="5">
                  <c:v>22</c:v>
                </c:pt>
                <c:pt idx="6">
                  <c:v>4</c:v>
                </c:pt>
                <c:pt idx="7">
                  <c:v>69</c:v>
                </c:pt>
                <c:pt idx="8">
                  <c:v>12</c:v>
                </c:pt>
                <c:pt idx="9">
                  <c:v>4</c:v>
                </c:pt>
                <c:pt idx="10">
                  <c:v>1</c:v>
                </c:pt>
                <c:pt idx="11">
                  <c:v>1</c:v>
                </c:pt>
                <c:pt idx="12">
                  <c:v>2</c:v>
                </c:pt>
                <c:pt idx="13">
                  <c:v>7</c:v>
                </c:pt>
                <c:pt idx="14">
                  <c:v>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政务公开新媒体发布</a:t>
            </a:r>
          </a:p>
        </c:rich>
      </c:tx>
      <c:layout>
        <c:manualLayout>
          <c:xMode val="edge"/>
          <c:yMode val="edge"/>
          <c:x val="0.34646049770476"/>
          <c:y val="0.0350616234594135"/>
        </c:manualLayout>
      </c:layout>
      <c:overlay val="0"/>
      <c:spPr>
        <a:noFill/>
        <a:ln>
          <a:noFill/>
        </a:ln>
        <a:effectLst/>
      </c:spPr>
    </c:title>
    <c:autoTitleDeleted val="0"/>
    <c:plotArea>
      <c:layout/>
      <c:pieChart>
        <c:varyColors val="1"/>
        <c:ser>
          <c:idx val="0"/>
          <c:order val="0"/>
          <c:tx>
            <c:strRef>
              <c:f>Sheet1!$B$1</c:f>
              <c:strCache>
                <c:ptCount val="1"/>
                <c:pt idx="0">
                  <c:v>政务公开新媒体发布</c:v>
                </c:pt>
              </c:strCache>
            </c:strRef>
          </c:tx>
          <c:spPr>
            <a:ln w="25400">
              <a:solidFill>
                <a:schemeClr val="tx1"/>
              </a:solidFill>
            </a:ln>
            <a:sp3d contourW="25400"/>
          </c:spPr>
          <c:explosion val="0"/>
          <c:dPt>
            <c:idx val="0"/>
            <c:bubble3D val="0"/>
            <c:spPr>
              <a:pattFill prst="wdUpDiag">
                <a:fgClr>
                  <a:schemeClr val="accent1"/>
                </a:fgClr>
                <a:bgClr>
                  <a:schemeClr val="accent1">
                    <a:lumMod val="20000"/>
                    <a:lumOff val="80000"/>
                  </a:schemeClr>
                </a:bgClr>
              </a:pattFill>
              <a:ln w="25400">
                <a:solidFill>
                  <a:schemeClr val="accent1"/>
                </a:solidFill>
              </a:ln>
              <a:effectLst/>
              <a:sp3d contourW="25400"/>
            </c:spPr>
          </c:dPt>
          <c:dPt>
            <c:idx val="1"/>
            <c:bubble3D val="0"/>
            <c:explosion val="10"/>
            <c:spPr>
              <a:pattFill prst="wdUpDiag">
                <a:fgClr>
                  <a:schemeClr val="accent2"/>
                </a:fgClr>
                <a:bgClr>
                  <a:schemeClr val="accent2">
                    <a:lumMod val="20000"/>
                    <a:lumOff val="80000"/>
                  </a:schemeClr>
                </a:bgClr>
              </a:pattFill>
              <a:ln w="25400">
                <a:solidFill>
                  <a:schemeClr val="accent2"/>
                </a:solidFill>
              </a:ln>
              <a:effectLst/>
              <a:sp3d contourW="25400"/>
            </c:spPr>
          </c:dPt>
          <c:dPt>
            <c:idx val="2"/>
            <c:bubble3D val="0"/>
            <c:spPr>
              <a:pattFill prst="wdUpDiag">
                <a:fgClr>
                  <a:schemeClr val="accent3"/>
                </a:fgClr>
                <a:bgClr>
                  <a:schemeClr val="accent3">
                    <a:lumMod val="20000"/>
                    <a:lumOff val="80000"/>
                  </a:schemeClr>
                </a:bgClr>
              </a:pattFill>
              <a:ln w="25400">
                <a:solidFill>
                  <a:schemeClr val="accent3"/>
                </a:solidFill>
              </a:ln>
              <a:effectLst/>
              <a:sp3d contourW="25400"/>
            </c:spPr>
          </c:dPt>
          <c:dPt>
            <c:idx val="3"/>
            <c:bubble3D val="0"/>
            <c:spPr>
              <a:pattFill prst="wdUpDiag">
                <a:fgClr>
                  <a:schemeClr val="accent4"/>
                </a:fgClr>
                <a:bgClr>
                  <a:schemeClr val="accent4">
                    <a:lumMod val="20000"/>
                    <a:lumOff val="80000"/>
                  </a:schemeClr>
                </a:bgClr>
              </a:pattFill>
              <a:ln w="25400">
                <a:solidFill>
                  <a:schemeClr val="accent4"/>
                </a:solidFill>
              </a:ln>
              <a:effectLst/>
              <a:sp3d contourW="25400"/>
            </c:spPr>
          </c:dPt>
          <c:dPt>
            <c:idx val="4"/>
            <c:bubble3D val="0"/>
            <c:spPr>
              <a:pattFill prst="wdUpDiag">
                <a:fgClr>
                  <a:schemeClr val="accent5"/>
                </a:fgClr>
                <a:bgClr>
                  <a:schemeClr val="accent5">
                    <a:lumMod val="20000"/>
                    <a:lumOff val="80000"/>
                  </a:schemeClr>
                </a:bgClr>
              </a:pattFill>
              <a:ln w="25400">
                <a:solidFill>
                  <a:schemeClr val="accent5"/>
                </a:solidFill>
              </a:ln>
              <a:effectLst/>
              <a:sp3d contourW="25400"/>
            </c:spPr>
          </c:dPt>
          <c:dPt>
            <c:idx val="5"/>
            <c:bubble3D val="0"/>
            <c:spPr>
              <a:pattFill prst="wdUpDiag">
                <a:fgClr>
                  <a:schemeClr val="accent6"/>
                </a:fgClr>
                <a:bgClr>
                  <a:schemeClr val="accent6">
                    <a:lumMod val="20000"/>
                    <a:lumOff val="80000"/>
                  </a:schemeClr>
                </a:bgClr>
              </a:pattFill>
              <a:ln w="25400">
                <a:solidFill>
                  <a:schemeClr val="accent6"/>
                </a:solidFill>
              </a:ln>
              <a:effectLst/>
              <a:sp3d contourW="25400"/>
            </c:spPr>
          </c:dPt>
          <c:dLbls>
            <c:dLbl>
              <c:idx val="0"/>
              <c:layout/>
              <c:numFmt formatCode="General" sourceLinked="1"/>
              <c:spPr>
                <a:solidFill>
                  <a:schemeClr val="lt1"/>
                </a:solidFill>
                <a:ln w="12700">
                  <a:solidFill>
                    <a:schemeClr val="accent1"/>
                  </a:solidFill>
                </a:ln>
                <a:effectLst/>
              </c:spPr>
              <c:txPr>
                <a:bodyPr rot="0" spcFirstLastPara="0" vertOverflow="clip" horzOverflow="clip" vert="horz" wrap="square" lIns="36576" tIns="18288" rIns="36576" bIns="18288" anchor="ctr" anchorCtr="1" forceAA="0">
                  <a:spAutoFit/>
                </a:bodyPr>
                <a:lstStyle/>
                <a:p>
                  <a:pPr>
                    <a:defRPr lang="zh-CN" sz="1200" b="1" i="0" u="none" strike="noStrike" kern="1200" baseline="0">
                      <a:solidFill>
                        <a:schemeClr val="accent1"/>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1"/>
              <c:layout/>
              <c:numFmt formatCode="General" sourceLinked="1"/>
              <c:spPr>
                <a:solidFill>
                  <a:schemeClr val="lt1"/>
                </a:solidFill>
                <a:ln w="12700">
                  <a:solidFill>
                    <a:schemeClr val="accent2"/>
                  </a:solidFill>
                </a:ln>
                <a:effectLst/>
              </c:spPr>
              <c:txPr>
                <a:bodyPr rot="0" spcFirstLastPara="0" vertOverflow="clip" horzOverflow="clip" vert="horz" wrap="square" lIns="36576" tIns="18288" rIns="36576" bIns="18288" anchor="ctr" anchorCtr="1" forceAA="0">
                  <a:spAutoFit/>
                </a:bodyPr>
                <a:lstStyle/>
                <a:p>
                  <a:pPr>
                    <a:defRPr lang="zh-CN" sz="1200" b="1" i="0" u="none" strike="noStrike" kern="1200" baseline="0">
                      <a:solidFill>
                        <a:schemeClr val="accent2"/>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2"/>
              <c:layout/>
              <c:numFmt formatCode="General" sourceLinked="1"/>
              <c:spPr>
                <a:solidFill>
                  <a:schemeClr val="lt1"/>
                </a:solidFill>
                <a:ln w="12700">
                  <a:solidFill>
                    <a:schemeClr val="accent3"/>
                  </a:solidFill>
                </a:ln>
                <a:effectLst/>
              </c:spPr>
              <c:txPr>
                <a:bodyPr rot="0" spcFirstLastPara="0" vertOverflow="clip" horzOverflow="clip" vert="horz" wrap="square" lIns="36576" tIns="18288" rIns="36576" bIns="18288" anchor="ctr" anchorCtr="1" forceAA="0">
                  <a:spAutoFit/>
                </a:bodyPr>
                <a:lstStyle/>
                <a:p>
                  <a:pPr>
                    <a:defRPr lang="zh-CN" sz="1200" b="1" i="0" u="none" strike="noStrike" kern="1200" baseline="0">
                      <a:solidFill>
                        <a:schemeClr val="accent3"/>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3"/>
              <c:layout/>
              <c:numFmt formatCode="General" sourceLinked="1"/>
              <c:spPr>
                <a:solidFill>
                  <a:schemeClr val="lt1"/>
                </a:solidFill>
                <a:ln w="12700">
                  <a:solidFill>
                    <a:schemeClr val="accent4"/>
                  </a:solidFill>
                </a:ln>
                <a:effectLst/>
              </c:spPr>
              <c:txPr>
                <a:bodyPr rot="0" spcFirstLastPara="0" vertOverflow="clip" horzOverflow="clip" vert="horz" wrap="square" lIns="36576" tIns="18288" rIns="36576" bIns="18288" anchor="ctr" anchorCtr="1" forceAA="0">
                  <a:spAutoFit/>
                </a:bodyPr>
                <a:lstStyle/>
                <a:p>
                  <a:pPr>
                    <a:defRPr lang="zh-CN" sz="1200" b="1" i="0" u="none" strike="noStrike" kern="1200" baseline="0">
                      <a:solidFill>
                        <a:schemeClr val="accent4"/>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solidFill>
                <a:schemeClr val="lt1"/>
              </a:solidFill>
              <a:ln w="12700">
                <a:solidFill>
                  <a:schemeClr val="dk1">
                    <a:lumMod val="25000"/>
                    <a:lumOff val="75000"/>
                  </a:schemeClr>
                </a:solidFill>
              </a:ln>
              <a:effectLst/>
            </c:spPr>
            <c:txPr>
              <a:bodyPr rot="0" spcFirstLastPara="0" vertOverflow="clip" horzOverflow="clip" vert="horz" wrap="square" lIns="36576" tIns="18288" rIns="36576" bIns="18288" anchor="ctr" anchorCtr="1" forceAA="0">
                <a:spAutoFit/>
              </a:bodyPr>
              <a:lstStyle/>
              <a:p>
                <a:pPr>
                  <a:defRPr lang="zh-CN" sz="1200" b="0" i="0" u="none" strike="noStrike" kern="1200" baseline="0">
                    <a:solidFill>
                      <a:schemeClr val="dk1">
                        <a:lumMod val="65000"/>
                        <a:lumOff val="35000"/>
                      </a:schemeClr>
                    </a:solidFill>
                    <a:latin typeface="+mn-lt"/>
                    <a:ea typeface="+mn-ea"/>
                    <a:cs typeface="+mn-cs"/>
                  </a:defRPr>
                </a:pPr>
              </a:p>
            </c:txPr>
            <c:dLblPos val="in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Sheet1!$A$2:$A$7</c:f>
              <c:strCache>
                <c:ptCount val="6"/>
                <c:pt idx="0">
                  <c:v>省市级媒体客户端刊发</c:v>
                </c:pt>
                <c:pt idx="1">
                  <c:v>淄博城市管理公众号推送</c:v>
                </c:pt>
                <c:pt idx="2">
                  <c:v>县级媒体推送</c:v>
                </c:pt>
                <c:pt idx="3">
                  <c:v>沂源政务信息采用</c:v>
                </c:pt>
                <c:pt idx="4">
                  <c:v>沂源城市管理公众号推送</c:v>
                </c:pt>
                <c:pt idx="5">
                  <c:v>沂源城市管理视频号、抖音号</c:v>
                </c:pt>
              </c:strCache>
            </c:strRef>
          </c:cat>
          <c:val>
            <c:numRef>
              <c:f>Sheet1!$B$2:$B$7</c:f>
              <c:numCache>
                <c:formatCode>General</c:formatCode>
                <c:ptCount val="6"/>
                <c:pt idx="0">
                  <c:v>63</c:v>
                </c:pt>
                <c:pt idx="1">
                  <c:v>39</c:v>
                </c:pt>
                <c:pt idx="2">
                  <c:v>37</c:v>
                </c:pt>
                <c:pt idx="3">
                  <c:v>12</c:v>
                </c:pt>
                <c:pt idx="4">
                  <c:v>136</c:v>
                </c:pt>
                <c:pt idx="5">
                  <c:v>74</c:v>
                </c:pt>
              </c:numCache>
            </c:numRef>
          </c:val>
        </c:ser>
        <c:dLbls>
          <c:showLegendKey val="0"/>
          <c:showVal val="0"/>
          <c:showCatName val="0"/>
          <c:showSerName val="0"/>
          <c:showPercent val="1"/>
          <c:showBubbleSize val="0"/>
          <c:showLeaderLines val="0"/>
        </c:dLbls>
        <c:firstSliceAng val="332"/>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sz="1000" b="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1"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依申请公开数量</a:t>
            </a:r>
          </a:p>
        </c:rich>
      </c:tx>
      <c:layout/>
      <c:overlay val="0"/>
      <c:spPr>
        <a:noFill/>
        <a:ln>
          <a:noFill/>
        </a:ln>
        <a:effectLst/>
      </c:spPr>
    </c:title>
    <c:autoTitleDeleted val="0"/>
    <c:plotArea>
      <c:layout/>
      <c:barChart>
        <c:barDir val="col"/>
        <c:grouping val="clustered"/>
        <c:varyColors val="0"/>
        <c:ser>
          <c:idx val="2"/>
          <c:order val="0"/>
          <c:tx>
            <c:strRef>
              <c:f>Sheet1!$D$1</c:f>
              <c:strCache>
                <c:ptCount val="1"/>
                <c:pt idx="0">
                  <c:v>系列 3</c:v>
                </c:pt>
              </c:strCache>
            </c:strRef>
          </c:tx>
          <c:spPr>
            <a:blipFill rotWithShape="1">
              <a:blip xmlns:r="http://schemas.openxmlformats.org/officeDocument/2006/relationships" r:embed="rId3"/>
              <a:stretch>
                <a:fillRect/>
              </a:stretch>
            </a:blipFill>
            <a:ln>
              <a:noFill/>
            </a:ln>
            <a:effectLst>
              <a:outerShdw blurRad="76200" dir="2400000" sy="23000" kx="-1200000" algn="bl" rotWithShape="0">
                <a:schemeClr val="bg1">
                  <a:lumMod val="50000"/>
                  <a:alpha val="20000"/>
                </a:schemeClr>
              </a:outerShdw>
            </a:effectLst>
          </c:spPr>
          <c:invertIfNegative val="0"/>
          <c:dPt>
            <c:idx val="0"/>
            <c:invertIfNegative val="0"/>
            <c:bubble3D val="0"/>
            <c:spPr>
              <a:blipFill rotWithShape="1">
                <a:blip xmlns:r="http://schemas.openxmlformats.org/officeDocument/2006/relationships" r:embed="rId4"/>
                <a:stretch>
                  <a:fillRect/>
                </a:stretch>
              </a:blipFill>
              <a:ln>
                <a:noFill/>
              </a:ln>
              <a:effectLst>
                <a:outerShdw blurRad="76200" dir="2400000" sy="23000" kx="-1200000" algn="bl" rotWithShape="0">
                  <a:schemeClr val="bg1">
                    <a:lumMod val="50000"/>
                    <a:alpha val="20000"/>
                  </a:schemeClr>
                </a:outerShdw>
              </a:effectLst>
            </c:spPr>
          </c:dPt>
          <c:dPt>
            <c:idx val="1"/>
            <c:invertIfNegative val="0"/>
            <c:bubble3D val="0"/>
            <c:spPr>
              <a:blipFill rotWithShape="1">
                <a:blip xmlns:r="http://schemas.openxmlformats.org/officeDocument/2006/relationships" r:embed="rId5"/>
                <a:stretch>
                  <a:fillRect/>
                </a:stretch>
              </a:blipFill>
              <a:ln>
                <a:noFill/>
              </a:ln>
              <a:effectLst>
                <a:outerShdw blurRad="76200" dir="2400000" sy="23000" kx="-1200000" algn="bl" rotWithShape="0">
                  <a:schemeClr val="bg1">
                    <a:lumMod val="50000"/>
                    <a:alpha val="20000"/>
                  </a:schemeClr>
                </a:outerShdw>
              </a:effectLst>
            </c:spPr>
          </c:dPt>
          <c:dPt>
            <c:idx val="2"/>
            <c:invertIfNegative val="0"/>
            <c:bubble3D val="0"/>
            <c:spPr>
              <a:blipFill rotWithShape="1">
                <a:blip xmlns:r="http://schemas.openxmlformats.org/officeDocument/2006/relationships" r:embed="rId6"/>
                <a:stretch>
                  <a:fillRect/>
                </a:stretch>
              </a:blipFill>
              <a:ln>
                <a:noFill/>
              </a:ln>
              <a:effectLst>
                <a:outerShdw blurRad="76200" dir="2400000" sy="23000" kx="-1200000" algn="bl" rotWithShape="0">
                  <a:schemeClr val="bg1">
                    <a:lumMod val="50000"/>
                    <a:alpha val="20000"/>
                  </a:schemeClr>
                </a:outerShdw>
              </a:effectLst>
            </c:spPr>
          </c:dPt>
          <c:dLbls>
            <c:dLbl>
              <c:idx val="0"/>
              <c:delete val="1"/>
            </c:dLbl>
            <c:dLbl>
              <c:idx val="1"/>
              <c:delete val="1"/>
            </c:dLbl>
            <c:dLbl>
              <c:idx val="2"/>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2021年</c:v>
                </c:pt>
                <c:pt idx="1">
                  <c:v>2022年</c:v>
                </c:pt>
                <c:pt idx="2">
                  <c:v>2023年</c:v>
                </c:pt>
              </c:strCache>
            </c:strRef>
          </c:cat>
          <c:val>
            <c:numRef>
              <c:f>Sheet1!$D$2:$D$4</c:f>
              <c:numCache>
                <c:formatCode>General</c:formatCode>
                <c:ptCount val="3"/>
                <c:pt idx="0">
                  <c:v>0</c:v>
                </c:pt>
                <c:pt idx="1">
                  <c:v>1</c:v>
                </c:pt>
                <c:pt idx="2">
                  <c:v>3</c:v>
                </c:pt>
              </c:numCache>
            </c:numRef>
          </c:val>
        </c:ser>
        <c:dLbls>
          <c:showLegendKey val="0"/>
          <c:showVal val="1"/>
          <c:showCatName val="0"/>
          <c:showSerName val="0"/>
          <c:showPercent val="0"/>
          <c:showBubbleSize val="0"/>
        </c:dLbls>
        <c:gapWidth val="150"/>
        <c:overlap val="0"/>
        <c:axId val="750413960"/>
        <c:axId val="560794264"/>
      </c:barChart>
      <c:catAx>
        <c:axId val="750413960"/>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60794264"/>
        <c:crosses val="autoZero"/>
        <c:auto val="1"/>
        <c:lblAlgn val="ctr"/>
        <c:lblOffset val="100"/>
        <c:noMultiLvlLbl val="0"/>
      </c:catAx>
      <c:valAx>
        <c:axId val="56079426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layout/>
          <c:overlay val="0"/>
          <c:spPr>
            <a:noFill/>
            <a:ln>
              <a:noFill/>
            </a:ln>
            <a:effectLst/>
          </c:spPr>
          <c:tx>
            <c:rich>
              <a:bodyPr/>
              <a:lstStyle/>
              <a:p>
                <a:pPr>
                  <a:defRPr/>
                </a:pPr>
              </a:p>
            </c:rich>
          </c:tx>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0413960"/>
        <c:crosses val="autoZero"/>
        <c:crossBetween val="between"/>
      </c:valAx>
      <c:spPr>
        <a:noFill/>
        <a:ln w="3175">
          <a:solidFill>
            <a:schemeClr val="bg1">
              <a:lumMod val="95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19">
    <a:dk1>
      <a:srgbClr val="000000"/>
    </a:dk1>
    <a:lt1>
      <a:srgbClr val="FFFFFF"/>
    </a:lt1>
    <a:dk2>
      <a:srgbClr val="0C0E1F"/>
    </a:dk2>
    <a:lt2>
      <a:srgbClr val="FEFFFF"/>
    </a:lt2>
    <a:accent1>
      <a:srgbClr val="FEB348"/>
    </a:accent1>
    <a:accent2>
      <a:srgbClr val="FE7B48"/>
    </a:accent2>
    <a:accent3>
      <a:srgbClr val="5FB6FF"/>
    </a:accent3>
    <a:accent4>
      <a:srgbClr val="F08BB4"/>
    </a:accent4>
    <a:accent5>
      <a:srgbClr val="4165FF"/>
    </a:accent5>
    <a:accent6>
      <a:srgbClr val="48C8AC"/>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2798</Words>
  <Characters>2900</Characters>
  <Lines>0</Lines>
  <Paragraphs>0</Paragraphs>
  <TotalTime>2</TotalTime>
  <ScaleCrop>false</ScaleCrop>
  <LinksUpToDate>false</LinksUpToDate>
  <CharactersWithSpaces>2942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2023-01-16T07:23:00Z</dcterms:created>
  <dc:creator>Administrator</dc:creator>
  <cp:lastModifiedBy>白白白白</cp:lastModifiedBy>
  <dcterms:modified xsi:type="dcterms:W3CDTF">2024-03-26T00:57:04Z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164282205FE94C26BC4B4F93DEDD4DA8</vt:lpwstr>
  </property>
</Properties>
</file>