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21" w:tblpY="100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07"/>
        <w:gridCol w:w="5105"/>
        <w:gridCol w:w="4828"/>
        <w:gridCol w:w="831"/>
        <w:gridCol w:w="785"/>
      </w:tblGrid>
      <w:tr w14:paraId="32A7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CFB8E6">
            <w:pPr>
              <w:keepNext w:val="0"/>
              <w:keepLines w:val="0"/>
              <w:widowControl/>
              <w:suppressLineNumbers w:val="0"/>
              <w:tabs>
                <w:tab w:val="left" w:pos="4830"/>
              </w:tabs>
              <w:jc w:val="center"/>
              <w:textAlignment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沂源县餐厨废弃物及厨余垃圾收运及协同处置作业服务管理考核表（   年  月）</w:t>
            </w:r>
          </w:p>
          <w:p w14:paraId="413655FD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年   月  日</w:t>
            </w:r>
          </w:p>
        </w:tc>
      </w:tr>
      <w:tr w14:paraId="20EA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8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扣分理由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73049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9E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19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4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2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F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4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13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B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计量管理（30分）</w:t>
            </w:r>
          </w:p>
          <w:p w14:paraId="723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DE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B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CF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4B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95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A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B1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5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5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E868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3D937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ED427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89626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1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有效计量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FF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运营方应建立自动在线计量系统，如实记录每车进出厂时间、车号、重量、数据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1D5B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建立计量系统故障预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案，一旦出现异常，运营方应在30分钟内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夜间及节假日无法及时上报时，应在工作日24小时内上报，节假日顺延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按规定解决计量数据问题。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B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未按时有效提交进场垃圾实时数据打印报表或提交数据不全，每次扣1分；</w:t>
            </w:r>
          </w:p>
          <w:p w14:paraId="6A38F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无有效的计量系统故障预案扣2分；</w:t>
            </w:r>
          </w:p>
          <w:p w14:paraId="6DECD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发生故障后未按时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，每次扣2分，未及时修复故障每次扣1分；</w:t>
            </w:r>
          </w:p>
          <w:p w14:paraId="66708B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因系统问题未及时修复而影响到正常计量工作加扣3分。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F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09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16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规范计量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3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仅对规定区域、协议范围内的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进行收运补贴，必须规范计量，严禁擅自混淆区域计量。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6D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对不同的补贴支付主体，运营方混淆区域计量，每吨扣1 分；</w:t>
            </w:r>
          </w:p>
          <w:p w14:paraId="43AFC4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2）擅自收运未经认可的商家，每次扣2分。（特殊情况且运营方已积极采取有效措施并报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的情况除外）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9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EF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3E1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C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数据报送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0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1）每周报送新增收运协议、投入的运输车辆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（无新增可不报送）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；每日报送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、厨余垃圾废弃物收运处置量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等数据。</w:t>
            </w:r>
          </w:p>
          <w:p w14:paraId="47593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2）建立生产运行、设备维护、衍生产品、质量检测等专项台账。</w:t>
            </w:r>
          </w:p>
          <w:p w14:paraId="4F4BD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3）按时提交生产日报表、运行周报、月报及年报。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8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1）未按时报送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、厨余垃圾废弃物收运处置量等数据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每项次扣3分；</w:t>
            </w:r>
          </w:p>
          <w:p w14:paraId="0A10D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2）未按要求建立专项台账每少一项扣2分；</w:t>
            </w:r>
          </w:p>
          <w:p w14:paraId="2811F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3）未按要求及时提供相关资料每次扣1分；</w:t>
            </w:r>
          </w:p>
          <w:p w14:paraId="3D707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4）上报数据不全每项次扣1分，篡改或虚报数据扣3分。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3EF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5E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11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系统校准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4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运营方应保证计量系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统的准确性，至少每年请有资质单位进行校核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，取得检测报告后3个工作日内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1）未按期开展有效校核每次扣3分；</w:t>
            </w:r>
          </w:p>
          <w:p w14:paraId="0EDB5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2）检测报告未按时报每次扣1分；</w:t>
            </w:r>
          </w:p>
          <w:p w14:paraId="6EC75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3）未按要求私自进行系统设置的每次扣1分。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1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F5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3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运营方做好车辆安装GPS、车载称重、视频监控等监控设备，并保证设备正常使用。做好对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在线监管系统的更新完善等信息系统建设。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918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车载称重、视频、GPS等监管设备未正常使用，每项次扣2分</w:t>
            </w:r>
            <w:r>
              <w:rPr>
                <w:rFonts w:hint="eastAsia"/>
                <w:lang w:eastAsia="zh-CN"/>
              </w:rPr>
              <w:t>；</w:t>
            </w:r>
          </w:p>
          <w:p w14:paraId="6AC8885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不配合开展信息系统建设，视情况扣1-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</w:p>
          <w:p w14:paraId="4FB55D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车载称重数据误差率超限值，每辆次扣1分</w:t>
            </w:r>
            <w:r>
              <w:rPr>
                <w:rFonts w:hint="eastAsia"/>
                <w:lang w:eastAsia="zh-CN"/>
              </w:rPr>
              <w:t>；</w:t>
            </w:r>
          </w:p>
          <w:p w14:paraId="756A71D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设备故障超过2天未上报或未及时维修的每车扣2分；</w:t>
            </w:r>
          </w:p>
          <w:p w14:paraId="5AFAD1C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因管理不善造成设备损坏的，视情况扣2-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分。</w:t>
            </w:r>
          </w:p>
          <w:p w14:paraId="44DFE0E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管理人员及时监控工作状态下收运人员动态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3B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136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88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74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9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68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9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8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49D98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0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B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E4608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FA96A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8E364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EE4AE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运营管理（50分）</w:t>
            </w:r>
          </w:p>
          <w:p w14:paraId="0BE8031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90EBD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64325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A294D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78557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3CB98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E3538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71A97EE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5EF4B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AF9001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C17E7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E2359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82007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11420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D1406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0C8F1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3FD6D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1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94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1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运营管理（50分）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收运环节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AE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1）</w:t>
            </w:r>
            <w:r>
              <w:rPr>
                <w:rFonts w:hint="eastAsia"/>
                <w:lang w:val="en-US" w:eastAsia="zh-CN"/>
              </w:rPr>
              <w:t>遵守交通法规，保持车况良好、车容车貌整洁、密闭化运输、车辆作业轨迹应按照规定进行收集作业，及时高效率收运，统一着装。</w:t>
            </w:r>
          </w:p>
          <w:p w14:paraId="4837DB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2）</w:t>
            </w:r>
            <w:r>
              <w:rPr>
                <w:rFonts w:hint="eastAsia"/>
                <w:lang w:val="en-US" w:eastAsia="zh-CN"/>
              </w:rPr>
              <w:t>车辆设置统一的收运标识及监督电话。</w:t>
            </w:r>
          </w:p>
          <w:p w14:paraId="78CFE3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3）</w:t>
            </w:r>
            <w:r>
              <w:rPr>
                <w:rFonts w:hint="eastAsia"/>
                <w:lang w:val="en-US" w:eastAsia="zh-CN"/>
              </w:rPr>
              <w:t>收运人员服务态度良好。</w:t>
            </w:r>
          </w:p>
          <w:p w14:paraId="60FAFF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4）</w:t>
            </w:r>
            <w:r>
              <w:rPr>
                <w:rFonts w:hint="eastAsia"/>
                <w:lang w:val="en-US" w:eastAsia="zh-CN"/>
              </w:rPr>
              <w:t>仅能收运规定区域、协议范围内的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/>
                <w:lang w:val="en-US" w:eastAsia="zh-CN"/>
              </w:rPr>
              <w:t>，严禁运输未认可的范围。</w:t>
            </w:r>
          </w:p>
          <w:p w14:paraId="23595D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5）</w:t>
            </w:r>
            <w:r>
              <w:rPr>
                <w:rFonts w:hint="eastAsia"/>
                <w:lang w:val="en-US" w:eastAsia="zh-CN"/>
              </w:rPr>
              <w:t>收运过程中，按照要求维护更换收集容器和收集区域环境卫生，做好车走地净，保持干净整洁，及时收运，不引发投诉。</w:t>
            </w:r>
          </w:p>
          <w:p w14:paraId="5DCB3F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6）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做好签约合同管理。</w:t>
            </w:r>
          </w:p>
          <w:p w14:paraId="7A7A60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7）在规定范围内收集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cs="宋体"/>
                <w:lang w:val="en-US" w:eastAsia="zh-CN"/>
              </w:rPr>
              <w:t>真实有效，在收运过程中不得弄虚作假掺杂其他垃圾、液体等充当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0E0A976A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F874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45B20A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E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1）违反交规上路、行驶，每车每次扣3分；</w:t>
            </w:r>
          </w:p>
          <w:p w14:paraId="2186D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2）发生轻微安全事故每次扣5分，发生重特大安全事故每次扣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分；</w:t>
            </w:r>
          </w:p>
          <w:p w14:paraId="603DB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3）车容车貌</w:t>
            </w:r>
            <w:r>
              <w:rPr>
                <w:rFonts w:hint="eastAsia"/>
                <w:lang w:val="en-US" w:eastAsia="zh-CN"/>
              </w:rPr>
              <w:t>和收集区域环境卫生不达标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，未及时收运、未及时</w:t>
            </w:r>
            <w:r>
              <w:rPr>
                <w:rFonts w:hint="eastAsia"/>
                <w:lang w:val="en-US" w:eastAsia="zh-CN"/>
              </w:rPr>
              <w:t>维护更换收集容器，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每次扣2分；</w:t>
            </w:r>
          </w:p>
          <w:p w14:paraId="31FFE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4）未按规定区域、线路行驶的，每辆每次扣2分；</w:t>
            </w:r>
          </w:p>
          <w:p w14:paraId="5F1BA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5）未统一着装收运每次扣1分，未统一标识、监督电话的每车扣1分；</w:t>
            </w:r>
          </w:p>
          <w:p w14:paraId="54929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6）不安全、不文明和其他不符合规定的行为，每项每次扣10分；</w:t>
            </w:r>
          </w:p>
          <w:p w14:paraId="26CCE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7）车辆作业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超出服务范围作业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，且未能说明合理理由的，每次扣2分；</w:t>
            </w:r>
          </w:p>
          <w:p w14:paraId="54D4C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8）车辆泄漏事故需在1小时内清理完毕，未能做到及时清理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扣3分；</w:t>
            </w:r>
          </w:p>
          <w:p w14:paraId="17A5E9E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9）签约合同管理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建立收运记录台帐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记录台帐及时上交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按时上交收运三联单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 w14:paraId="437526D8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10）未及时安装、维护更换油水分离器，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每次扣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FC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DE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048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处置环节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00E3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543575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进行科学处置，安全管理制度完善、安全标识齐全规范，无安全事故。</w:t>
            </w:r>
          </w:p>
          <w:p w14:paraId="3AA616C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每年12月底将下年度设施设备大修和垃圾处置计划报送，经认可后按计划实施。</w:t>
            </w:r>
          </w:p>
          <w:p w14:paraId="7D7D6A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3）保持设备运行的稳定性，计划外停工，维修需提前报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。</w:t>
            </w:r>
          </w:p>
          <w:p w14:paraId="241175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4）提升设备稳定性，提高运行调节能力，降低因故障而导致废弃物应急填埋处理。降低处置产生固渣率。</w:t>
            </w:r>
          </w:p>
          <w:p w14:paraId="3DB40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5）衍生产品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按法律法规进行检验，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检验合格方可出厂。</w:t>
            </w:r>
          </w:p>
          <w:p w14:paraId="5222926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A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1）发生重大安全事故扣1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分，发生一般事故视情况扣5分；</w:t>
            </w:r>
          </w:p>
          <w:p w14:paraId="672CB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2）衍生产品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未按法律法规及BOT协议约定进行检验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或未按时报送检验报告的，每项每次扣3 分；</w:t>
            </w:r>
          </w:p>
          <w:p w14:paraId="37290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3）未按时制定、报送检修计划的扣5分；未按照操作维护保养手册保养，每次扣1分；维护保养记录不全，每项扣1分；</w:t>
            </w:r>
          </w:p>
          <w:p w14:paraId="0F14A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4）计划外停工、维修未提前报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的，每项每次扣3分；</w:t>
            </w:r>
          </w:p>
          <w:p w14:paraId="33EEE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5）存在安全隐患的，每项每次扣5分，未及时整改的加扣10分；</w:t>
            </w:r>
          </w:p>
          <w:p w14:paraId="043BB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应急填埋处理每次扣2分；单日固渣量每超出1%，加扣2分；</w:t>
            </w:r>
          </w:p>
          <w:p w14:paraId="463F7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7）发《整改通知书》后未按期整改扣2分，次月仍未整改的继续扣分（有整改措施并认可的整改周期内除外）。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DE8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24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B0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7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台账资料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088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餐厨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、厨余垃圾废弃物收运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处置台账和产生、收集、运输、处置联单制度。运行台账规范、详实，按时报送，及时更新（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每季度进行区域台账更新，并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更新后次月5日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4AB29B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运行台账应包含：签约、收运、岗位职责、设备运行、维保、仓管、耗材、人事、安全、培训、应急体系管理等。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3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未建立运行台账扣10分；</w:t>
            </w:r>
          </w:p>
          <w:p w14:paraId="22BF7C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出现漏记项目每项次扣1分，篡改数据每项每次扣3分；</w:t>
            </w:r>
          </w:p>
          <w:p w14:paraId="330F5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未按时报送运行数据，每项每次扣2分；</w:t>
            </w:r>
          </w:p>
          <w:p w14:paraId="686C7FB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收运处置联单未建立、及时更新每车次扣1分；区域台账更新不及时，每区域次扣5分，更新后未及时报送每次扣3分；</w:t>
            </w:r>
          </w:p>
          <w:p w14:paraId="19450DB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废弃物处置、环保耗材等台账缺失，每项次扣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A7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056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1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C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6F4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应建立健全突发事件应急预案（防火、防雷、防爆炸、防污染物泄漏、防高空坠物、停水、停电、人员伤亡或中毒、突发性群体事件等），并</w:t>
            </w:r>
            <w:r>
              <w:rPr>
                <w:rFonts w:hint="eastAsia"/>
                <w:lang w:val="en-US" w:eastAsia="zh-CN"/>
              </w:rPr>
              <w:t>及时报备</w:t>
            </w:r>
            <w:r>
              <w:rPr>
                <w:rFonts w:hint="eastAsia"/>
              </w:rPr>
              <w:t>。</w:t>
            </w:r>
          </w:p>
          <w:p w14:paraId="0C32DEA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定期开展职工培训及体检。</w:t>
            </w:r>
          </w:p>
          <w:p w14:paraId="53A814A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Times New Roman"/>
                <w:sz w:val="21"/>
                <w:szCs w:val="21"/>
              </w:rPr>
            </w:pPr>
            <w:r>
              <w:rPr>
                <w:rFonts w:hint="eastAsia"/>
              </w:rPr>
              <w:t>安全管理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4726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各类应急预案不齐全，扣2-5分</w:t>
            </w:r>
            <w:r>
              <w:rPr>
                <w:rFonts w:hint="eastAsia"/>
                <w:lang w:eastAsia="zh-CN"/>
              </w:rPr>
              <w:t>；</w:t>
            </w:r>
          </w:p>
          <w:p w14:paraId="59645BEB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未设置防火、防爆、防雷、防汛等安全设施设备，扣3分</w:t>
            </w:r>
            <w:r>
              <w:rPr>
                <w:rFonts w:hint="eastAsia"/>
                <w:lang w:eastAsia="zh-CN"/>
              </w:rPr>
              <w:t>；</w:t>
            </w:r>
          </w:p>
          <w:p w14:paraId="21F657DA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危险作业区域、危险物品输送、储存和使用场所无明显标志，每处扣2分</w:t>
            </w:r>
            <w:r>
              <w:rPr>
                <w:rFonts w:hint="eastAsia"/>
                <w:lang w:eastAsia="zh-CN"/>
              </w:rPr>
              <w:t>，危险物品台账不健全扣</w:t>
            </w:r>
            <w:r>
              <w:rPr>
                <w:rFonts w:hint="eastAsia"/>
                <w:lang w:val="en-US" w:eastAsia="zh-CN"/>
              </w:rPr>
              <w:t>5分；</w:t>
            </w:r>
          </w:p>
          <w:p w14:paraId="5888D607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未定期开展职工培训，扣2分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112AD6C8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未定期进行职工体检，扣2分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724281A7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各岗位工作人员无劳动保护措施，扣2分</w:t>
            </w:r>
            <w:r>
              <w:rPr>
                <w:rFonts w:hint="eastAsia"/>
                <w:lang w:eastAsia="zh-CN"/>
              </w:rPr>
              <w:t>；</w:t>
            </w:r>
          </w:p>
          <w:p w14:paraId="7CC64C6B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发生安全事故的，视情况扣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1134DC6D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安全运输管理制度；建立安全管理机构，配备相应的人员；制度不健全、不符合扣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536D2340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定期对收运人员进行安全培训和学习教育；制度不健全、不符合扣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71BAF8A0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建立健全安全消防规章制度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3FCF8D3D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安全监督检查制度；制度不健全、不符合扣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  <w:p w14:paraId="22E0FC3C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突发事件应急预案管理。制度不健全、不符合扣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0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CD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45E96C">
        <w:trPr>
          <w:trHeight w:val="288" w:hRule="atLeast"/>
        </w:trPr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6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528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建立健全相关制度（交接班制度、巡回检查制度、设备定期维保制度、生产运行制度、污染物控制制度、安全管理制度、安全教育培训制度、危险物品管理制度、计量管理制度、产品检验制度、档案管理制度等相关制度），重要制度需上墙。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6C0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各类管理制度不齐全，每项次扣1分。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E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6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管理（20分）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A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车辆管理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E2E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车辆及时清洗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  <w:p w14:paraId="04E1EB2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车辆及时保养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7C70E5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车辆正常运行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6114EE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车辆及时回场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9A6D5D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车辆证件齐全。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B2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每项不符合扣1分。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E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52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5D2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6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1F0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1E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77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F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7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A3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ED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60B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9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0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3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07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96C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D8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D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5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46E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8D8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EAE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9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8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210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E15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E87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A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5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05E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驾驶人员统一着装，按规定行驶、禁止越界、超时、超速、超载等违章违法行为；</w:t>
            </w:r>
          </w:p>
          <w:p w14:paraId="44F9BDD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变更驾驶员提前报告</w:t>
            </w:r>
            <w:r>
              <w:rPr>
                <w:rFonts w:hint="eastAsia"/>
                <w:lang w:eastAsia="zh-CN"/>
              </w:rPr>
              <w:t>。</w:t>
            </w:r>
          </w:p>
          <w:p w14:paraId="6157B3D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不得和餐馆人员冲突</w:t>
            </w:r>
            <w:r>
              <w:rPr>
                <w:rFonts w:hint="eastAsia"/>
                <w:lang w:eastAsia="zh-CN"/>
              </w:rPr>
              <w:t>。</w:t>
            </w:r>
          </w:p>
          <w:p w14:paraId="09AB929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配合</w:t>
            </w:r>
            <w:r>
              <w:rPr>
                <w:rFonts w:hint="eastAsia"/>
                <w:lang w:val="en-US" w:eastAsia="zh-CN"/>
              </w:rPr>
              <w:t>有关部门</w:t>
            </w:r>
            <w:r>
              <w:rPr>
                <w:rFonts w:hint="eastAsia"/>
              </w:rPr>
              <w:t>组织的各项活动</w:t>
            </w:r>
            <w:r>
              <w:rPr>
                <w:rFonts w:hint="eastAsia"/>
                <w:lang w:eastAsia="zh-CN"/>
              </w:rPr>
              <w:t>。</w:t>
            </w:r>
          </w:p>
          <w:p w14:paraId="4C108DD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接受考核和新闻媒体监督</w:t>
            </w:r>
            <w:r>
              <w:rPr>
                <w:rFonts w:hint="eastAsia"/>
                <w:lang w:eastAsia="zh-CN"/>
              </w:rPr>
              <w:t>。</w:t>
            </w:r>
          </w:p>
          <w:p w14:paraId="616F1138">
            <w:pPr>
              <w:pStyle w:val="2"/>
              <w:rPr>
                <w:rFonts w:hint="eastAsia"/>
              </w:rPr>
            </w:pP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每项不符合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3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68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1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B7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D4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0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5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F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A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A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12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C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7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5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2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E3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9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9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0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9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1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D5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B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96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8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2C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4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D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5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E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0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4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BC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D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5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5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社会责任（倒扣分）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公众监督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86A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主动配合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接受公众参观，配合对各项投诉 来访进行处理。</w:t>
            </w:r>
          </w:p>
          <w:p w14:paraId="61B13671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接受公众监督，妥善协调周边关系，预防有责投诉和媒体曝光。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47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发生媒体曝光、居民有责投诉每次扣5分；</w:t>
            </w:r>
          </w:p>
          <w:p w14:paraId="664C8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发整改通知书每次扣3分；</w:t>
            </w:r>
          </w:p>
          <w:p w14:paraId="078EAF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不配合接受公众监督的，每次扣2分；</w:t>
            </w:r>
          </w:p>
          <w:p w14:paraId="6C4A7B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无故拒绝市民参观每次扣1分；</w:t>
            </w:r>
          </w:p>
          <w:p w14:paraId="64DE46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未按时处理和答复投诉每次扣2分；</w:t>
            </w:r>
          </w:p>
          <w:p w14:paraId="48CD96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运营方发生以上扣分行为以外的违约行为每次扣2分。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0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2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5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58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88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D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4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9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D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E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16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5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8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7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C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1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6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47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99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C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5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64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B3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4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4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1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信息报送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1）及时报送生产、来访、重大事项等信息。</w:t>
            </w:r>
          </w:p>
          <w:p w14:paraId="21DF7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2）积极开展环保宣传，配合提供相关素材。</w:t>
            </w:r>
          </w:p>
          <w:p w14:paraId="041E8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3）配合各级政府管理部门调研提供相关资料。</w:t>
            </w:r>
          </w:p>
        </w:tc>
        <w:tc>
          <w:tcPr>
            <w:tcW w:w="1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8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1）未按时报送每项次扣1分；</w:t>
            </w:r>
          </w:p>
          <w:p w14:paraId="307B4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2）未尽社会宣传义务每次扣1分；</w:t>
            </w:r>
          </w:p>
          <w:p w14:paraId="6DD66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3）不配合政府部门调研提供资料每次扣2分；</w:t>
            </w:r>
          </w:p>
          <w:p w14:paraId="3AEAA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4）未按时报送法定假日应急联系人信息（或应急联系人无法联络的）每次扣1分。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E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4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9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2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F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2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4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A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D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3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1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5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6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4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F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6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CD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13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C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E2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A9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3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100分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1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218C">
            <w:pPr>
              <w:keepNext w:val="0"/>
              <w:keepLines w:val="0"/>
              <w:widowControl/>
              <w:suppressLineNumbers w:val="0"/>
              <w:ind w:firstLine="2640" w:firstLineChars="1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2D9B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4A7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both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</w:p>
    <w:p w14:paraId="15388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both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绩效考核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付费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：</w:t>
      </w:r>
    </w:p>
    <w:p w14:paraId="713F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沂源县餐厨废弃物及厨余垃圾收运及协同处置处理费100%参与绩效考核。根据绩效考核评分结果，支付餐厨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处理费，绩效关联补助核算方式如下：</w:t>
      </w:r>
    </w:p>
    <w:p w14:paraId="4E93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1、9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分以上（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不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包括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98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分）支付公式:</w:t>
      </w:r>
    </w:p>
    <w:p w14:paraId="022D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当期政府补贴=当期全部餐厨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量×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餐厨废弃物及厨余垃圾收运及协同处置费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单价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。</w:t>
      </w:r>
    </w:p>
    <w:p w14:paraId="73ED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50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-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98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分支付公式：</w:t>
      </w:r>
    </w:p>
    <w:p w14:paraId="4B92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当期政府补贴=当期全部餐厨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、厨余垃圾废弃物收运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处理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量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×月度得分÷100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×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餐厨废弃物及厨余垃圾收运及协同处置费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单价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。</w:t>
      </w:r>
    </w:p>
    <w:p w14:paraId="5E4331F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如绩效考核得分＜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0分（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不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包括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0分</w:t>
      </w: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，视为不合格，政府方有权拒绝支付当期餐厨废弃物及厨余垃圾收运及协同处置费，追究其违约责任并有权提前解除项目合同。</w:t>
      </w:r>
    </w:p>
    <w:p w14:paraId="143A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注：上述评价指标为框架性内容，可根据实际情况进行优化完善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修改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 w14:paraId="666488C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14F0D41">
      <w:pPr>
        <w:pStyle w:val="2"/>
        <w:ind w:left="0" w:leftChars="0" w:firstLine="0" w:firstLineChars="0"/>
        <w:rPr>
          <w:sz w:val="18"/>
          <w:szCs w:val="21"/>
        </w:rPr>
      </w:pPr>
    </w:p>
    <w:p w14:paraId="152373BE">
      <w:pPr>
        <w:pStyle w:val="2"/>
        <w:ind w:left="0" w:leftChars="0" w:firstLine="1120" w:firstLineChars="400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考核单位：沂源县综合行政执法局</w:t>
      </w:r>
    </w:p>
    <w:p w14:paraId="7B04A05F">
      <w:pPr>
        <w:pStyle w:val="2"/>
        <w:ind w:left="0" w:leftChars="0" w:firstLine="1120" w:firstLineChars="400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</w:t>
      </w:r>
    </w:p>
    <w:p w14:paraId="47AB4136">
      <w:pPr>
        <w:pStyle w:val="2"/>
        <w:ind w:left="0" w:leftChars="0" w:firstLine="1120" w:firstLineChars="400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             </w:t>
      </w:r>
    </w:p>
    <w:p w14:paraId="75B711A6">
      <w:pPr>
        <w:pStyle w:val="2"/>
        <w:ind w:left="0" w:leftChars="0" w:firstLine="1120" w:firstLineChars="400"/>
        <w:rPr>
          <w:sz w:val="18"/>
          <w:szCs w:val="21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被考核单位：</w:t>
      </w:r>
    </w:p>
    <w:p w14:paraId="2BF294A5">
      <w:pPr>
        <w:pStyle w:val="2"/>
        <w:ind w:left="0" w:leftChars="0" w:firstLine="0" w:firstLineChars="0"/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    </w:t>
      </w: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C7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C97B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C97B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52FF7"/>
    <w:multiLevelType w:val="singleLevel"/>
    <w:tmpl w:val="94252FF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0AC6370"/>
    <w:multiLevelType w:val="singleLevel"/>
    <w:tmpl w:val="A0AC6370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A193A3E6"/>
    <w:multiLevelType w:val="singleLevel"/>
    <w:tmpl w:val="A193A3E6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A6FEC4FC"/>
    <w:multiLevelType w:val="singleLevel"/>
    <w:tmpl w:val="A6FEC4FC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B169812D"/>
    <w:multiLevelType w:val="singleLevel"/>
    <w:tmpl w:val="B169812D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0C295B97"/>
    <w:multiLevelType w:val="singleLevel"/>
    <w:tmpl w:val="0C295B97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11CF10B5"/>
    <w:multiLevelType w:val="singleLevel"/>
    <w:tmpl w:val="11CF10B5"/>
    <w:lvl w:ilvl="0" w:tentative="0">
      <w:start w:val="4"/>
      <w:numFmt w:val="decimal"/>
      <w:suff w:val="nothing"/>
      <w:lvlText w:val="%1）"/>
      <w:lvlJc w:val="left"/>
    </w:lvl>
  </w:abstractNum>
  <w:abstractNum w:abstractNumId="7">
    <w:nsid w:val="1ADB1B6E"/>
    <w:multiLevelType w:val="singleLevel"/>
    <w:tmpl w:val="1ADB1B6E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30ABBECC"/>
    <w:multiLevelType w:val="singleLevel"/>
    <w:tmpl w:val="30ABBECC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335CA0AE"/>
    <w:multiLevelType w:val="singleLevel"/>
    <w:tmpl w:val="335CA0AE"/>
    <w:lvl w:ilvl="0" w:tentative="0">
      <w:start w:val="1"/>
      <w:numFmt w:val="decimal"/>
      <w:suff w:val="nothing"/>
      <w:lvlText w:val="%1）"/>
      <w:lvlJc w:val="left"/>
      <w:rPr>
        <w:rFonts w:hint="default"/>
        <w:sz w:val="20"/>
        <w:szCs w:val="20"/>
      </w:rPr>
    </w:lvl>
  </w:abstractNum>
  <w:abstractNum w:abstractNumId="10">
    <w:nsid w:val="53B1BAB9"/>
    <w:multiLevelType w:val="singleLevel"/>
    <w:tmpl w:val="53B1BAB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GJhZjIyOTVjN2FmZGNhYWM0OWJiN2Q2NzJmNDkifQ=="/>
  </w:docVars>
  <w:rsids>
    <w:rsidRoot w:val="2BD47F38"/>
    <w:rsid w:val="01FE2B9D"/>
    <w:rsid w:val="02C76146"/>
    <w:rsid w:val="02D03473"/>
    <w:rsid w:val="06BD6827"/>
    <w:rsid w:val="07CD206E"/>
    <w:rsid w:val="098B6500"/>
    <w:rsid w:val="09C072EA"/>
    <w:rsid w:val="0A063E3A"/>
    <w:rsid w:val="0A8A0956"/>
    <w:rsid w:val="0C2A5514"/>
    <w:rsid w:val="0F4E0D36"/>
    <w:rsid w:val="0F580937"/>
    <w:rsid w:val="10051AF5"/>
    <w:rsid w:val="10351A21"/>
    <w:rsid w:val="1266742B"/>
    <w:rsid w:val="12693FEA"/>
    <w:rsid w:val="14432DA4"/>
    <w:rsid w:val="16BB659E"/>
    <w:rsid w:val="191A5124"/>
    <w:rsid w:val="19DA2738"/>
    <w:rsid w:val="1A3D12D5"/>
    <w:rsid w:val="1B2662F1"/>
    <w:rsid w:val="1B925650"/>
    <w:rsid w:val="1CA90EA4"/>
    <w:rsid w:val="1CCA59FC"/>
    <w:rsid w:val="1D6210B8"/>
    <w:rsid w:val="21760148"/>
    <w:rsid w:val="25591F8D"/>
    <w:rsid w:val="2BD47F38"/>
    <w:rsid w:val="2C064F9F"/>
    <w:rsid w:val="2D4875BA"/>
    <w:rsid w:val="2E4A2930"/>
    <w:rsid w:val="305F6F06"/>
    <w:rsid w:val="322850C0"/>
    <w:rsid w:val="333318D9"/>
    <w:rsid w:val="367E4616"/>
    <w:rsid w:val="379C4CE0"/>
    <w:rsid w:val="39225B5E"/>
    <w:rsid w:val="3CD765A9"/>
    <w:rsid w:val="3D0765B5"/>
    <w:rsid w:val="3DB67149"/>
    <w:rsid w:val="3E393EB4"/>
    <w:rsid w:val="3F7F15D7"/>
    <w:rsid w:val="41F44FD0"/>
    <w:rsid w:val="42A06125"/>
    <w:rsid w:val="43BC5127"/>
    <w:rsid w:val="43E671DE"/>
    <w:rsid w:val="45B918A8"/>
    <w:rsid w:val="4672144D"/>
    <w:rsid w:val="46850DC5"/>
    <w:rsid w:val="46C40504"/>
    <w:rsid w:val="47B42327"/>
    <w:rsid w:val="4ADD5D4D"/>
    <w:rsid w:val="4B1439AD"/>
    <w:rsid w:val="4B3132A1"/>
    <w:rsid w:val="4B652BDB"/>
    <w:rsid w:val="4BA62BB3"/>
    <w:rsid w:val="4D395032"/>
    <w:rsid w:val="4E864DAA"/>
    <w:rsid w:val="4FF34D4C"/>
    <w:rsid w:val="53EC3562"/>
    <w:rsid w:val="54F33E6D"/>
    <w:rsid w:val="56CF2CD9"/>
    <w:rsid w:val="57DE6ED0"/>
    <w:rsid w:val="58180FBA"/>
    <w:rsid w:val="59606C51"/>
    <w:rsid w:val="598B5517"/>
    <w:rsid w:val="5B192E43"/>
    <w:rsid w:val="5DDC7A8A"/>
    <w:rsid w:val="6196461F"/>
    <w:rsid w:val="619C5887"/>
    <w:rsid w:val="622044F8"/>
    <w:rsid w:val="644741CF"/>
    <w:rsid w:val="64855C0F"/>
    <w:rsid w:val="654239A4"/>
    <w:rsid w:val="654E4A50"/>
    <w:rsid w:val="65A42499"/>
    <w:rsid w:val="683A16F6"/>
    <w:rsid w:val="697742C2"/>
    <w:rsid w:val="6B145148"/>
    <w:rsid w:val="6BDD3803"/>
    <w:rsid w:val="6C6B7CD4"/>
    <w:rsid w:val="6CAA400A"/>
    <w:rsid w:val="6CBD3A02"/>
    <w:rsid w:val="6CD20C59"/>
    <w:rsid w:val="6D3E5BEF"/>
    <w:rsid w:val="6DFE0EEF"/>
    <w:rsid w:val="6F0715D5"/>
    <w:rsid w:val="708A4DED"/>
    <w:rsid w:val="724A66D2"/>
    <w:rsid w:val="72ED2E5B"/>
    <w:rsid w:val="743079FF"/>
    <w:rsid w:val="746749EE"/>
    <w:rsid w:val="75324707"/>
    <w:rsid w:val="7558206A"/>
    <w:rsid w:val="75685657"/>
    <w:rsid w:val="767A1A64"/>
    <w:rsid w:val="76FD77A2"/>
    <w:rsid w:val="79FC64D0"/>
    <w:rsid w:val="7AEA2F38"/>
    <w:rsid w:val="7BA619AB"/>
    <w:rsid w:val="7C983CD9"/>
    <w:rsid w:val="7D103C1B"/>
    <w:rsid w:val="7D6A0FDB"/>
    <w:rsid w:val="7E536B44"/>
    <w:rsid w:val="EFBBA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after="120" w:afterAutospacing="0"/>
      <w:ind w:left="420" w:leftChars="200"/>
    </w:pPr>
  </w:style>
  <w:style w:type="paragraph" w:styleId="4">
    <w:name w:val="Normal Indent"/>
    <w:basedOn w:val="1"/>
    <w:autoRedefine/>
    <w:semiHidden/>
    <w:qFormat/>
    <w:uiPriority w:val="99"/>
    <w:pPr>
      <w:ind w:firstLine="4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3574</Words>
  <Characters>3618</Characters>
  <Lines>0</Lines>
  <Paragraphs>0</Paragraphs>
  <TotalTime>6</TotalTime>
  <ScaleCrop>false</ScaleCrop>
  <LinksUpToDate>false</LinksUpToDate>
  <CharactersWithSpaces>3755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2022-02-08T09:52:00Z</dcterms:created>
  <dc:creator>qi有此理</dc:creator>
  <cp:lastModifiedBy>陈</cp:lastModifiedBy>
  <dcterms:modified xsi:type="dcterms:W3CDTF">2026-01-28T08:51:11Z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40BCF84E498E4CC0B0E2AF577DCA60AE_13</vt:lpwstr>
  </property>
  <property fmtid="{D5CDD505-2E9C-101B-9397-08002B2CF9AE}" pid="4" name="KSOTemplateDocerSaveRecord">
    <vt:lpwstr>eyJoZGlkIjoiOTg0ZGJhZjIyOTVjN2FmZGNhYWM0OWJiN2Q2NzJmNDkifQ==</vt:lpwstr>
  </property>
</Properties>
</file>