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40" w:lineRule="exact"/>
        <w:ind w:firstLine="880" w:firstLineChars="200"/>
        <w:jc w:val="center"/>
        <w:rPr>
          <w:rFonts w:hint="eastAsia" w:ascii="方正小标宋简体" w:hAnsi="Calibri" w:eastAsia="方正小标宋简体" w:cs="Times New Roman"/>
          <w:sz w:val="44"/>
          <w:szCs w:val="44"/>
          <w:lang w:val="en-US" w:eastAsia="zh-CN"/>
        </w:rPr>
      </w:pPr>
    </w:p>
    <w:p>
      <w:pPr>
        <w:keepNext w:val="0"/>
        <w:keepLines w:val="0"/>
        <w:pageBreakBefore w:val="0"/>
        <w:kinsoku/>
        <w:wordWrap/>
        <w:topLinePunct w:val="0"/>
        <w:autoSpaceDE/>
        <w:autoSpaceDN/>
        <w:bidi w:val="0"/>
        <w:spacing w:line="540" w:lineRule="exact"/>
        <w:ind w:firstLine="880" w:firstLineChars="200"/>
        <w:jc w:val="center"/>
        <w:rPr>
          <w:rFonts w:hint="eastAsia" w:ascii="方正小标宋简体" w:hAnsi="Calibri" w:eastAsia="方正小标宋简体" w:cs="Times New Roman"/>
          <w:sz w:val="44"/>
          <w:szCs w:val="44"/>
          <w:lang w:val="en-US" w:eastAsia="zh-CN"/>
        </w:rPr>
      </w:pPr>
    </w:p>
    <w:p>
      <w:pPr>
        <w:keepNext w:val="0"/>
        <w:keepLines w:val="0"/>
        <w:pageBreakBefore w:val="0"/>
        <w:kinsoku/>
        <w:wordWrap/>
        <w:topLinePunct w:val="0"/>
        <w:autoSpaceDE/>
        <w:autoSpaceDN/>
        <w:bidi w:val="0"/>
        <w:spacing w:line="540" w:lineRule="exact"/>
        <w:ind w:firstLine="880" w:firstLineChars="200"/>
        <w:jc w:val="center"/>
        <w:rPr>
          <w:rFonts w:hint="eastAsia" w:ascii="方正小标宋简体" w:hAnsi="Calibri" w:eastAsia="方正小标宋简体" w:cs="Times New Roman"/>
          <w:sz w:val="44"/>
          <w:szCs w:val="44"/>
          <w:lang w:val="en-US" w:eastAsia="zh-CN"/>
        </w:rPr>
      </w:pPr>
    </w:p>
    <w:p>
      <w:pPr>
        <w:keepNext w:val="0"/>
        <w:keepLines w:val="0"/>
        <w:pageBreakBefore w:val="0"/>
        <w:kinsoku/>
        <w:wordWrap/>
        <w:topLinePunct w:val="0"/>
        <w:autoSpaceDE/>
        <w:autoSpaceDN/>
        <w:bidi w:val="0"/>
        <w:spacing w:line="540" w:lineRule="exact"/>
        <w:jc w:val="both"/>
        <w:rPr>
          <w:rFonts w:hint="eastAsia" w:ascii="方正小标宋简体" w:hAnsi="Calibri" w:eastAsia="方正小标宋简体" w:cs="Times New Roman"/>
          <w:sz w:val="44"/>
          <w:szCs w:val="44"/>
          <w:lang w:val="en-US" w:eastAsia="zh-CN"/>
        </w:rPr>
      </w:pPr>
    </w:p>
    <w:p>
      <w:pPr>
        <w:pStyle w:val="3"/>
        <w:keepNext w:val="0"/>
        <w:keepLines w:val="0"/>
        <w:pageBreakBefore w:val="0"/>
        <w:kinsoku/>
        <w:wordWrap/>
        <w:topLinePunct w:val="0"/>
        <w:autoSpaceDE/>
        <w:autoSpaceDN/>
        <w:bidi w:val="0"/>
        <w:spacing w:line="540" w:lineRule="exact"/>
        <w:jc w:val="center"/>
        <w:rPr>
          <w:rFonts w:hint="eastAsia" w:ascii="方正小标宋简体" w:hAnsi="方正小标宋简体" w:eastAsia="方正小标宋简体" w:cs="方正小标宋简体"/>
          <w:color w:val="000000" w:themeColor="text1"/>
          <w:w w:val="105"/>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44"/>
          <w:szCs w:val="44"/>
          <w:lang w:eastAsia="zh-CN"/>
          <w14:textFill>
            <w14:solidFill>
              <w14:schemeClr w14:val="tx1"/>
            </w14:solidFill>
          </w14:textFill>
        </w:rPr>
        <w:t>沂源县</w:t>
      </w:r>
      <w:r>
        <w:rPr>
          <w:rFonts w:hint="eastAsia" w:ascii="方正小标宋简体" w:hAnsi="方正小标宋简体" w:eastAsia="方正小标宋简体" w:cs="方正小标宋简体"/>
          <w:color w:val="000000" w:themeColor="text1"/>
          <w:w w:val="105"/>
          <w:sz w:val="44"/>
          <w:szCs w:val="44"/>
          <w:lang w:val="en-US" w:eastAsia="zh-CN"/>
          <w14:textFill>
            <w14:solidFill>
              <w14:schemeClr w14:val="tx1"/>
            </w14:solidFill>
          </w14:textFill>
        </w:rPr>
        <w:t>综合行政执法</w:t>
      </w:r>
      <w:r>
        <w:rPr>
          <w:rFonts w:hint="eastAsia" w:ascii="方正小标宋简体" w:hAnsi="方正小标宋简体" w:eastAsia="方正小标宋简体" w:cs="方正小标宋简体"/>
          <w:color w:val="000000" w:themeColor="text1"/>
          <w:w w:val="105"/>
          <w:sz w:val="44"/>
          <w:szCs w:val="44"/>
          <w:lang w:eastAsia="zh-CN"/>
          <w14:textFill>
            <w14:solidFill>
              <w14:schemeClr w14:val="tx1"/>
            </w14:solidFill>
          </w14:textFill>
        </w:rPr>
        <w:t>局</w:t>
      </w:r>
    </w:p>
    <w:p>
      <w:pPr>
        <w:pStyle w:val="3"/>
        <w:keepNext w:val="0"/>
        <w:keepLines w:val="0"/>
        <w:pageBreakBefore w:val="0"/>
        <w:kinsoku/>
        <w:wordWrap/>
        <w:topLinePunct w:val="0"/>
        <w:autoSpaceDE/>
        <w:autoSpaceDN/>
        <w:bidi w:val="0"/>
        <w:spacing w:line="540" w:lineRule="exact"/>
        <w:jc w:val="center"/>
        <w:rPr>
          <w:rFonts w:ascii="方正小标宋简体" w:hAnsi="方正小标宋简体" w:eastAsia="方正小标宋简体" w:cs="方正小标宋简体"/>
          <w:color w:val="000000" w:themeColor="text1"/>
          <w:w w:val="105"/>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44"/>
          <w:szCs w:val="44"/>
          <w:lang w:eastAsia="zh-CN"/>
          <w14:textFill>
            <w14:solidFill>
              <w14:schemeClr w14:val="tx1"/>
            </w14:solidFill>
          </w14:textFill>
        </w:rPr>
        <w:t>“双随机、一公开”监管工作指引</w:t>
      </w:r>
    </w:p>
    <w:p>
      <w:pPr>
        <w:pStyle w:val="5"/>
        <w:keepNext w:val="0"/>
        <w:keepLines w:val="0"/>
        <w:pageBreakBefore w:val="0"/>
        <w:tabs>
          <w:tab w:val="left" w:pos="4396"/>
        </w:tabs>
        <w:kinsoku/>
        <w:wordWrap/>
        <w:topLinePunct w:val="0"/>
        <w:autoSpaceDE/>
        <w:autoSpaceDN/>
        <w:bidi w:val="0"/>
        <w:spacing w:line="540" w:lineRule="exact"/>
        <w:ind w:firstLine="640" w:firstLineChars="200"/>
        <w:rPr>
          <w:rFonts w:hint="eastAsia" w:ascii="仿宋_GB2312" w:hAnsi="仿宋_GB2312" w:eastAsia="仿宋_GB2312" w:cs="Times New Roman"/>
          <w:kern w:val="2"/>
          <w:sz w:val="32"/>
          <w:szCs w:val="2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left="0"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本工作指引适用于《沂源县综合行政执法局“双随机、一公开”抽查事项清单》所列各抽查事项的实地核查。除实地核查外，“双随机、一公开”监管中还可根据具体情况采取书面检查、专项检查、网络监测、聘请专业机构等适当方式进行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left="0"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本工作指引适用于企业、项目、建筑类从业人员、其他行政执法经营单位等各类检查对象。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一、前期准备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实地核查前，可根据需要查阅企业、个人登记、备案、行政许可、行政处罚等基本信息，或委托第三方机构、数据公司，通过信息化手段进行事先检索，初步了解企业的存续及个人从业情况、可能存在的问题等，提高检查效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default"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二、实施抽查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实地核查人员不得少于两人，并应当出示执法证件。在核查中，应注意通过文字、音频或影像等方式留存核查痕迹，必要时可邀请相关人员作为见证人。</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随机抽查流程。根据抽查计划制定抽查工作实施方案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rightChars="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——确定抽查任务——随机抽取检查对象、随机抽取执法检查人员——实施抽查检查——录入检查结果并公示，依法对检查中发</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rightChars="0"/>
        <w:rPr>
          <w:rFonts w:hint="eastAsia" w:ascii="仿宋_GB2312" w:hAnsi="仿宋_GB2312" w:eastAsia="仿宋_GB2312" w:cs="Times New Roman"/>
          <w:kern w:val="2"/>
          <w:sz w:val="32"/>
          <w:szCs w:val="22"/>
          <w:lang w:val="en-US" w:eastAsia="zh-CN" w:bidi="ar-SA"/>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rightChars="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现的问题进行后续处理。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（二）制定抽查工作实施方案。有法制科牵头按照抽查计划及时制定具体抽查工作实施方案，明确工作原则及目标、抽查范围及内容、检查时间及检查人员组成、现场检查工作实施及相关工作要求等。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（三）确定抽查任务。由各科室、中队根据相关工作职责制定抽查任务上报法制科，后通过省“双随机、一公开”监管工作平台创建抽查任务，明确任务名称、执行时间、参与检查的具体部门等事宜。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四）随机抽取检查对象、随机抽取执法检查人员。抽查任务设置完成后，启动省“双随机、一公开”监管工作平台中的随机摇号程序，按照预定的比例从检查对象名录库中抽取检查对象名单，抽取产生的检查对象名单一经锁定不得更改。针对任务要求调配执法力量，随机抽取执法检查人员进行匹配。已抽取的执法检查人员原则上不得更换，但因岗位调整、工作冲突、健康状况、执法回避等特殊情况无法履行检查任务的，经科室、中队负责人同意后，可调整更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五）执法检查人员实施检查。检查活动按照“按标监管”、“一次到位”的要求开展，执法检查人员应当严格依法依规开展检查活动，依法履行监督检查职责，一次性完成本次抽查事项清单中所有内容的检查工作。执行抽查任务时，一般应当对被检查对象进行实地检查，并可根据任务需要综合采取书面检查、网络监测等其它方法。执行抽查任务时，一般按照以下程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1.预查比对。执法检查人员按照检查任务要求，通过查询国家企业信用信息公示系统（山东）、部门业务应用系统和档案资料等，掌握被检查对象基本信息和动态状况。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现场检查。检查小组应当在现场检查前以书面或电话、传真等形式，告知被检查对象检查的时间及配合检查的相关要求，提示准备相关资料。实地核查人员每组不得少于两人，并应当出示执法证件。在核查中，应注意通过文字、音频或影像等方式留存核查痕迹，必要时可邀请相关人员作为见证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检查中发现违法违规等异常情况，可视情采取责令当事人停止违法活动、督促当事人整改等相应监管措施。检查完成后，需要被检查对象在双随机检查记录表上签字或盖章确认。被检查对象拒绝签字或盖章的，由执法检查人员在双随机检查记录表上签字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3.形成检查结果。执法检查人员汇总检查情况，讨论确认双随机检查情况汇总表的相关检查结论，并形成书面检查结果。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三、结果公示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检查结果应当在汇总完成当天统一上报法制科，由法制科于检查结束20个工作日内由相关执法检查人员录入省工作平台，检查结果将通过国家企业信用信息公示系统（山东）向社会公示，同时共享到信用中国（山东）、信用交通（山东）网。已实施检查但未公示的，视为未完成此次抽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（一）通过对此次抽查所匹配的抽查事项的检查，未发现违反本指引所列法律法规的，可认定为“未发现问题”。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（二）企业未依照《企业信息公示暂行条例》第十条规定履行公示义务的，应当书面责令其在10日内履行公示义务。企业未在责令的期限内公示信息的，可认定为“未按规定公示应当公示的信息”。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（三）检查中发现下列公示信息与检查情况不一致的，可认定为“公示信息隐瞒真实情况弄虚作假”: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1.企业投资设立企业、购买股权信息；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2.股东或发起人认缴和实缴的出资额、出资时间、出资方式等信息；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3.有限公司股东股权转让等股权变更信息；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4.资产总额、负债总额、所有者权益合计、营业总收入、主营业务收入、利润总额、净利润、纳税总额信息；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5.对外提供保证担保信息；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6.行政许可、行政处罚、知识产权出质登记等即时公示信息。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（四）有以下情形之一的，可认定为“通过登记的住所（经营场所）无法联系”：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1.通过实地核查，确认实际不存在该企业，并由登记的住所或经营场所产权所有人、物管公司、相关部门等予以证明的；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2.通过实地核查、第三方证明或邮寄等方式，能确认登记的住所或经营场所实际不存在的；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3.经向企业登记的住所或经营场所两次邮寄专用信函，无人签收的。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（五）对检查发现的违反本指引所列法律法规的行为，通过指导、提示、告诫等方式要求企业当场改正，且已当场改正的，可认定为“发现问题已责令改正”。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（六）有以下情形之一的，可认定为“不配合检查情节严重”：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1.拒绝检查人员或其委托的专业机构进入被检查场所的；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2.拒绝向检查人员或其委托的专业机构提供相关材料的；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3.其他阻扰、妨碍检查工作的行为，致使检查工作无法正常进行的。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（七）未发现企业从事本次抽查匹配的检查事项，并经企业书面承诺的，可认定为“未发现开展本次抽查涉及的经营活动”。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 xml:space="preserve">（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jc w:val="center"/>
        <w:rPr>
          <w:rFonts w:hint="eastAsia" w:ascii="黑体" w:hAnsi="黑体" w:eastAsia="黑体" w:cs="黑体"/>
          <w:kern w:val="2"/>
          <w:sz w:val="32"/>
          <w:szCs w:val="2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jc w:val="center"/>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第一章 对城市生活垃圾管理工作的监督检查工作指引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一、检查事项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对城市生活垃圾管理工作的监督检查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二、检查内容和方法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（一）检查内容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1.市、县主管部门监督管理制度建立执行情况。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2.城市生活垃圾处理设施建设运行管理情况。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（二）检查方法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1.随机确定检查对象。根据日常工作安排，视情对全省部分生活垃圾处理设施建设运行情况进行检查。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2.开展书面或现场检查。根据随机确定的检查对象，调度相关建设运行材料，开展书面或现场检查。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三、检查依据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《城市生活垃圾管理办法》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黑体" w:hAnsi="黑体" w:eastAsia="黑体" w:cs="黑体"/>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二十九条：“国务院建设主管部门和省、自治区人民政府建设主管部门应当建立健全监督管理制度，对本办法的执行情况进行监督检查。直辖市、市、县人民政府建设（环境卫生）主管部门应当对本行政区域内城市生活垃圾经营性清扫、收集、运输、处置企业执行本办法的情况进行监督检查；根据需要，可以向城市生活垃圾经营性处置企业派驻监督员。”</w:t>
      </w:r>
    </w:p>
    <w:p>
      <w:pPr>
        <w:pStyle w:val="10"/>
        <w:spacing w:before="280" w:after="280" w:line="310" w:lineRule="exact"/>
        <w:ind w:firstLine="0"/>
        <w:jc w:val="center"/>
        <w:outlineLvl w:val="1"/>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第二章  对城镇容貌和环境卫生管理工作的监督检查工作指引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一、检查事项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对城镇容貌和环境卫生管理工作的监督检查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二、检查内容和方法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（一）检查内容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城镇容貌和环境卫生管理工作开展情况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（二）检查方法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1.随机抽取对象。随机抽取各地城镇容貌和环境卫生管理工作的责任部门、单位。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2.开展书面或现场检查。根据随机抽取的检查对象，结合投诉举报或上级交办事项，调度有关资料台账，开展书面或现场执法检查。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三、检查依据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《山东省城镇容貌和环境卫生管理办法》（2009年12月通过，2010年3月实施）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黑体" w:hAnsi="黑体" w:eastAsia="黑体" w:cs="黑体"/>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五条：“省人民政府住房和城乡建设行政主管部门负责全省的城镇容貌和环境卫生管理工作。设区的市、县(市、区)人民政府城镇容貌和环境卫生行政主管部门负责本行政区域内的城镇容貌和环境卫生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jc w:val="center"/>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第三章 城镇排水与污水监督检查工作指引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一、抽查事项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1.城镇排水与污水处理设施运行维护和保护情况的监督检查；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2.城市排水与污水处理的监督检查。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二、检查内容和方法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（一）检查内容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1.城镇排水与污水处理设施运行维护和保护情况。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2.城市生活污水处理设施建设运行情况，污水处理能力是否满足当地城市污水排放需求；政府拨付污水处理费情况；查看污水处理厂污泥产生量、处置量、处置方式等资料，是否存在污泥积存情况。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（二）检查方法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采用听取汇报、查阅资料、现场检查、意见反馈（座谈交流）的方式进行。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三、检查依据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《城镇排水与污水处理条例》（2013年10月2日国务院令第641号发布）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五条：“……县级以上地方人民政府城镇排水与污水处理主管部门（以下称城镇排水主管部门）负责本行政区域内城镇排水与污水处理的监督管理工作。县级以上人民政府其他有关部门依照本条例和其他有关法律、法规的规定，在各自的职责范围内负责城镇排水与污水处理监督管理的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第四十四条：“县级以上人民政府城镇排水主管部门应当会同有关部门，加强对城镇排水与污水处理设施运行维护和保护情况的监督检查，并将检查情况及结果向社会公开。”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jc w:val="center"/>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第四章 对物业管理活动的监督检查工作指引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一、抽查事项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对物业管理活动的监督检查。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二、检查内容和方法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（一）检查内容：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1.检查物业服务企业是否依法承接退出项目：是否依法接管物业服务项目；是否按要求进行承接查验；是否依法签订物业服务合同并备案；是否按规定移交物业管理用房及相关资料；是否按规定终止合同。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2.检查物业服务企业是否依法依约提供服务：是否按照合同约定提供服务；是否将全部服务委托给他人。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3.检查物业服务企业是否依法使用公共部分：是否擅自占用、挖掘物业管理区域内的道路、场地，损害业主的共同利益；是否擅自改变物业管理区域内按照规划建设的公共建筑和共用设施用途；是否擅自利用物业共用部位、共用设施设备进行经营；是否未经同意改变物业管理用房的用途；是否挪用专项维修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4.检查物业服务企业是否依法报送报告信息：是否定期报送信用档案信息、统计报表等相关资料；是否及时报告业主入住情况；是否及时向有关部门报告违法违规行为和安全事故等情况。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（二）检查方法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现场检查。检查组人员按照检查内容对被检企业和项目进行明察暗访，通过实地检查、座谈交流、查阅资料等方式检查物业服务情况。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楷体" w:hAnsi="楷体" w:eastAsia="楷体" w:cs="楷体"/>
          <w:kern w:val="2"/>
          <w:sz w:val="32"/>
          <w:szCs w:val="22"/>
          <w:lang w:val="en-US" w:eastAsia="zh-CN" w:bidi="ar-SA"/>
        </w:rPr>
      </w:pPr>
      <w:r>
        <w:rPr>
          <w:rFonts w:hint="eastAsia" w:ascii="楷体" w:hAnsi="楷体" w:eastAsia="楷体" w:cs="楷体"/>
          <w:kern w:val="2"/>
          <w:sz w:val="32"/>
          <w:szCs w:val="22"/>
          <w:lang w:val="en-US" w:eastAsia="zh-CN" w:bidi="ar-SA"/>
        </w:rPr>
        <w:t>三、检查依据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（一）《物业管理条例》（2003年6月国务院令第379号，2018年3月修订）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第五条 国务院建设行政主管部门负责全国物业管理活动的监督管理工作。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县级以上地方人民政府房地产行政主管部门负责本行政区域内物业管理活动的监督管理工作。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（二）《住宅专项维修资金管理办法》（2007年12月，建设部、财政部令）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第五条 国务院建设主管部门会同国务院财政部门负责全国住宅专项维修资金的指导和监督工作。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县级以上地方人民政府建设（房地产）主管部门会同同级财政部门负责本行政区域内住宅专项维修资金的指导和监督工作。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（三）《山东省物业管理条例》（2009年1月，2018年9月修正）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第五条 省人民政府建设行政主管部门负责全省物业管理活动的监督管理工作。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设区的市、县（市、区）人民政府房地产管理部门或者建设行政主管部门（以下统称物业主管部门），负责本行政区域内物业管理活动的监督管理工作。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40" w:lineRule="exact"/>
        <w:ind w:right="0" w:firstLine="640" w:firstLineChars="200"/>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城管执法、房地产开发、财政、民政、价格、公安、城乡规划、市政公用、环境保护、工商行政管理等有关部门按照各自职责，做好与物业管理有关的工作。</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40" w:lineRule="exact"/>
        <w:ind w:left="0" w:leftChars="0" w:firstLine="640" w:firstLineChars="200"/>
        <w:jc w:val="right"/>
        <w:textAlignment w:val="auto"/>
        <w:rPr>
          <w:rFonts w:hint="eastAsia" w:ascii="仿宋_GB2312" w:hAnsi="仿宋_GB2312" w:eastAsia="仿宋_GB2312" w:cs="Times New Roman"/>
          <w:kern w:val="2"/>
          <w:sz w:val="32"/>
          <w:szCs w:val="22"/>
          <w:lang w:val="en-US" w:eastAsia="zh-CN" w:bidi="ar-SA"/>
        </w:rPr>
      </w:pPr>
    </w:p>
    <w:p>
      <w:pPr>
        <w:pStyle w:val="9"/>
        <w:keepNext w:val="0"/>
        <w:keepLines w:val="0"/>
        <w:pageBreakBefore w:val="0"/>
        <w:kinsoku/>
        <w:wordWrap/>
        <w:topLinePunct w:val="0"/>
        <w:autoSpaceDE/>
        <w:autoSpaceDN/>
        <w:bidi w:val="0"/>
        <w:spacing w:line="540" w:lineRule="exact"/>
        <w:ind w:firstLine="880" w:firstLineChars="200"/>
        <w:rPr>
          <w:rFonts w:hint="eastAsia" w:ascii="Times New Roman" w:hAnsi="Times New Roman" w:eastAsia="仿宋_GB2312" w:cs="Times New Roman"/>
          <w:b w:val="0"/>
          <w:bCs/>
          <w:sz w:val="32"/>
          <w:szCs w:val="32"/>
          <w:lang w:val="en-US" w:eastAsia="zh-CN"/>
        </w:rPr>
      </w:pPr>
      <w:r>
        <w:rPr>
          <w:rFonts w:hint="eastAsia"/>
          <w:sz w:val="44"/>
          <w:szCs w:val="44"/>
          <w:lang w:val="en-US" w:eastAsia="zh-CN"/>
        </w:rPr>
        <w:t xml:space="preserve">                        </w:t>
      </w:r>
      <w:r>
        <w:rPr>
          <w:rFonts w:hint="eastAsia" w:ascii="Times New Roman" w:hAnsi="Times New Roman" w:eastAsia="仿宋_GB2312" w:cs="Times New Roman"/>
          <w:b w:val="0"/>
          <w:bCs/>
          <w:kern w:val="2"/>
          <w:sz w:val="32"/>
          <w:szCs w:val="30"/>
          <w:lang w:val="en-US" w:eastAsia="zh-CN" w:bidi="ar-SA"/>
        </w:rPr>
        <w:t>2024年3月7日</w:t>
      </w:r>
      <w:bookmarkStart w:id="0" w:name="_GoBack"/>
      <w:bookmarkEnd w:id="0"/>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40" w:lineRule="exact"/>
        <w:ind w:left="319" w:leftChars="152" w:firstLine="640" w:firstLineChars="200"/>
        <w:jc w:val="left"/>
        <w:textAlignment w:val="auto"/>
        <w:rPr>
          <w:rFonts w:hint="default"/>
          <w:lang w:val="en-US" w:eastAsia="zh-CN"/>
        </w:rPr>
      </w:pPr>
      <w:r>
        <w:rPr>
          <w:rFonts w:hint="eastAsia" w:ascii="Times New Roman" w:hAnsi="Times New Roman" w:eastAsia="仿宋_GB2312" w:cs="Times New Roman"/>
          <w:b w:val="0"/>
          <w:bCs/>
          <w:sz w:val="32"/>
          <w:szCs w:val="32"/>
          <w:lang w:val="en-US" w:eastAsia="zh-CN"/>
        </w:rPr>
        <w:t>（此件主动公开）</w:t>
      </w:r>
    </w:p>
    <w:sectPr>
      <w:pgSz w:w="11906" w:h="16838"/>
      <w:pgMar w:top="1247"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214F8"/>
    <w:multiLevelType w:val="singleLevel"/>
    <w:tmpl w:val="79D214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81521"/>
    <w:rsid w:val="1D896F5D"/>
    <w:rsid w:val="295F6722"/>
    <w:rsid w:val="2B5D5604"/>
    <w:rsid w:val="2C6C57A5"/>
    <w:rsid w:val="33E00D1D"/>
    <w:rsid w:val="35C026CF"/>
    <w:rsid w:val="3960148E"/>
    <w:rsid w:val="40962A78"/>
    <w:rsid w:val="497B090D"/>
    <w:rsid w:val="51A54910"/>
    <w:rsid w:val="54300AD6"/>
    <w:rsid w:val="60441F45"/>
    <w:rsid w:val="6E046BEC"/>
    <w:rsid w:val="715C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jc w:val="center"/>
      <w:outlineLvl w:val="0"/>
    </w:pPr>
    <w:rPr>
      <w:sz w:val="42"/>
      <w:szCs w:val="42"/>
    </w:rPr>
  </w:style>
  <w:style w:type="paragraph" w:styleId="4">
    <w:name w:val="heading 3"/>
    <w:basedOn w:val="1"/>
    <w:next w:val="1"/>
    <w:qFormat/>
    <w:uiPriority w:val="0"/>
    <w:pPr>
      <w:widowControl/>
      <w:spacing w:beforeAutospacing="1" w:afterAutospacing="1"/>
      <w:outlineLvl w:val="2"/>
    </w:pPr>
    <w:rPr>
      <w:b/>
      <w:bCs/>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5">
    <w:name w:val="Body Text"/>
    <w:basedOn w:val="1"/>
    <w:qFormat/>
    <w:uiPriority w:val="1"/>
    <w:rPr>
      <w:sz w:val="32"/>
      <w:szCs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UserStyle_0"/>
    <w:basedOn w:val="1"/>
    <w:qFormat/>
    <w:uiPriority w:val="0"/>
    <w:pPr>
      <w:textAlignment w:val="baseline"/>
    </w:pPr>
  </w:style>
  <w:style w:type="paragraph" w:customStyle="1" w:styleId="10">
    <w:name w:val="Body text|1"/>
    <w:basedOn w:val="1"/>
    <w:qFormat/>
    <w:uiPriority w:val="0"/>
    <w:pPr>
      <w:spacing w:line="319" w:lineRule="auto"/>
      <w:ind w:firstLine="40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2021-12-06T01:55:00Z</dcterms:created>
  <dc:creator>WLQ-DELL</dc:creator>
  <cp:lastModifiedBy>WLQ-DELL</cp:lastModifiedBy>
  <cp:lastPrinted>2022-03-08T02:43:00Z</cp:lastPrinted>
  <dcterms:modified xsi:type="dcterms:W3CDTF">2024-03-06T07:55:08Z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