
<file path=[Content_Types].xml><?xml version="1.0" encoding="utf-8"?>
<Types xmlns="http://schemas.openxmlformats.org/package/2006/content-types">
  <Default Extension="xml" ContentType="application/xml"/>
  <Default Extension="xlsx" ContentType="application/vnd.openxmlformats-officedocument.spreadsheetml.sheet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olors1.xml" ContentType="application/vnd.ms-office.chartcolorstyle+xml"/>
  <Override PartName="/word/charts/colors2.xml" ContentType="application/vnd.ms-office.chartcolorstyle+xml"/>
  <Override PartName="/word/charts/style1.xml" ContentType="application/vnd.ms-office.chartstyle+xml"/>
  <Override PartName="/word/charts/style2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theme/themeOverride1.xml" ContentType="application/vnd.openxmlformats-officedocument.themeOverride+xml"/>
  <Override PartName="/word/theme/themeOverride2.xml" ContentType="application/vnd.openxmlformats-officedocument.themeOverrid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0C1A0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Autospacing="0" w:line="560" w:lineRule="exact"/>
        <w:ind w:left="0" w:leftChars="0" w:right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lang w:val="en-US" w:eastAsia="zh-CN"/>
        </w:rPr>
        <w:t>沂源县综合行政执法局</w:t>
      </w:r>
    </w:p>
    <w:p w14:paraId="6B4EDAA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Autospacing="0" w:line="560" w:lineRule="exact"/>
        <w:ind w:left="0" w:leftChars="0" w:right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lang w:val="en-US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lang w:val="en-US"/>
        </w:rPr>
        <w:t>202</w:t>
      </w:r>
      <w:r>
        <w:rPr>
          <w:rFonts w:hint="eastAsia" w:ascii="Times New Roman" w:hAnsi="Times New Roman" w:eastAsia="方正小标宋简体" w:cs="Times New Roman"/>
          <w:b w:val="0"/>
          <w:bCs w:val="0"/>
          <w:color w:val="auto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lang w:val="en-US" w:eastAsia="zh-CN"/>
        </w:rPr>
        <w:t>年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lang w:val="en-US"/>
        </w:rPr>
        <w:t>政府信息公开工作年度报告</w:t>
      </w:r>
    </w:p>
    <w:p w14:paraId="113284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Autospacing="0" w:line="560" w:lineRule="exact"/>
        <w:ind w:left="0" w:leftChars="0" w:right="0"/>
        <w:textAlignment w:val="auto"/>
        <w:rPr>
          <w:rFonts w:hint="default" w:ascii="Times New Roman" w:hAnsi="Times New Roman" w:cs="Times New Roman"/>
          <w:color w:val="auto"/>
        </w:rPr>
      </w:pPr>
    </w:p>
    <w:p w14:paraId="10D62E76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Autospacing="0" w:line="560" w:lineRule="exact"/>
        <w:ind w:leftChars="0"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本报告中所列数据的统计期限为202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年1月1日起至202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年12月31日。如对报告内容有疑问，请与沂源县综合行政执法局联系（地址：沂源县荆山路139号；邮编：256100；电话：2920516；邮箱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：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yiyuanzhxzzfj@zb.shandong.cn）。</w:t>
      </w:r>
    </w:p>
    <w:p w14:paraId="2DD494FB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一、总体情况</w:t>
      </w:r>
    </w:p>
    <w:p w14:paraId="28336176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left"/>
        <w:textAlignment w:val="baseline"/>
        <w:rPr>
          <w:rFonts w:hint="eastAsia" w:ascii="Times New Roman" w:hAnsi="Times New Roman" w:eastAsia="仿宋_GB2312" w:cs="Times New Roman"/>
          <w:spacing w:val="0"/>
          <w:kern w:val="0"/>
          <w:sz w:val="32"/>
          <w:szCs w:val="32"/>
          <w:lang w:val="en-US" w:eastAsia="zh-CN" w:bidi="zh-CN"/>
        </w:rPr>
      </w:pPr>
      <w:r>
        <w:rPr>
          <w:rFonts w:hint="eastAsia" w:ascii="Times New Roman" w:hAnsi="Times New Roman" w:eastAsia="仿宋_GB2312" w:cs="Times New Roman"/>
          <w:spacing w:val="0"/>
          <w:kern w:val="0"/>
          <w:sz w:val="32"/>
          <w:szCs w:val="32"/>
          <w:lang w:val="en-US" w:eastAsia="zh-CN" w:bidi="zh-CN"/>
        </w:rPr>
        <w:t>2024年县综合行政执法局贯彻落实《中华人民共和国政府信息公开条例》，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lang w:val="en-US" w:eastAsia="zh-CN" w:bidi="zh-CN"/>
        </w:rPr>
        <w:t>结合城市管理工作实际，强化公开责任、丰富公开内容，不断提升信息公开常态化、便民化、标准化水平</w:t>
      </w:r>
      <w:r>
        <w:rPr>
          <w:rFonts w:hint="eastAsia" w:ascii="Times New Roman" w:hAnsi="Times New Roman" w:eastAsia="仿宋_GB2312" w:cs="Times New Roman"/>
          <w:spacing w:val="0"/>
          <w:kern w:val="0"/>
          <w:sz w:val="32"/>
          <w:szCs w:val="32"/>
          <w:lang w:val="en-US" w:eastAsia="zh-CN" w:bidi="zh-CN"/>
        </w:rPr>
        <w:t>，提高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lang w:val="en-US" w:eastAsia="zh-CN" w:bidi="zh-CN"/>
        </w:rPr>
        <w:t>城市管理工作的透明度和公信力，</w:t>
      </w:r>
      <w:r>
        <w:rPr>
          <w:rFonts w:hint="eastAsia" w:ascii="Times New Roman" w:hAnsi="Times New Roman" w:eastAsia="仿宋_GB2312" w:cs="Times New Roman"/>
          <w:spacing w:val="0"/>
          <w:kern w:val="0"/>
          <w:sz w:val="32"/>
          <w:szCs w:val="32"/>
          <w:lang w:val="en-US" w:eastAsia="zh-CN" w:bidi="zh-CN"/>
        </w:rPr>
        <w:t>切实保障人民群众的知情权、参与权、表达权和监督权。</w:t>
      </w:r>
    </w:p>
    <w:p w14:paraId="2DAC7DB7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b w:val="0"/>
          <w:bCs w:val="0"/>
          <w:kern w:val="0"/>
          <w:sz w:val="32"/>
          <w:szCs w:val="32"/>
          <w:lang w:val="en-US" w:eastAsia="zh-CN" w:bidi="ar"/>
        </w:rPr>
        <w:t>（一）</w:t>
      </w: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val="en-US" w:eastAsia="zh-CN"/>
        </w:rPr>
        <w:t>主动公开内容</w:t>
      </w:r>
    </w:p>
    <w:p w14:paraId="7F7F580D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left"/>
        <w:textAlignment w:val="baseline"/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lang w:val="en-US" w:eastAsia="zh-CN" w:bidi="zh-CN"/>
        </w:rPr>
      </w:pP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lang w:val="en-US" w:eastAsia="zh-CN" w:bidi="zh-CN"/>
        </w:rPr>
        <w:t>202</w:t>
      </w:r>
      <w:r>
        <w:rPr>
          <w:rFonts w:hint="eastAsia" w:ascii="Times New Roman" w:hAnsi="Times New Roman" w:eastAsia="仿宋_GB2312" w:cs="Times New Roman"/>
          <w:spacing w:val="0"/>
          <w:kern w:val="0"/>
          <w:sz w:val="32"/>
          <w:szCs w:val="32"/>
          <w:lang w:val="en-US" w:eastAsia="zh-CN" w:bidi="zh-CN"/>
        </w:rPr>
        <w:t>4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lang w:val="en-US" w:eastAsia="zh-CN" w:bidi="zh-CN"/>
        </w:rPr>
        <w:t>年，县</w:t>
      </w:r>
      <w:r>
        <w:rPr>
          <w:rFonts w:hint="eastAsia" w:ascii="Times New Roman" w:hAnsi="Times New Roman" w:eastAsia="仿宋_GB2312" w:cs="Times New Roman"/>
          <w:spacing w:val="0"/>
          <w:kern w:val="0"/>
          <w:sz w:val="32"/>
          <w:szCs w:val="32"/>
          <w:lang w:val="en-US" w:eastAsia="zh-CN" w:bidi="zh-CN"/>
        </w:rPr>
        <w:t>综合行政执法局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lang w:val="en-US" w:eastAsia="zh-CN" w:bidi="zh-CN"/>
        </w:rPr>
        <w:t>累计主动公开政府信息</w:t>
      </w:r>
      <w:r>
        <w:rPr>
          <w:rFonts w:hint="eastAsia" w:ascii="Times New Roman" w:hAnsi="Times New Roman" w:eastAsia="仿宋_GB2312" w:cs="Times New Roman"/>
          <w:spacing w:val="0"/>
          <w:kern w:val="0"/>
          <w:sz w:val="32"/>
          <w:szCs w:val="32"/>
          <w:lang w:val="en-US" w:eastAsia="zh-CN" w:bidi="zh-CN"/>
        </w:rPr>
        <w:t>88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lang w:val="en-US" w:eastAsia="zh-CN" w:bidi="zh-CN"/>
        </w:rPr>
        <w:t>条，其中，政策法规</w:t>
      </w:r>
      <w:r>
        <w:rPr>
          <w:rFonts w:hint="eastAsia" w:ascii="Times New Roman" w:hAnsi="Times New Roman" w:eastAsia="仿宋_GB2312" w:cs="Times New Roman"/>
          <w:spacing w:val="0"/>
          <w:kern w:val="0"/>
          <w:sz w:val="32"/>
          <w:szCs w:val="32"/>
          <w:lang w:val="en-US" w:eastAsia="zh-CN" w:bidi="zh-CN"/>
        </w:rPr>
        <w:t>7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lang w:val="en-US" w:eastAsia="zh-CN" w:bidi="zh-CN"/>
        </w:rPr>
        <w:t>条，部门会议及解读</w:t>
      </w:r>
      <w:r>
        <w:rPr>
          <w:rFonts w:hint="eastAsia" w:ascii="Times New Roman" w:hAnsi="Times New Roman" w:eastAsia="仿宋_GB2312" w:cs="Times New Roman"/>
          <w:spacing w:val="0"/>
          <w:kern w:val="0"/>
          <w:sz w:val="32"/>
          <w:szCs w:val="32"/>
          <w:lang w:val="en-US" w:eastAsia="zh-CN" w:bidi="zh-CN"/>
        </w:rPr>
        <w:t>4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lang w:val="en-US" w:eastAsia="zh-CN" w:bidi="zh-CN"/>
        </w:rPr>
        <w:t>条，</w:t>
      </w:r>
      <w:r>
        <w:rPr>
          <w:rFonts w:hint="eastAsia" w:ascii="Times New Roman" w:hAnsi="Times New Roman" w:eastAsia="仿宋_GB2312" w:cs="Times New Roman"/>
          <w:spacing w:val="0"/>
          <w:kern w:val="0"/>
          <w:sz w:val="32"/>
          <w:szCs w:val="32"/>
          <w:lang w:val="en-US" w:eastAsia="zh-CN" w:bidi="zh-CN"/>
        </w:rPr>
        <w:t>污染防治13条，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lang w:val="en-US" w:eastAsia="zh-CN" w:bidi="zh-CN"/>
        </w:rPr>
        <w:t>建议提案办理</w:t>
      </w:r>
      <w:r>
        <w:rPr>
          <w:rFonts w:hint="eastAsia" w:ascii="Times New Roman" w:hAnsi="Times New Roman" w:eastAsia="仿宋_GB2312" w:cs="Times New Roman"/>
          <w:spacing w:val="0"/>
          <w:kern w:val="0"/>
          <w:sz w:val="32"/>
          <w:szCs w:val="32"/>
          <w:lang w:val="en-US" w:eastAsia="zh-CN" w:bidi="zh-CN"/>
        </w:rPr>
        <w:t>21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lang w:val="en-US" w:eastAsia="zh-CN" w:bidi="zh-CN"/>
        </w:rPr>
        <w:t>条，财政信息</w:t>
      </w:r>
      <w:r>
        <w:rPr>
          <w:rFonts w:hint="eastAsia" w:ascii="Times New Roman" w:hAnsi="Times New Roman" w:eastAsia="仿宋_GB2312" w:cs="Times New Roman"/>
          <w:spacing w:val="0"/>
          <w:kern w:val="0"/>
          <w:sz w:val="32"/>
          <w:szCs w:val="32"/>
          <w:lang w:val="en-US" w:eastAsia="zh-CN" w:bidi="zh-CN"/>
        </w:rPr>
        <w:t>4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lang w:val="en-US" w:eastAsia="zh-CN" w:bidi="zh-CN"/>
        </w:rPr>
        <w:t>条，</w:t>
      </w:r>
      <w:r>
        <w:rPr>
          <w:rFonts w:hint="eastAsia" w:ascii="Times New Roman" w:hAnsi="Times New Roman" w:eastAsia="仿宋_GB2312" w:cs="Times New Roman"/>
          <w:spacing w:val="0"/>
          <w:kern w:val="0"/>
          <w:sz w:val="32"/>
          <w:szCs w:val="32"/>
          <w:lang w:val="en-US" w:eastAsia="zh-CN" w:bidi="zh-CN"/>
        </w:rPr>
        <w:t>管理和服务公开24条，“双随机、一公开”10条；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lang w:val="en-US" w:eastAsia="zh-CN" w:bidi="zh-CN"/>
        </w:rPr>
        <w:t>政务公开组织领导</w:t>
      </w:r>
      <w:r>
        <w:rPr>
          <w:rFonts w:hint="eastAsia" w:ascii="Times New Roman" w:hAnsi="Times New Roman" w:eastAsia="仿宋_GB2312" w:cs="Times New Roman"/>
          <w:spacing w:val="0"/>
          <w:kern w:val="0"/>
          <w:sz w:val="32"/>
          <w:szCs w:val="32"/>
          <w:lang w:val="en-US" w:eastAsia="zh-CN" w:bidi="zh-CN"/>
        </w:rPr>
        <w:t>2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lang w:val="en-US" w:eastAsia="zh-CN" w:bidi="zh-CN"/>
        </w:rPr>
        <w:t>条，信息公开指南</w:t>
      </w:r>
      <w:r>
        <w:rPr>
          <w:rFonts w:hint="eastAsia" w:ascii="Times New Roman" w:hAnsi="Times New Roman" w:eastAsia="仿宋_GB2312" w:cs="Times New Roman"/>
          <w:spacing w:val="0"/>
          <w:kern w:val="0"/>
          <w:sz w:val="32"/>
          <w:szCs w:val="32"/>
          <w:lang w:val="en-US" w:eastAsia="zh-CN" w:bidi="zh-CN"/>
        </w:rPr>
        <w:t>1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lang w:val="en-US" w:eastAsia="zh-CN" w:bidi="zh-CN"/>
        </w:rPr>
        <w:t>条，信息公开年度报告</w:t>
      </w:r>
      <w:r>
        <w:rPr>
          <w:rFonts w:hint="eastAsia" w:ascii="Times New Roman" w:hAnsi="Times New Roman" w:eastAsia="仿宋_GB2312" w:cs="Times New Roman"/>
          <w:spacing w:val="0"/>
          <w:kern w:val="0"/>
          <w:sz w:val="32"/>
          <w:szCs w:val="32"/>
          <w:lang w:val="en-US" w:eastAsia="zh-CN" w:bidi="zh-CN"/>
        </w:rPr>
        <w:t>1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lang w:val="en-US" w:eastAsia="zh-CN" w:bidi="zh-CN"/>
        </w:rPr>
        <w:t>条，法制建设专栏</w:t>
      </w:r>
      <w:r>
        <w:rPr>
          <w:rFonts w:hint="eastAsia" w:ascii="Times New Roman" w:hAnsi="Times New Roman" w:eastAsia="仿宋_GB2312" w:cs="Times New Roman"/>
          <w:spacing w:val="0"/>
          <w:kern w:val="0"/>
          <w:sz w:val="32"/>
          <w:szCs w:val="32"/>
          <w:lang w:val="en-US" w:eastAsia="zh-CN" w:bidi="zh-CN"/>
        </w:rPr>
        <w:t>1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lang w:val="en-US" w:eastAsia="zh-CN" w:bidi="zh-CN"/>
        </w:rPr>
        <w:t>条。</w:t>
      </w:r>
    </w:p>
    <w:p w14:paraId="5D123E1B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zh-CN"/>
        </w:rPr>
      </w:pPr>
    </w:p>
    <w:p w14:paraId="6640A9DA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zh-CN"/>
        </w:rPr>
      </w:pPr>
    </w:p>
    <w:p w14:paraId="41519052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zh-CN"/>
        </w:rPr>
      </w:pPr>
    </w:p>
    <w:p w14:paraId="0CC8CE43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zh-CN"/>
        </w:rPr>
      </w:pPr>
    </w:p>
    <w:p w14:paraId="32B8CFB5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139065</wp:posOffset>
            </wp:positionH>
            <wp:positionV relativeFrom="page">
              <wp:posOffset>6431280</wp:posOffset>
            </wp:positionV>
            <wp:extent cx="5256530" cy="2764155"/>
            <wp:effectExtent l="4445" t="4445" r="15875" b="50800"/>
            <wp:wrapSquare wrapText="bothSides"/>
            <wp:docPr id="9" name="图表 9" descr="7b0a202020202263686172745265734964223a20223230343736313031220a7d0a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anchor>
        </w:drawing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71755</wp:posOffset>
            </wp:positionH>
            <wp:positionV relativeFrom="page">
              <wp:posOffset>1201420</wp:posOffset>
            </wp:positionV>
            <wp:extent cx="5256530" cy="2988310"/>
            <wp:effectExtent l="5080" t="4445" r="15240" b="17145"/>
            <wp:wrapSquare wrapText="bothSides"/>
            <wp:docPr id="7" name="图表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anchor>
        </w:drawing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zh-CN"/>
        </w:rPr>
        <w:t>2024年，通过各类新媒体公开信息323条。其中，大众日报、山东商报·速豹新闻、博览新闻、海报新闻、淄博学习平台等省市级媒体客户端刊发信息12篇，在淄博城市管理公众号推送信息63篇，在沂源融媒、掌上沂源等县级媒体推送视频、信息32篇，沂源政务信息采用信息12篇，在沂源城市管理公众号推送信息144篇，视频号、抖音号推送视频60期。</w:t>
      </w:r>
    </w:p>
    <w:p w14:paraId="0D0D0D03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val="en-US" w:eastAsia="zh-CN"/>
        </w:rPr>
        <w:t>（二）</w:t>
      </w: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eastAsia="zh-CN"/>
        </w:rPr>
        <w:t>依申请公开情况</w:t>
      </w:r>
    </w:p>
    <w:p w14:paraId="09212118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收到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依申请公开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3件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，申请人为自然人，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sz w:val="32"/>
          <w:szCs w:val="32"/>
          <w:vertAlign w:val="baseline"/>
        </w:rPr>
        <w:t>已按照规范格式在规定时限内进行答复，未收取信息处理费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sz w:val="32"/>
          <w:szCs w:val="32"/>
          <w:vertAlign w:val="baseline"/>
          <w:lang w:eastAsia="zh-CN"/>
        </w:rPr>
        <w:t>，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相比较去年，依申请公开数量持平。</w:t>
      </w:r>
    </w:p>
    <w:p w14:paraId="3CF50A31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168910</wp:posOffset>
            </wp:positionH>
            <wp:positionV relativeFrom="page">
              <wp:posOffset>2796540</wp:posOffset>
            </wp:positionV>
            <wp:extent cx="5256530" cy="2416175"/>
            <wp:effectExtent l="4445" t="4445" r="15875" b="17780"/>
            <wp:wrapSquare wrapText="bothSides"/>
            <wp:docPr id="5" name="图表 5" descr="7b0a202020202263686172745265734964223a202234363639383833220a7d0a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anchor>
        </w:drawing>
      </w: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</w:rPr>
        <w:t>（三）政府信息管理情况</w:t>
      </w:r>
    </w:p>
    <w:p w14:paraId="453B9C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 w:bidi="ar"/>
        </w:rPr>
        <w:t>严格执行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 w:bidi="ar"/>
        </w:rPr>
        <w:t>政务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 w:bidi="ar"/>
        </w:rPr>
        <w:t>公开制度并做好信息公开及报送工作，按照要求，对机构职能、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 w:bidi="ar"/>
        </w:rPr>
        <w:t>政府会议、双随机一公开、建议提案办理、财政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 w:bidi="ar"/>
        </w:rPr>
        <w:t>等信息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 w:bidi="ar"/>
        </w:rPr>
        <w:t>及时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 w:bidi="ar"/>
        </w:rPr>
        <w:t>进行公开，保证政府信息与政务公开准确、及时、规范。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 w:bidi="ar"/>
        </w:rPr>
        <w:t>同时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 w:bidi="ar"/>
        </w:rPr>
        <w:t>做好政府信息公开保密审查和个人信息保护工作，严把信息发布审核关，坚持谁公开谁审查、事前审查、依法审查的原则，做到涉密信息不上网。继续推行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 w:bidi="ar"/>
        </w:rPr>
        <w:t>政务公开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 w:bidi="ar"/>
        </w:rPr>
        <w:t>领导小组工作机制，形成主要负责人领导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 w:bidi="ar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 w:bidi="ar"/>
        </w:rPr>
        <w:t>分管负责人负责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 w:bidi="ar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 w:bidi="ar"/>
        </w:rPr>
        <w:t>办公室承办具体任务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 w:bidi="ar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 w:bidi="ar"/>
        </w:rPr>
        <w:t>其他科室协助办理的工作层级，确保发布的信息准确脱敏，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 w:bidi="ar"/>
        </w:rPr>
        <w:t>不断提升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 w:bidi="ar"/>
        </w:rPr>
        <w:t>政务公开工作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 w:bidi="ar"/>
        </w:rPr>
        <w:t>成效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 w:bidi="ar"/>
        </w:rPr>
        <w:t>。</w:t>
      </w:r>
    </w:p>
    <w:p w14:paraId="2EBA3E7A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</w:rPr>
        <w:t>（四）政府信息公开平台建设情况</w:t>
      </w:r>
    </w:p>
    <w:p w14:paraId="40FBE1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="0" w:leftChars="0" w:right="0" w:firstLine="640" w:firstLineChars="200"/>
        <w:jc w:val="left"/>
        <w:textAlignment w:val="auto"/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vertAlign w:val="baseline"/>
        </w:rPr>
        <w:t>充分发挥政府门户网站为信息公开第一平台作用，不断细化公开信息目录，聚焦社会关切和民生实事，定期进行栏目信息维护，确保公开信息内容及时、全面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vertAlign w:val="baseline"/>
          <w:lang w:eastAsia="zh-CN"/>
        </w:rPr>
        <w:t>；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vertAlign w:val="baseline"/>
        </w:rPr>
        <w:t>充分利用各类新媒体平台，在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vertAlign w:val="baseline"/>
          <w:lang w:val="en-US" w:eastAsia="zh-CN"/>
        </w:rPr>
        <w:t>省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vertAlign w:val="baseline"/>
        </w:rPr>
        <w:t>市县各级媒体、“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vertAlign w:val="baseline"/>
          <w:lang w:val="en-US" w:eastAsia="zh-CN"/>
        </w:rPr>
        <w:t>沂源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vertAlign w:val="baseline"/>
        </w:rPr>
        <w:t>城市管理”微信公众号，多形式、多角度发布城市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vertAlign w:val="baseline"/>
          <w:lang w:val="en-US" w:eastAsia="zh-CN"/>
        </w:rPr>
        <w:t>管理工作信息，进一步强化政府信息公开，方便政民互动、网络问政。</w:t>
      </w:r>
    </w:p>
    <w:p w14:paraId="5E2F00E4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bidi w:val="0"/>
        <w:adjustRightInd/>
        <w:snapToGrid/>
        <w:spacing w:before="0" w:beforeAutospacing="0" w:after="0" w:afterAutospacing="0" w:line="54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楷体_GB2312" w:cs="Times New Roman"/>
          <w:b w:val="0"/>
          <w:bCs w:val="0"/>
          <w:kern w:val="0"/>
          <w:sz w:val="32"/>
          <w:szCs w:val="32"/>
          <w:lang w:val="en-US" w:eastAsia="zh-CN" w:bidi="ar"/>
        </w:rPr>
        <w:t>（五）</w:t>
      </w: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</w:rPr>
        <w:t>监督保障情况</w:t>
      </w:r>
    </w:p>
    <w:p w14:paraId="787EC086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40" w:lineRule="exact"/>
        <w:ind w:right="0" w:rightChars="0" w:firstLine="640" w:firstLineChars="200"/>
        <w:jc w:val="both"/>
        <w:textAlignment w:val="auto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vertAlign w:val="baseline"/>
          <w:lang w:val="en-US" w:eastAsia="zh-CN" w:bidi="zh-CN"/>
        </w:rPr>
        <w:t>强化队伍建设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vertAlign w:val="baseline"/>
          <w:lang w:val="zh-CN" w:eastAsia="zh-CN" w:bidi="zh-CN"/>
        </w:rPr>
        <w:t>，健全工作机制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vertAlign w:val="baseline"/>
          <w:lang w:val="zh-CN" w:eastAsia="zh-CN" w:bidi="zh-CN"/>
        </w:rPr>
        <w:t>，明确主要负责同志对政务公开工作负总责，各科室确定一名政务公开工作联络员，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vertAlign w:val="baseline"/>
          <w:lang w:val="en-US" w:eastAsia="zh-CN" w:bidi="zh-CN"/>
        </w:rPr>
        <w:t>不断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vertAlign w:val="baseline"/>
          <w:lang w:val="zh-CN" w:eastAsia="zh-CN" w:bidi="zh-CN"/>
        </w:rPr>
        <w:t>细化分解政务公开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vertAlign w:val="baseline"/>
          <w:lang w:val="en-US" w:eastAsia="zh-CN" w:bidi="zh-CN"/>
        </w:rPr>
        <w:t>工作任务，构建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vertAlign w:val="baseline"/>
          <w:lang w:val="zh-CN" w:eastAsia="zh-CN" w:bidi="zh-CN"/>
        </w:rPr>
        <w:t>上下联动的政务公开工作网络体系，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vertAlign w:val="baseline"/>
          <w:lang w:val="en-US" w:eastAsia="zh-CN" w:bidi="zh-CN"/>
        </w:rPr>
        <w:t>确保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vertAlign w:val="baseline"/>
          <w:lang w:val="zh-CN" w:eastAsia="zh-CN" w:bidi="zh-CN"/>
        </w:rPr>
        <w:t>政务公开工作有组织、有计划、有步骤推进。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vertAlign w:val="baseline"/>
          <w:lang w:val="zh-CN" w:eastAsia="zh-CN" w:bidi="zh-CN"/>
        </w:rPr>
        <w:t>对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vertAlign w:val="baseline"/>
          <w:lang w:val="en-US" w:eastAsia="zh-CN" w:bidi="zh-CN"/>
        </w:rPr>
        <w:t>政府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vertAlign w:val="baseline"/>
          <w:lang w:val="zh-CN" w:eastAsia="zh-CN" w:bidi="zh-CN"/>
        </w:rPr>
        <w:t>信息公开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vertAlign w:val="baseline"/>
          <w:lang w:val="en-US" w:eastAsia="zh-CN" w:bidi="zh-CN"/>
        </w:rPr>
        <w:t>内容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vertAlign w:val="baseline"/>
          <w:lang w:val="zh-CN" w:eastAsia="zh-CN" w:bidi="zh-CN"/>
        </w:rPr>
        <w:t>层层把关，不定期开展涉及社会主体及公民个人隐私信息泄露的排查工作，切实维护好政府机密信息和公民个人信息的安全。</w:t>
      </w:r>
    </w:p>
    <w:p w14:paraId="510E3ADC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textAlignment w:val="auto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eastAsia="黑体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二、主动公开政府信息情况</w:t>
      </w:r>
    </w:p>
    <w:tbl>
      <w:tblPr>
        <w:tblStyle w:val="8"/>
        <w:tblW w:w="8800" w:type="dxa"/>
        <w:tblInd w:w="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91"/>
        <w:gridCol w:w="1688"/>
        <w:gridCol w:w="1818"/>
        <w:gridCol w:w="2003"/>
      </w:tblGrid>
      <w:tr w14:paraId="6C4812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8800" w:type="dxa"/>
            <w:gridSpan w:val="4"/>
            <w:shd w:val="clear" w:color="auto" w:fill="C2D6F7"/>
            <w:vAlign w:val="top"/>
          </w:tcPr>
          <w:p w14:paraId="681EE7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0" w:lineRule="atLeast"/>
              <w:ind w:left="0" w:leftChars="0" w:right="0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2"/>
                <w:szCs w:val="22"/>
              </w:rPr>
              <w:t>第二十条第(一)项</w:t>
            </w:r>
          </w:p>
        </w:tc>
      </w:tr>
      <w:tr w14:paraId="61A1C2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3291" w:type="dxa"/>
            <w:vAlign w:val="top"/>
          </w:tcPr>
          <w:p w14:paraId="75E159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0" w:lineRule="atLeast"/>
              <w:ind w:left="0" w:leftChars="0" w:right="0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2"/>
                <w:szCs w:val="22"/>
              </w:rPr>
              <w:t>信息内容</w:t>
            </w:r>
          </w:p>
        </w:tc>
        <w:tc>
          <w:tcPr>
            <w:tcW w:w="1688" w:type="dxa"/>
            <w:vAlign w:val="top"/>
          </w:tcPr>
          <w:p w14:paraId="76FCA3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0" w:lineRule="atLeast"/>
              <w:ind w:left="0" w:leftChars="0" w:right="0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2"/>
                <w:szCs w:val="22"/>
              </w:rPr>
              <w:t>本年制发件数</w:t>
            </w:r>
          </w:p>
        </w:tc>
        <w:tc>
          <w:tcPr>
            <w:tcW w:w="1818" w:type="dxa"/>
            <w:vAlign w:val="top"/>
          </w:tcPr>
          <w:p w14:paraId="191E85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0" w:lineRule="atLeast"/>
              <w:ind w:left="0" w:leftChars="0" w:right="0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2"/>
                <w:szCs w:val="22"/>
              </w:rPr>
              <w:t>本年废止件数</w:t>
            </w:r>
          </w:p>
        </w:tc>
        <w:tc>
          <w:tcPr>
            <w:tcW w:w="2003" w:type="dxa"/>
            <w:vAlign w:val="top"/>
          </w:tcPr>
          <w:p w14:paraId="185DA0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0" w:lineRule="atLeast"/>
              <w:ind w:left="0" w:leftChars="0" w:right="0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2"/>
                <w:szCs w:val="22"/>
              </w:rPr>
              <w:t>现行有效件数</w:t>
            </w:r>
          </w:p>
        </w:tc>
      </w:tr>
      <w:tr w14:paraId="44D03E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</w:trPr>
        <w:tc>
          <w:tcPr>
            <w:tcW w:w="3291" w:type="dxa"/>
            <w:vAlign w:val="top"/>
          </w:tcPr>
          <w:p w14:paraId="5DFCA9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0" w:lineRule="atLeast"/>
              <w:ind w:left="0" w:leftChars="0" w:right="0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pacing w:val="8"/>
                <w:sz w:val="22"/>
                <w:szCs w:val="22"/>
              </w:rPr>
              <w:t>规章</w:t>
            </w:r>
          </w:p>
        </w:tc>
        <w:tc>
          <w:tcPr>
            <w:tcW w:w="1688" w:type="dxa"/>
            <w:vAlign w:val="top"/>
          </w:tcPr>
          <w:p w14:paraId="45630C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0" w:lineRule="atLeas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1818" w:type="dxa"/>
            <w:vAlign w:val="top"/>
          </w:tcPr>
          <w:p w14:paraId="3C9D10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0" w:lineRule="atLeast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2003" w:type="dxa"/>
            <w:vAlign w:val="top"/>
          </w:tcPr>
          <w:p w14:paraId="33D3A3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0" w:lineRule="atLeast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  <w:t>0</w:t>
            </w:r>
          </w:p>
        </w:tc>
      </w:tr>
      <w:tr w14:paraId="2755ED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3291" w:type="dxa"/>
            <w:vAlign w:val="top"/>
          </w:tcPr>
          <w:p w14:paraId="54B503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0" w:lineRule="atLeast"/>
              <w:ind w:left="0" w:leftChars="0" w:right="0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pacing w:val="1"/>
                <w:sz w:val="22"/>
                <w:szCs w:val="22"/>
              </w:rPr>
              <w:t>行政规范性文件</w:t>
            </w:r>
          </w:p>
        </w:tc>
        <w:tc>
          <w:tcPr>
            <w:tcW w:w="1688" w:type="dxa"/>
            <w:vAlign w:val="top"/>
          </w:tcPr>
          <w:p w14:paraId="03A7C1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0" w:lineRule="atLeas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1818" w:type="dxa"/>
            <w:vAlign w:val="top"/>
          </w:tcPr>
          <w:p w14:paraId="6B4AE0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0" w:lineRule="atLeast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2003" w:type="dxa"/>
            <w:vAlign w:val="top"/>
          </w:tcPr>
          <w:p w14:paraId="6EBD03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0" w:lineRule="atLeast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  <w:t>0</w:t>
            </w:r>
          </w:p>
        </w:tc>
      </w:tr>
      <w:tr w14:paraId="3230AA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8800" w:type="dxa"/>
            <w:gridSpan w:val="4"/>
            <w:shd w:val="clear" w:color="auto" w:fill="C3D5F7"/>
            <w:vAlign w:val="top"/>
          </w:tcPr>
          <w:p w14:paraId="205B9C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0" w:lineRule="atLeast"/>
              <w:ind w:left="0" w:leftChars="0" w:right="0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pacing w:val="1"/>
                <w:sz w:val="22"/>
                <w:szCs w:val="22"/>
              </w:rPr>
              <w:t>第二十条第(五)项</w:t>
            </w:r>
          </w:p>
        </w:tc>
      </w:tr>
      <w:tr w14:paraId="09B0B1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3291" w:type="dxa"/>
            <w:vAlign w:val="top"/>
          </w:tcPr>
          <w:p w14:paraId="4303DF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0" w:lineRule="atLeast"/>
              <w:ind w:left="0" w:leftChars="0" w:right="0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2"/>
                <w:szCs w:val="22"/>
              </w:rPr>
              <w:t>信息内容</w:t>
            </w:r>
          </w:p>
        </w:tc>
        <w:tc>
          <w:tcPr>
            <w:tcW w:w="5509" w:type="dxa"/>
            <w:gridSpan w:val="3"/>
            <w:vAlign w:val="top"/>
          </w:tcPr>
          <w:p w14:paraId="5EA21E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0" w:lineRule="atLeast"/>
              <w:ind w:left="0" w:leftChars="0" w:right="0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pacing w:val="-4"/>
                <w:sz w:val="22"/>
                <w:szCs w:val="22"/>
              </w:rPr>
              <w:t>本年处理决定数量</w:t>
            </w:r>
          </w:p>
        </w:tc>
      </w:tr>
      <w:tr w14:paraId="578A49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3291" w:type="dxa"/>
            <w:vAlign w:val="top"/>
          </w:tcPr>
          <w:p w14:paraId="051EB9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0" w:lineRule="atLeast"/>
              <w:ind w:left="0" w:leftChars="0" w:right="0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2"/>
                <w:szCs w:val="22"/>
              </w:rPr>
              <w:t>行政许可</w:t>
            </w:r>
          </w:p>
        </w:tc>
        <w:tc>
          <w:tcPr>
            <w:tcW w:w="5509" w:type="dxa"/>
            <w:gridSpan w:val="3"/>
            <w:vAlign w:val="top"/>
          </w:tcPr>
          <w:p w14:paraId="18EEDF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0" w:lineRule="atLeas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  <w:t>0</w:t>
            </w:r>
          </w:p>
        </w:tc>
      </w:tr>
      <w:tr w14:paraId="7F7A2E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8800" w:type="dxa"/>
            <w:gridSpan w:val="4"/>
            <w:shd w:val="clear" w:color="auto" w:fill="BBCBFA"/>
            <w:vAlign w:val="top"/>
          </w:tcPr>
          <w:p w14:paraId="3B453D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0" w:lineRule="atLeast"/>
              <w:ind w:left="0" w:leftChars="0" w:right="0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pacing w:val="1"/>
                <w:sz w:val="22"/>
                <w:szCs w:val="22"/>
              </w:rPr>
              <w:t>第二十条第(六)项</w:t>
            </w:r>
          </w:p>
        </w:tc>
      </w:tr>
      <w:tr w14:paraId="310033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3291" w:type="dxa"/>
            <w:vAlign w:val="top"/>
          </w:tcPr>
          <w:p w14:paraId="2FF80C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0" w:lineRule="atLeast"/>
              <w:ind w:left="0" w:leftChars="0" w:right="0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2"/>
                <w:szCs w:val="22"/>
              </w:rPr>
              <w:t>信息内容</w:t>
            </w:r>
          </w:p>
        </w:tc>
        <w:tc>
          <w:tcPr>
            <w:tcW w:w="5509" w:type="dxa"/>
            <w:gridSpan w:val="3"/>
            <w:vAlign w:val="top"/>
          </w:tcPr>
          <w:p w14:paraId="72DE7C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0" w:lineRule="atLeast"/>
              <w:ind w:left="0" w:leftChars="0" w:right="0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pacing w:val="-4"/>
                <w:sz w:val="22"/>
                <w:szCs w:val="22"/>
              </w:rPr>
              <w:t>本年处理决定数量</w:t>
            </w:r>
          </w:p>
        </w:tc>
      </w:tr>
      <w:tr w14:paraId="560B33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" w:hRule="atLeast"/>
        </w:trPr>
        <w:tc>
          <w:tcPr>
            <w:tcW w:w="3291" w:type="dxa"/>
            <w:vAlign w:val="top"/>
          </w:tcPr>
          <w:p w14:paraId="78A9E6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0" w:lineRule="atLeast"/>
              <w:ind w:left="0" w:leftChars="0" w:right="0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2"/>
                <w:szCs w:val="22"/>
              </w:rPr>
              <w:t>行政处罚</w:t>
            </w:r>
          </w:p>
        </w:tc>
        <w:tc>
          <w:tcPr>
            <w:tcW w:w="5509" w:type="dxa"/>
            <w:gridSpan w:val="3"/>
            <w:vAlign w:val="top"/>
          </w:tcPr>
          <w:p w14:paraId="1CD32A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0" w:lineRule="atLeas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  <w:lang w:val="en-US" w:eastAsia="zh-CN"/>
              </w:rPr>
              <w:t>107</w:t>
            </w:r>
          </w:p>
        </w:tc>
      </w:tr>
      <w:tr w14:paraId="19A7D8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3291" w:type="dxa"/>
            <w:vAlign w:val="top"/>
          </w:tcPr>
          <w:p w14:paraId="488EE8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0" w:lineRule="atLeast"/>
              <w:ind w:left="0" w:leftChars="0" w:right="0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pacing w:val="4"/>
                <w:sz w:val="22"/>
                <w:szCs w:val="22"/>
              </w:rPr>
              <w:t>行政强制</w:t>
            </w:r>
          </w:p>
        </w:tc>
        <w:tc>
          <w:tcPr>
            <w:tcW w:w="5509" w:type="dxa"/>
            <w:gridSpan w:val="3"/>
            <w:vAlign w:val="top"/>
          </w:tcPr>
          <w:p w14:paraId="45F229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0" w:lineRule="atLeas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  <w:lang w:val="en-US" w:eastAsia="zh-CN"/>
              </w:rPr>
              <w:t>5</w:t>
            </w:r>
          </w:p>
        </w:tc>
      </w:tr>
      <w:tr w14:paraId="58DCE5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8800" w:type="dxa"/>
            <w:gridSpan w:val="4"/>
            <w:shd w:val="clear" w:color="auto" w:fill="BDD1F9"/>
            <w:vAlign w:val="top"/>
          </w:tcPr>
          <w:p w14:paraId="218FED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0" w:lineRule="atLeast"/>
              <w:ind w:left="0" w:leftChars="0" w:right="0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pacing w:val="-4"/>
                <w:sz w:val="22"/>
                <w:szCs w:val="22"/>
              </w:rPr>
              <w:t>第二十条第(八)项</w:t>
            </w:r>
          </w:p>
        </w:tc>
      </w:tr>
      <w:tr w14:paraId="2BBB4D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291" w:type="dxa"/>
            <w:vAlign w:val="top"/>
          </w:tcPr>
          <w:p w14:paraId="79DAF4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0" w:lineRule="atLeast"/>
              <w:ind w:left="0" w:leftChars="0" w:right="0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2"/>
                <w:szCs w:val="22"/>
              </w:rPr>
              <w:t>信息内容</w:t>
            </w:r>
          </w:p>
        </w:tc>
        <w:tc>
          <w:tcPr>
            <w:tcW w:w="5509" w:type="dxa"/>
            <w:gridSpan w:val="3"/>
            <w:vAlign w:val="top"/>
          </w:tcPr>
          <w:p w14:paraId="12088C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0" w:lineRule="atLeast"/>
              <w:ind w:left="0" w:leftChars="0" w:right="0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</w:rPr>
              <w:t>本年收费金额(单位：万元)</w:t>
            </w:r>
          </w:p>
        </w:tc>
      </w:tr>
      <w:tr w14:paraId="30C52D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3291" w:type="dxa"/>
            <w:vAlign w:val="top"/>
          </w:tcPr>
          <w:p w14:paraId="590357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0" w:lineRule="atLeast"/>
              <w:ind w:left="0" w:leftChars="0" w:right="0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1"/>
                <w:sz w:val="22"/>
                <w:szCs w:val="22"/>
              </w:rPr>
              <w:t>行政事业性收费</w:t>
            </w:r>
          </w:p>
        </w:tc>
        <w:tc>
          <w:tcPr>
            <w:tcW w:w="5509" w:type="dxa"/>
            <w:gridSpan w:val="3"/>
            <w:vAlign w:val="top"/>
          </w:tcPr>
          <w:p w14:paraId="4C0EC6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0" w:lineRule="atLeas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  <w:lang w:val="en-US" w:eastAsia="zh-CN"/>
              </w:rPr>
              <w:t>1954.0571</w:t>
            </w:r>
          </w:p>
        </w:tc>
      </w:tr>
    </w:tbl>
    <w:p w14:paraId="3224264D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textAlignment w:val="auto"/>
        <w:rPr>
          <w:rFonts w:hint="eastAsia" w:ascii="Times New Roman" w:hAnsi="Times New Roman" w:eastAsia="黑体" w:cs="Times New Roman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Times New Roman" w:hAnsi="Times New Roman" w:eastAsia="黑体" w:cs="Times New Roman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三、</w:t>
      </w:r>
      <w:r>
        <w:rPr>
          <w:rFonts w:hint="default" w:ascii="Times New Roman" w:hAnsi="Times New Roman" w:eastAsia="黑体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收到和处理政府信息公开申请情况</w:t>
      </w:r>
    </w:p>
    <w:tbl>
      <w:tblPr>
        <w:tblStyle w:val="8"/>
        <w:tblpPr w:leftFromText="180" w:rightFromText="180" w:vertAnchor="text" w:horzAnchor="page" w:tblpX="1204" w:tblpY="-1435"/>
        <w:tblOverlap w:val="never"/>
        <w:tblW w:w="908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0"/>
        <w:gridCol w:w="968"/>
        <w:gridCol w:w="2697"/>
        <w:gridCol w:w="659"/>
        <w:gridCol w:w="649"/>
        <w:gridCol w:w="639"/>
        <w:gridCol w:w="650"/>
        <w:gridCol w:w="649"/>
        <w:gridCol w:w="659"/>
        <w:gridCol w:w="644"/>
      </w:tblGrid>
      <w:tr w14:paraId="243CE4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4535" w:type="dxa"/>
            <w:gridSpan w:val="3"/>
            <w:vMerge w:val="restart"/>
            <w:tcBorders>
              <w:bottom w:val="nil"/>
            </w:tcBorders>
            <w:vAlign w:val="top"/>
          </w:tcPr>
          <w:p w14:paraId="7571D8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0" w:lineRule="atLeast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</w:rPr>
            </w:pPr>
          </w:p>
          <w:p w14:paraId="7FD56E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0" w:lineRule="atLeast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cs="Times New Roman"/>
                <w:sz w:val="21"/>
              </w:rPr>
              <w:t>(本列数据的勾稽关系为：第一项加</w:t>
            </w:r>
          </w:p>
          <w:p w14:paraId="65BC05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0" w:lineRule="atLeast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cs="Times New Roman"/>
                <w:sz w:val="21"/>
              </w:rPr>
              <w:t>第二项之和，</w:t>
            </w:r>
          </w:p>
          <w:p w14:paraId="07DD29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0" w:lineRule="atLeast"/>
              <w:ind w:left="0" w:leftChars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</w:rPr>
              <w:t>等于第三项加第四项之和）</w:t>
            </w:r>
          </w:p>
        </w:tc>
        <w:tc>
          <w:tcPr>
            <w:tcW w:w="4549" w:type="dxa"/>
            <w:gridSpan w:val="7"/>
            <w:vAlign w:val="top"/>
          </w:tcPr>
          <w:p w14:paraId="7B3C4B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0" w:lineRule="atLeast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cs="Times New Roman"/>
                <w:sz w:val="21"/>
              </w:rPr>
              <w:t>申请人情况</w:t>
            </w:r>
          </w:p>
        </w:tc>
      </w:tr>
      <w:tr w14:paraId="4BE79D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4535" w:type="dxa"/>
            <w:gridSpan w:val="3"/>
            <w:vMerge w:val="continue"/>
            <w:tcBorders>
              <w:top w:val="nil"/>
              <w:bottom w:val="nil"/>
            </w:tcBorders>
            <w:vAlign w:val="top"/>
          </w:tcPr>
          <w:p w14:paraId="2AA1F3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0" w:lineRule="atLeast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659" w:type="dxa"/>
            <w:vMerge w:val="restart"/>
            <w:tcBorders>
              <w:bottom w:val="nil"/>
            </w:tcBorders>
            <w:vAlign w:val="top"/>
          </w:tcPr>
          <w:p w14:paraId="199828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0" w:lineRule="atLeast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cs="Times New Roman"/>
                <w:sz w:val="21"/>
              </w:rPr>
              <w:t>自</w:t>
            </w:r>
          </w:p>
          <w:p w14:paraId="536F86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0" w:lineRule="atLeast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cs="Times New Roman"/>
                <w:sz w:val="21"/>
              </w:rPr>
              <w:t>然</w:t>
            </w:r>
          </w:p>
          <w:p w14:paraId="1F1FF9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0" w:lineRule="atLeast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cs="Times New Roman"/>
                <w:sz w:val="21"/>
              </w:rPr>
              <w:t>人</w:t>
            </w:r>
          </w:p>
        </w:tc>
        <w:tc>
          <w:tcPr>
            <w:tcW w:w="3246" w:type="dxa"/>
            <w:gridSpan w:val="5"/>
            <w:vAlign w:val="top"/>
          </w:tcPr>
          <w:p w14:paraId="6B5B52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0" w:lineRule="atLeast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cs="Times New Roman"/>
                <w:sz w:val="21"/>
              </w:rPr>
              <w:t>法人或其他组织</w:t>
            </w:r>
          </w:p>
        </w:tc>
        <w:tc>
          <w:tcPr>
            <w:tcW w:w="644" w:type="dxa"/>
            <w:vMerge w:val="restart"/>
            <w:tcBorders>
              <w:bottom w:val="nil"/>
            </w:tcBorders>
            <w:vAlign w:val="top"/>
          </w:tcPr>
          <w:p w14:paraId="1C605F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0" w:lineRule="atLeast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</w:rPr>
            </w:pPr>
          </w:p>
          <w:p w14:paraId="2EEDB4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0" w:lineRule="atLeast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cs="Times New Roman"/>
                <w:sz w:val="21"/>
              </w:rPr>
              <w:t>总计</w:t>
            </w:r>
          </w:p>
        </w:tc>
      </w:tr>
      <w:tr w14:paraId="6FF222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535" w:type="dxa"/>
            <w:gridSpan w:val="3"/>
            <w:vMerge w:val="continue"/>
            <w:tcBorders>
              <w:top w:val="nil"/>
            </w:tcBorders>
            <w:vAlign w:val="top"/>
          </w:tcPr>
          <w:p w14:paraId="711FD6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0" w:lineRule="atLeast"/>
              <w:ind w:left="0" w:leftChars="0" w:right="0"/>
              <w:textAlignment w:val="auto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659" w:type="dxa"/>
            <w:vMerge w:val="continue"/>
            <w:tcBorders>
              <w:top w:val="nil"/>
            </w:tcBorders>
            <w:vAlign w:val="top"/>
          </w:tcPr>
          <w:p w14:paraId="02BA02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0" w:lineRule="atLeast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649" w:type="dxa"/>
            <w:vAlign w:val="top"/>
          </w:tcPr>
          <w:p w14:paraId="3A56C0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0" w:lineRule="atLeast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cs="Times New Roman"/>
                <w:sz w:val="21"/>
              </w:rPr>
              <w:t>商业 企业</w:t>
            </w:r>
          </w:p>
        </w:tc>
        <w:tc>
          <w:tcPr>
            <w:tcW w:w="639" w:type="dxa"/>
            <w:vAlign w:val="top"/>
          </w:tcPr>
          <w:p w14:paraId="730BB8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0" w:lineRule="atLeast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cs="Times New Roman"/>
                <w:sz w:val="21"/>
              </w:rPr>
              <w:t>科研 机构</w:t>
            </w:r>
          </w:p>
        </w:tc>
        <w:tc>
          <w:tcPr>
            <w:tcW w:w="650" w:type="dxa"/>
            <w:vAlign w:val="top"/>
          </w:tcPr>
          <w:p w14:paraId="27EE8B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0" w:lineRule="atLeast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cs="Times New Roman"/>
                <w:sz w:val="21"/>
              </w:rPr>
              <w:t>社会公 益组织</w:t>
            </w:r>
          </w:p>
        </w:tc>
        <w:tc>
          <w:tcPr>
            <w:tcW w:w="649" w:type="dxa"/>
            <w:vAlign w:val="top"/>
          </w:tcPr>
          <w:p w14:paraId="0302FE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0" w:lineRule="atLeast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cs="Times New Roman"/>
                <w:sz w:val="21"/>
              </w:rPr>
              <w:t>法律服 务机构</w:t>
            </w:r>
          </w:p>
        </w:tc>
        <w:tc>
          <w:tcPr>
            <w:tcW w:w="659" w:type="dxa"/>
            <w:vAlign w:val="top"/>
          </w:tcPr>
          <w:p w14:paraId="178CF2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0" w:lineRule="atLeast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cs="Times New Roman"/>
                <w:sz w:val="21"/>
              </w:rPr>
              <w:t>其他</w:t>
            </w:r>
          </w:p>
        </w:tc>
        <w:tc>
          <w:tcPr>
            <w:tcW w:w="644" w:type="dxa"/>
            <w:vMerge w:val="continue"/>
            <w:tcBorders>
              <w:top w:val="nil"/>
            </w:tcBorders>
            <w:vAlign w:val="top"/>
          </w:tcPr>
          <w:p w14:paraId="4B6C11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0" w:lineRule="atLeast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 w14:paraId="19448E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535" w:type="dxa"/>
            <w:gridSpan w:val="3"/>
            <w:vAlign w:val="top"/>
          </w:tcPr>
          <w:p w14:paraId="4AC1D2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0" w:lineRule="atLeast"/>
              <w:ind w:left="0" w:leftChars="0" w:right="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</w:rPr>
              <w:t>一、本年新收政府信息公开申请数量</w:t>
            </w:r>
          </w:p>
        </w:tc>
        <w:tc>
          <w:tcPr>
            <w:tcW w:w="659" w:type="dxa"/>
            <w:vAlign w:val="center"/>
          </w:tcPr>
          <w:p w14:paraId="776698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0" w:lineRule="atLeas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649" w:type="dxa"/>
            <w:vAlign w:val="center"/>
          </w:tcPr>
          <w:p w14:paraId="3D8592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0" w:lineRule="atLeas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39" w:type="dxa"/>
            <w:vAlign w:val="center"/>
          </w:tcPr>
          <w:p w14:paraId="18A15A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0" w:lineRule="atLeas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50" w:type="dxa"/>
            <w:vAlign w:val="center"/>
          </w:tcPr>
          <w:p w14:paraId="50267F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0" w:lineRule="atLeas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49" w:type="dxa"/>
            <w:vAlign w:val="center"/>
          </w:tcPr>
          <w:p w14:paraId="6EF6D9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0" w:lineRule="atLeas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59" w:type="dxa"/>
            <w:vAlign w:val="center"/>
          </w:tcPr>
          <w:p w14:paraId="36E9CF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0" w:lineRule="atLeas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44" w:type="dxa"/>
            <w:vAlign w:val="center"/>
          </w:tcPr>
          <w:p w14:paraId="475645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0" w:lineRule="atLeas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  <w:lang w:val="en-US" w:eastAsia="zh-CN"/>
              </w:rPr>
              <w:t>3</w:t>
            </w:r>
          </w:p>
        </w:tc>
      </w:tr>
      <w:tr w14:paraId="3F1462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4535" w:type="dxa"/>
            <w:gridSpan w:val="3"/>
            <w:vAlign w:val="top"/>
          </w:tcPr>
          <w:p w14:paraId="7F05E7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0" w:lineRule="atLeast"/>
              <w:ind w:left="0" w:leftChars="0" w:right="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</w:rPr>
              <w:t>二、上年结转政府信息公开申请数量</w:t>
            </w:r>
          </w:p>
        </w:tc>
        <w:tc>
          <w:tcPr>
            <w:tcW w:w="659" w:type="dxa"/>
            <w:vAlign w:val="center"/>
          </w:tcPr>
          <w:p w14:paraId="46999F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0" w:lineRule="atLeas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49" w:type="dxa"/>
            <w:vAlign w:val="center"/>
          </w:tcPr>
          <w:p w14:paraId="75ABB9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0" w:lineRule="atLeas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39" w:type="dxa"/>
            <w:vAlign w:val="center"/>
          </w:tcPr>
          <w:p w14:paraId="04D0B6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0" w:lineRule="atLeas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50" w:type="dxa"/>
            <w:vAlign w:val="center"/>
          </w:tcPr>
          <w:p w14:paraId="5F182C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0" w:lineRule="atLeas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49" w:type="dxa"/>
            <w:vAlign w:val="center"/>
          </w:tcPr>
          <w:p w14:paraId="185E4E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0" w:lineRule="atLeas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59" w:type="dxa"/>
            <w:vAlign w:val="center"/>
          </w:tcPr>
          <w:p w14:paraId="0585E8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0" w:lineRule="atLeas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44" w:type="dxa"/>
            <w:vAlign w:val="center"/>
          </w:tcPr>
          <w:p w14:paraId="1B6A1C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0" w:lineRule="atLeas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  <w:t>0</w:t>
            </w:r>
          </w:p>
        </w:tc>
      </w:tr>
      <w:tr w14:paraId="472405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870" w:type="dxa"/>
            <w:vMerge w:val="restart"/>
            <w:tcBorders>
              <w:bottom w:val="nil"/>
            </w:tcBorders>
            <w:vAlign w:val="top"/>
          </w:tcPr>
          <w:p w14:paraId="3815D5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0" w:lineRule="atLeast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</w:rPr>
            </w:pPr>
          </w:p>
          <w:p w14:paraId="0E01F6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0" w:lineRule="atLeast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</w:rPr>
            </w:pPr>
          </w:p>
          <w:p w14:paraId="31B4BB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0" w:lineRule="atLeast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</w:rPr>
            </w:pPr>
          </w:p>
          <w:p w14:paraId="37BB44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0" w:lineRule="atLeast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</w:rPr>
            </w:pPr>
          </w:p>
          <w:p w14:paraId="41B938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0" w:lineRule="atLeast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</w:rPr>
            </w:pPr>
          </w:p>
          <w:p w14:paraId="384CBE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0" w:lineRule="atLeast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</w:rPr>
            </w:pPr>
          </w:p>
          <w:p w14:paraId="0F0DF5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0" w:lineRule="atLeast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</w:rPr>
            </w:pPr>
          </w:p>
          <w:p w14:paraId="085B65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0" w:lineRule="atLeast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</w:rPr>
            </w:pPr>
          </w:p>
          <w:p w14:paraId="6849DB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0" w:lineRule="atLeast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</w:rPr>
            </w:pPr>
          </w:p>
          <w:p w14:paraId="1A7780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0" w:lineRule="atLeast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</w:rPr>
            </w:pPr>
          </w:p>
          <w:p w14:paraId="37B5C6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0" w:lineRule="atLeast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</w:rPr>
            </w:pPr>
          </w:p>
          <w:p w14:paraId="6CA3D5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0" w:lineRule="atLeast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</w:rPr>
            </w:pPr>
          </w:p>
          <w:p w14:paraId="402D4A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0" w:lineRule="atLeast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cs="Times New Roman"/>
                <w:sz w:val="21"/>
              </w:rPr>
              <w:t>三</w:t>
            </w:r>
          </w:p>
          <w:p w14:paraId="6FC444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0" w:lineRule="atLeast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cs="Times New Roman"/>
                <w:sz w:val="21"/>
              </w:rPr>
              <w:t>、</w:t>
            </w:r>
          </w:p>
          <w:p w14:paraId="28F1B3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0" w:lineRule="atLeast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cs="Times New Roman"/>
                <w:sz w:val="21"/>
              </w:rPr>
              <w:t>本</w:t>
            </w:r>
          </w:p>
          <w:p w14:paraId="6D2CEA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0" w:lineRule="atLeast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cs="Times New Roman"/>
                <w:sz w:val="21"/>
              </w:rPr>
              <w:t xml:space="preserve">年 </w:t>
            </w:r>
          </w:p>
          <w:p w14:paraId="595FA2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0" w:lineRule="atLeast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cs="Times New Roman"/>
                <w:sz w:val="21"/>
              </w:rPr>
              <w:t>度</w:t>
            </w:r>
          </w:p>
          <w:p w14:paraId="49D18C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0" w:lineRule="atLeast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cs="Times New Roman"/>
                <w:sz w:val="21"/>
              </w:rPr>
              <w:t>办</w:t>
            </w:r>
          </w:p>
          <w:p w14:paraId="16962D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0" w:lineRule="atLeast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cs="Times New Roman"/>
                <w:sz w:val="21"/>
              </w:rPr>
              <w:t>理</w:t>
            </w:r>
          </w:p>
          <w:p w14:paraId="367D3F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0" w:lineRule="atLeast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cs="Times New Roman"/>
                <w:sz w:val="21"/>
              </w:rPr>
              <w:t>结</w:t>
            </w:r>
          </w:p>
          <w:p w14:paraId="1C0314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0" w:lineRule="atLeast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cs="Times New Roman"/>
                <w:sz w:val="21"/>
              </w:rPr>
              <w:t>果</w:t>
            </w:r>
          </w:p>
        </w:tc>
        <w:tc>
          <w:tcPr>
            <w:tcW w:w="3665" w:type="dxa"/>
            <w:gridSpan w:val="2"/>
            <w:vAlign w:val="top"/>
          </w:tcPr>
          <w:p w14:paraId="1038A5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0" w:lineRule="atLeast"/>
              <w:ind w:left="0" w:leftChars="0" w:right="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</w:rPr>
              <w:t>(一)予以公开</w:t>
            </w:r>
          </w:p>
        </w:tc>
        <w:tc>
          <w:tcPr>
            <w:tcW w:w="659" w:type="dxa"/>
            <w:vAlign w:val="center"/>
          </w:tcPr>
          <w:p w14:paraId="396CBE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0" w:lineRule="atLeas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lang w:val="en-US" w:eastAsia="zh-CN" w:bidi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649" w:type="dxa"/>
            <w:vAlign w:val="center"/>
          </w:tcPr>
          <w:p w14:paraId="48B673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0" w:lineRule="atLeas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lang w:val="en-US" w:eastAsia="zh-CN" w:bidi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39" w:type="dxa"/>
            <w:vAlign w:val="center"/>
          </w:tcPr>
          <w:p w14:paraId="0C970F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0" w:lineRule="atLeas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lang w:val="en-US" w:eastAsia="zh-CN" w:bidi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50" w:type="dxa"/>
            <w:vAlign w:val="center"/>
          </w:tcPr>
          <w:p w14:paraId="2D6779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0" w:lineRule="atLeas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lang w:val="en-US" w:eastAsia="zh-CN" w:bidi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49" w:type="dxa"/>
            <w:vAlign w:val="center"/>
          </w:tcPr>
          <w:p w14:paraId="4B7A5B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0" w:lineRule="atLeas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lang w:val="en-US" w:eastAsia="zh-CN" w:bidi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59" w:type="dxa"/>
            <w:vAlign w:val="center"/>
          </w:tcPr>
          <w:p w14:paraId="1A981D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0" w:lineRule="atLeas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lang w:val="en-US" w:eastAsia="zh-CN" w:bidi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44" w:type="dxa"/>
            <w:vAlign w:val="center"/>
          </w:tcPr>
          <w:p w14:paraId="34B11C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0" w:lineRule="atLeas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lang w:val="en-US" w:eastAsia="zh-CN" w:bidi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32"/>
                <w:szCs w:val="32"/>
                <w:lang w:val="en-US" w:eastAsia="zh-CN"/>
              </w:rPr>
              <w:t>1</w:t>
            </w:r>
          </w:p>
        </w:tc>
      </w:tr>
      <w:tr w14:paraId="653F5A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870" w:type="dxa"/>
            <w:vMerge w:val="continue"/>
            <w:tcBorders>
              <w:top w:val="nil"/>
              <w:bottom w:val="nil"/>
            </w:tcBorders>
            <w:vAlign w:val="top"/>
          </w:tcPr>
          <w:p w14:paraId="0CE76C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0" w:lineRule="atLeast"/>
              <w:ind w:left="0" w:leftChars="0" w:right="0"/>
              <w:textAlignment w:val="auto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3665" w:type="dxa"/>
            <w:gridSpan w:val="2"/>
            <w:vAlign w:val="top"/>
          </w:tcPr>
          <w:p w14:paraId="1D7153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0" w:lineRule="atLeast"/>
              <w:ind w:left="0" w:leftChars="0" w:right="0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(</w:t>
            </w:r>
            <w:r>
              <w:rPr>
                <w:rFonts w:hint="default" w:ascii="Times New Roman" w:hAnsi="Times New Roman" w:cs="Times New Roman"/>
                <w:color w:val="auto"/>
                <w:sz w:val="21"/>
              </w:rPr>
              <w:t>二)部分公开(区分处理的，只计这一情形，不计其他情形)</w:t>
            </w:r>
          </w:p>
        </w:tc>
        <w:tc>
          <w:tcPr>
            <w:tcW w:w="659" w:type="dxa"/>
            <w:vAlign w:val="center"/>
          </w:tcPr>
          <w:p w14:paraId="52D6D6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0" w:lineRule="atLeas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lang w:val="en-US" w:eastAsia="zh-CN" w:bidi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649" w:type="dxa"/>
            <w:vAlign w:val="center"/>
          </w:tcPr>
          <w:p w14:paraId="0E0411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0" w:lineRule="atLeas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lang w:val="en-US" w:eastAsia="zh-CN" w:bidi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39" w:type="dxa"/>
            <w:vAlign w:val="center"/>
          </w:tcPr>
          <w:p w14:paraId="358B75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0" w:lineRule="atLeas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lang w:val="en-US" w:eastAsia="zh-CN" w:bidi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50" w:type="dxa"/>
            <w:vAlign w:val="center"/>
          </w:tcPr>
          <w:p w14:paraId="5852BC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0" w:lineRule="atLeas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lang w:val="en-US" w:eastAsia="zh-CN" w:bidi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49" w:type="dxa"/>
            <w:vAlign w:val="center"/>
          </w:tcPr>
          <w:p w14:paraId="3DCEE6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0" w:lineRule="atLeas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lang w:val="en-US" w:eastAsia="zh-CN" w:bidi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59" w:type="dxa"/>
            <w:vAlign w:val="center"/>
          </w:tcPr>
          <w:p w14:paraId="76A86F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0" w:lineRule="atLeas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lang w:val="en-US" w:eastAsia="zh-CN" w:bidi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44" w:type="dxa"/>
            <w:vAlign w:val="center"/>
          </w:tcPr>
          <w:p w14:paraId="3E46D9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0" w:lineRule="atLeas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lang w:val="en-US" w:eastAsia="zh-CN" w:bidi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32"/>
                <w:szCs w:val="32"/>
                <w:lang w:val="en-US" w:eastAsia="zh-CN"/>
              </w:rPr>
              <w:t>2</w:t>
            </w:r>
          </w:p>
        </w:tc>
      </w:tr>
      <w:tr w14:paraId="736DC1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870" w:type="dxa"/>
            <w:vMerge w:val="continue"/>
            <w:tcBorders>
              <w:top w:val="nil"/>
              <w:bottom w:val="nil"/>
            </w:tcBorders>
            <w:vAlign w:val="top"/>
          </w:tcPr>
          <w:p w14:paraId="418A58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0" w:lineRule="atLeast"/>
              <w:ind w:left="0" w:leftChars="0" w:right="0"/>
              <w:textAlignment w:val="auto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968" w:type="dxa"/>
            <w:vMerge w:val="restart"/>
            <w:tcBorders>
              <w:bottom w:val="nil"/>
            </w:tcBorders>
            <w:vAlign w:val="top"/>
          </w:tcPr>
          <w:p w14:paraId="7BAEBB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0" w:lineRule="atLeast"/>
              <w:ind w:left="0" w:leftChars="0" w:right="0"/>
              <w:jc w:val="left"/>
              <w:textAlignment w:val="auto"/>
              <w:rPr>
                <w:rFonts w:hint="default" w:ascii="Times New Roman" w:hAnsi="Times New Roman" w:cs="Times New Roman"/>
                <w:sz w:val="21"/>
              </w:rPr>
            </w:pPr>
          </w:p>
          <w:p w14:paraId="35909D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0" w:lineRule="atLeast"/>
              <w:ind w:left="0" w:leftChars="0" w:right="0"/>
              <w:jc w:val="left"/>
              <w:textAlignment w:val="auto"/>
              <w:rPr>
                <w:rFonts w:hint="default" w:ascii="Times New Roman" w:hAnsi="Times New Roman" w:cs="Times New Roman"/>
                <w:sz w:val="21"/>
              </w:rPr>
            </w:pPr>
          </w:p>
          <w:p w14:paraId="78322E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0" w:lineRule="atLeast"/>
              <w:ind w:left="0" w:leftChars="0" w:right="0"/>
              <w:jc w:val="left"/>
              <w:textAlignment w:val="auto"/>
              <w:rPr>
                <w:rFonts w:hint="default" w:ascii="Times New Roman" w:hAnsi="Times New Roman" w:cs="Times New Roman"/>
                <w:sz w:val="21"/>
              </w:rPr>
            </w:pPr>
          </w:p>
          <w:p w14:paraId="143E8E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0" w:lineRule="atLeast"/>
              <w:ind w:left="0" w:leftChars="0" w:right="0"/>
              <w:jc w:val="left"/>
              <w:textAlignment w:val="auto"/>
              <w:rPr>
                <w:rFonts w:hint="default" w:ascii="Times New Roman" w:hAnsi="Times New Roman" w:cs="Times New Roman"/>
                <w:sz w:val="21"/>
              </w:rPr>
            </w:pPr>
          </w:p>
          <w:p w14:paraId="2867B1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0" w:lineRule="atLeast"/>
              <w:ind w:left="0" w:leftChars="0" w:right="0"/>
              <w:jc w:val="left"/>
              <w:textAlignment w:val="auto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cs="Times New Roman"/>
                <w:sz w:val="21"/>
              </w:rPr>
              <w:t>(三)不予公开</w:t>
            </w:r>
          </w:p>
        </w:tc>
        <w:tc>
          <w:tcPr>
            <w:tcW w:w="2697" w:type="dxa"/>
            <w:vAlign w:val="top"/>
          </w:tcPr>
          <w:p w14:paraId="300EAD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0" w:lineRule="atLeast"/>
              <w:ind w:left="0" w:leftChars="0" w:right="0"/>
              <w:jc w:val="left"/>
              <w:textAlignment w:val="auto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cs="Times New Roman"/>
                <w:sz w:val="21"/>
              </w:rPr>
              <w:t>1.属于国家秘密</w:t>
            </w:r>
          </w:p>
        </w:tc>
        <w:tc>
          <w:tcPr>
            <w:tcW w:w="659" w:type="dxa"/>
            <w:vAlign w:val="center"/>
          </w:tcPr>
          <w:p w14:paraId="6AE456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0" w:lineRule="atLeas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 w:bidi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49" w:type="dxa"/>
            <w:vAlign w:val="center"/>
          </w:tcPr>
          <w:p w14:paraId="78ABAD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0" w:lineRule="atLeas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 w:bidi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39" w:type="dxa"/>
            <w:vAlign w:val="center"/>
          </w:tcPr>
          <w:p w14:paraId="3E9FFD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0" w:lineRule="atLeas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 w:bidi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50" w:type="dxa"/>
            <w:vAlign w:val="center"/>
          </w:tcPr>
          <w:p w14:paraId="4BD9E9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0" w:lineRule="atLeas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 w:bidi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49" w:type="dxa"/>
            <w:vAlign w:val="center"/>
          </w:tcPr>
          <w:p w14:paraId="74DAC8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0" w:lineRule="atLeas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 w:bidi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59" w:type="dxa"/>
            <w:vAlign w:val="center"/>
          </w:tcPr>
          <w:p w14:paraId="1B1639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0" w:lineRule="atLeas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 w:bidi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44" w:type="dxa"/>
            <w:vAlign w:val="center"/>
          </w:tcPr>
          <w:p w14:paraId="1E2720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0" w:lineRule="atLeas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 w:bidi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  <w:t>0</w:t>
            </w:r>
          </w:p>
        </w:tc>
      </w:tr>
      <w:tr w14:paraId="63BCA0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870" w:type="dxa"/>
            <w:vMerge w:val="continue"/>
            <w:tcBorders>
              <w:top w:val="nil"/>
              <w:bottom w:val="nil"/>
            </w:tcBorders>
            <w:vAlign w:val="top"/>
          </w:tcPr>
          <w:p w14:paraId="406990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0" w:lineRule="atLeast"/>
              <w:ind w:left="0" w:leftChars="0" w:right="0"/>
              <w:textAlignment w:val="auto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968" w:type="dxa"/>
            <w:vMerge w:val="continue"/>
            <w:tcBorders>
              <w:top w:val="nil"/>
              <w:bottom w:val="nil"/>
            </w:tcBorders>
            <w:vAlign w:val="top"/>
          </w:tcPr>
          <w:p w14:paraId="1DCA7F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0" w:lineRule="atLeast"/>
              <w:ind w:left="0" w:leftChars="0" w:right="0"/>
              <w:jc w:val="left"/>
              <w:textAlignment w:val="auto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697" w:type="dxa"/>
            <w:vAlign w:val="top"/>
          </w:tcPr>
          <w:p w14:paraId="4F643A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0" w:lineRule="atLeast"/>
              <w:ind w:left="0" w:leftChars="0" w:right="0"/>
              <w:jc w:val="left"/>
              <w:textAlignment w:val="auto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cs="Times New Roman"/>
                <w:sz w:val="21"/>
              </w:rPr>
              <w:t>2.其他法律行政法规禁止 公开</w:t>
            </w:r>
          </w:p>
        </w:tc>
        <w:tc>
          <w:tcPr>
            <w:tcW w:w="659" w:type="dxa"/>
            <w:vAlign w:val="center"/>
          </w:tcPr>
          <w:p w14:paraId="182BF8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0" w:lineRule="atLeas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 w:bidi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49" w:type="dxa"/>
            <w:vAlign w:val="center"/>
          </w:tcPr>
          <w:p w14:paraId="6D7795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0" w:lineRule="atLeas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 w:bidi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39" w:type="dxa"/>
            <w:vAlign w:val="center"/>
          </w:tcPr>
          <w:p w14:paraId="790615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0" w:lineRule="atLeas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 w:bidi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50" w:type="dxa"/>
            <w:vAlign w:val="center"/>
          </w:tcPr>
          <w:p w14:paraId="258680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0" w:lineRule="atLeas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 w:bidi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49" w:type="dxa"/>
            <w:vAlign w:val="center"/>
          </w:tcPr>
          <w:p w14:paraId="24F804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0" w:lineRule="atLeas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 w:bidi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59" w:type="dxa"/>
            <w:vAlign w:val="center"/>
          </w:tcPr>
          <w:p w14:paraId="45F57B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0" w:lineRule="atLeas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 w:bidi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44" w:type="dxa"/>
            <w:vAlign w:val="center"/>
          </w:tcPr>
          <w:p w14:paraId="74D65B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0" w:lineRule="atLeas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 w:bidi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  <w:t>0</w:t>
            </w:r>
          </w:p>
        </w:tc>
      </w:tr>
      <w:tr w14:paraId="6A8AF4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870" w:type="dxa"/>
            <w:vMerge w:val="continue"/>
            <w:tcBorders>
              <w:top w:val="nil"/>
              <w:bottom w:val="nil"/>
            </w:tcBorders>
            <w:vAlign w:val="top"/>
          </w:tcPr>
          <w:p w14:paraId="723BC9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0" w:lineRule="atLeast"/>
              <w:ind w:left="0" w:leftChars="0" w:right="0"/>
              <w:textAlignment w:val="auto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968" w:type="dxa"/>
            <w:vMerge w:val="continue"/>
            <w:tcBorders>
              <w:top w:val="nil"/>
              <w:bottom w:val="nil"/>
            </w:tcBorders>
            <w:vAlign w:val="top"/>
          </w:tcPr>
          <w:p w14:paraId="239A7B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0" w:lineRule="atLeast"/>
              <w:ind w:left="0" w:leftChars="0" w:right="0"/>
              <w:jc w:val="left"/>
              <w:textAlignment w:val="auto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697" w:type="dxa"/>
            <w:vAlign w:val="top"/>
          </w:tcPr>
          <w:p w14:paraId="458124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0" w:lineRule="atLeast"/>
              <w:ind w:left="0" w:leftChars="0" w:right="0"/>
              <w:jc w:val="left"/>
              <w:textAlignment w:val="auto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cs="Times New Roman"/>
                <w:sz w:val="21"/>
              </w:rPr>
              <w:t>3.危及“三安全一稳定”</w:t>
            </w:r>
          </w:p>
        </w:tc>
        <w:tc>
          <w:tcPr>
            <w:tcW w:w="659" w:type="dxa"/>
            <w:vAlign w:val="center"/>
          </w:tcPr>
          <w:p w14:paraId="0B98DC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0" w:lineRule="atLeas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 w:bidi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49" w:type="dxa"/>
            <w:vAlign w:val="center"/>
          </w:tcPr>
          <w:p w14:paraId="7DF6B0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0" w:lineRule="atLeas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 w:bidi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39" w:type="dxa"/>
            <w:vAlign w:val="center"/>
          </w:tcPr>
          <w:p w14:paraId="2793AF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0" w:lineRule="atLeas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 w:bidi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50" w:type="dxa"/>
            <w:vAlign w:val="center"/>
          </w:tcPr>
          <w:p w14:paraId="7B9E5E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0" w:lineRule="atLeas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 w:bidi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49" w:type="dxa"/>
            <w:vAlign w:val="center"/>
          </w:tcPr>
          <w:p w14:paraId="7D232A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0" w:lineRule="atLeas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 w:bidi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59" w:type="dxa"/>
            <w:vAlign w:val="center"/>
          </w:tcPr>
          <w:p w14:paraId="4E3635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0" w:lineRule="atLeas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 w:bidi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44" w:type="dxa"/>
            <w:vAlign w:val="center"/>
          </w:tcPr>
          <w:p w14:paraId="0A9755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0" w:lineRule="atLeas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 w:bidi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  <w:t>0</w:t>
            </w:r>
          </w:p>
        </w:tc>
      </w:tr>
      <w:tr w14:paraId="3258BB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70" w:type="dxa"/>
            <w:vMerge w:val="continue"/>
            <w:tcBorders>
              <w:top w:val="nil"/>
              <w:bottom w:val="nil"/>
            </w:tcBorders>
            <w:vAlign w:val="top"/>
          </w:tcPr>
          <w:p w14:paraId="031C8A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0" w:lineRule="atLeast"/>
              <w:ind w:left="0" w:leftChars="0" w:right="0"/>
              <w:textAlignment w:val="auto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968" w:type="dxa"/>
            <w:vMerge w:val="continue"/>
            <w:tcBorders>
              <w:top w:val="nil"/>
              <w:bottom w:val="nil"/>
            </w:tcBorders>
            <w:vAlign w:val="top"/>
          </w:tcPr>
          <w:p w14:paraId="54AE6C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0" w:lineRule="atLeast"/>
              <w:ind w:left="0" w:leftChars="0" w:right="0"/>
              <w:jc w:val="left"/>
              <w:textAlignment w:val="auto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697" w:type="dxa"/>
            <w:vAlign w:val="top"/>
          </w:tcPr>
          <w:p w14:paraId="4C7080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0" w:lineRule="atLeast"/>
              <w:ind w:left="0" w:leftChars="0" w:right="0"/>
              <w:jc w:val="left"/>
              <w:textAlignment w:val="auto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cs="Times New Roman"/>
                <w:sz w:val="21"/>
              </w:rPr>
              <w:t>4.保护第三方合法权益</w:t>
            </w:r>
          </w:p>
        </w:tc>
        <w:tc>
          <w:tcPr>
            <w:tcW w:w="659" w:type="dxa"/>
            <w:vAlign w:val="center"/>
          </w:tcPr>
          <w:p w14:paraId="12E148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0" w:lineRule="atLeas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 w:bidi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49" w:type="dxa"/>
            <w:vAlign w:val="center"/>
          </w:tcPr>
          <w:p w14:paraId="7F84BD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0" w:lineRule="atLeas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 w:bidi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39" w:type="dxa"/>
            <w:vAlign w:val="center"/>
          </w:tcPr>
          <w:p w14:paraId="70BE39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0" w:lineRule="atLeas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 w:bidi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50" w:type="dxa"/>
            <w:vAlign w:val="center"/>
          </w:tcPr>
          <w:p w14:paraId="183A41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0" w:lineRule="atLeas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 w:bidi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49" w:type="dxa"/>
            <w:vAlign w:val="center"/>
          </w:tcPr>
          <w:p w14:paraId="221330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0" w:lineRule="atLeas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 w:bidi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59" w:type="dxa"/>
            <w:vAlign w:val="center"/>
          </w:tcPr>
          <w:p w14:paraId="55CC4B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0" w:lineRule="atLeas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 w:bidi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44" w:type="dxa"/>
            <w:vAlign w:val="center"/>
          </w:tcPr>
          <w:p w14:paraId="186E34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0" w:lineRule="atLeas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 w:bidi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  <w:t>0</w:t>
            </w:r>
          </w:p>
        </w:tc>
      </w:tr>
      <w:tr w14:paraId="24BF17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870" w:type="dxa"/>
            <w:vMerge w:val="continue"/>
            <w:tcBorders>
              <w:top w:val="nil"/>
              <w:bottom w:val="nil"/>
            </w:tcBorders>
            <w:vAlign w:val="top"/>
          </w:tcPr>
          <w:p w14:paraId="683DE9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0" w:lineRule="atLeast"/>
              <w:ind w:left="0" w:leftChars="0" w:right="0"/>
              <w:textAlignment w:val="auto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968" w:type="dxa"/>
            <w:vMerge w:val="continue"/>
            <w:tcBorders>
              <w:top w:val="nil"/>
              <w:bottom w:val="nil"/>
            </w:tcBorders>
            <w:vAlign w:val="top"/>
          </w:tcPr>
          <w:p w14:paraId="6A5D5F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0" w:lineRule="atLeast"/>
              <w:ind w:left="0" w:leftChars="0" w:right="0"/>
              <w:jc w:val="left"/>
              <w:textAlignment w:val="auto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697" w:type="dxa"/>
            <w:vAlign w:val="top"/>
          </w:tcPr>
          <w:p w14:paraId="3D5A37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0" w:lineRule="atLeast"/>
              <w:ind w:left="0" w:leftChars="0" w:right="0"/>
              <w:jc w:val="left"/>
              <w:textAlignment w:val="auto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cs="Times New Roman"/>
                <w:sz w:val="21"/>
              </w:rPr>
              <w:t>5.属于三类内部事务信息</w:t>
            </w:r>
          </w:p>
        </w:tc>
        <w:tc>
          <w:tcPr>
            <w:tcW w:w="659" w:type="dxa"/>
            <w:vAlign w:val="center"/>
          </w:tcPr>
          <w:p w14:paraId="437CB4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0" w:lineRule="atLeas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 w:bidi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49" w:type="dxa"/>
            <w:vAlign w:val="center"/>
          </w:tcPr>
          <w:p w14:paraId="54F8C4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0" w:lineRule="atLeas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 w:bidi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39" w:type="dxa"/>
            <w:vAlign w:val="center"/>
          </w:tcPr>
          <w:p w14:paraId="269B57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0" w:lineRule="atLeas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 w:bidi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50" w:type="dxa"/>
            <w:vAlign w:val="center"/>
          </w:tcPr>
          <w:p w14:paraId="42CC93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0" w:lineRule="atLeas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 w:bidi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49" w:type="dxa"/>
            <w:vAlign w:val="center"/>
          </w:tcPr>
          <w:p w14:paraId="6351A9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0" w:lineRule="atLeas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 w:bidi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59" w:type="dxa"/>
            <w:vAlign w:val="center"/>
          </w:tcPr>
          <w:p w14:paraId="509F01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0" w:lineRule="atLeas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 w:bidi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44" w:type="dxa"/>
            <w:vAlign w:val="center"/>
          </w:tcPr>
          <w:p w14:paraId="1B2442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0" w:lineRule="atLeas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 w:bidi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  <w:t>0</w:t>
            </w:r>
          </w:p>
        </w:tc>
      </w:tr>
      <w:tr w14:paraId="087B96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870" w:type="dxa"/>
            <w:vMerge w:val="continue"/>
            <w:tcBorders>
              <w:top w:val="nil"/>
              <w:bottom w:val="nil"/>
            </w:tcBorders>
            <w:vAlign w:val="top"/>
          </w:tcPr>
          <w:p w14:paraId="6D23AE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0" w:lineRule="atLeast"/>
              <w:ind w:left="0" w:leftChars="0" w:right="0"/>
              <w:textAlignment w:val="auto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968" w:type="dxa"/>
            <w:vMerge w:val="continue"/>
            <w:tcBorders>
              <w:top w:val="nil"/>
              <w:bottom w:val="nil"/>
            </w:tcBorders>
            <w:vAlign w:val="top"/>
          </w:tcPr>
          <w:p w14:paraId="08F935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0" w:lineRule="atLeast"/>
              <w:ind w:left="0" w:leftChars="0" w:right="0"/>
              <w:jc w:val="left"/>
              <w:textAlignment w:val="auto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697" w:type="dxa"/>
            <w:vAlign w:val="top"/>
          </w:tcPr>
          <w:p w14:paraId="5F4710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0" w:lineRule="atLeast"/>
              <w:ind w:left="0" w:leftChars="0" w:right="0"/>
              <w:jc w:val="left"/>
              <w:textAlignment w:val="auto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cs="Times New Roman"/>
                <w:sz w:val="21"/>
              </w:rPr>
              <w:t>6.属于四类过程性信息</w:t>
            </w:r>
          </w:p>
        </w:tc>
        <w:tc>
          <w:tcPr>
            <w:tcW w:w="659" w:type="dxa"/>
            <w:vAlign w:val="center"/>
          </w:tcPr>
          <w:p w14:paraId="104CB2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0" w:lineRule="atLeas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 w:bidi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49" w:type="dxa"/>
            <w:vAlign w:val="center"/>
          </w:tcPr>
          <w:p w14:paraId="4B0D21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0" w:lineRule="atLeas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 w:bidi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39" w:type="dxa"/>
            <w:vAlign w:val="center"/>
          </w:tcPr>
          <w:p w14:paraId="3912DF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0" w:lineRule="atLeas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 w:bidi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50" w:type="dxa"/>
            <w:vAlign w:val="center"/>
          </w:tcPr>
          <w:p w14:paraId="659230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0" w:lineRule="atLeas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 w:bidi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49" w:type="dxa"/>
            <w:vAlign w:val="center"/>
          </w:tcPr>
          <w:p w14:paraId="55253B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0" w:lineRule="atLeas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 w:bidi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59" w:type="dxa"/>
            <w:vAlign w:val="center"/>
          </w:tcPr>
          <w:p w14:paraId="240F79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0" w:lineRule="atLeas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 w:bidi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44" w:type="dxa"/>
            <w:vAlign w:val="center"/>
          </w:tcPr>
          <w:p w14:paraId="1EC9B7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0" w:lineRule="atLeas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 w:bidi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  <w:t>0</w:t>
            </w:r>
          </w:p>
        </w:tc>
      </w:tr>
      <w:tr w14:paraId="3386B8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870" w:type="dxa"/>
            <w:vMerge w:val="continue"/>
            <w:tcBorders>
              <w:top w:val="nil"/>
              <w:bottom w:val="nil"/>
            </w:tcBorders>
            <w:vAlign w:val="top"/>
          </w:tcPr>
          <w:p w14:paraId="44FE2F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0" w:lineRule="atLeast"/>
              <w:ind w:left="0" w:leftChars="0" w:right="0"/>
              <w:textAlignment w:val="auto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968" w:type="dxa"/>
            <w:vMerge w:val="continue"/>
            <w:tcBorders>
              <w:top w:val="nil"/>
              <w:bottom w:val="nil"/>
            </w:tcBorders>
            <w:vAlign w:val="top"/>
          </w:tcPr>
          <w:p w14:paraId="0E5926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0" w:lineRule="atLeast"/>
              <w:ind w:left="0" w:leftChars="0" w:right="0"/>
              <w:jc w:val="left"/>
              <w:textAlignment w:val="auto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697" w:type="dxa"/>
            <w:vAlign w:val="top"/>
          </w:tcPr>
          <w:p w14:paraId="4A5E5C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0" w:lineRule="atLeast"/>
              <w:ind w:left="0" w:leftChars="0" w:right="0"/>
              <w:jc w:val="left"/>
              <w:textAlignment w:val="auto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cs="Times New Roman"/>
                <w:sz w:val="21"/>
              </w:rPr>
              <w:t>7.属于行政执法案卷</w:t>
            </w:r>
          </w:p>
        </w:tc>
        <w:tc>
          <w:tcPr>
            <w:tcW w:w="659" w:type="dxa"/>
            <w:vAlign w:val="center"/>
          </w:tcPr>
          <w:p w14:paraId="5AFF14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0" w:lineRule="atLeas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 w:bidi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49" w:type="dxa"/>
            <w:vAlign w:val="center"/>
          </w:tcPr>
          <w:p w14:paraId="5E5997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0" w:lineRule="atLeas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 w:bidi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39" w:type="dxa"/>
            <w:vAlign w:val="center"/>
          </w:tcPr>
          <w:p w14:paraId="7C7943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0" w:lineRule="atLeas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 w:bidi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50" w:type="dxa"/>
            <w:vAlign w:val="center"/>
          </w:tcPr>
          <w:p w14:paraId="540006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0" w:lineRule="atLeas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 w:bidi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49" w:type="dxa"/>
            <w:vAlign w:val="center"/>
          </w:tcPr>
          <w:p w14:paraId="0324C0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0" w:lineRule="atLeas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 w:bidi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59" w:type="dxa"/>
            <w:vAlign w:val="center"/>
          </w:tcPr>
          <w:p w14:paraId="7AE0B1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0" w:lineRule="atLeas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 w:bidi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44" w:type="dxa"/>
            <w:vAlign w:val="center"/>
          </w:tcPr>
          <w:p w14:paraId="242776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0" w:lineRule="atLeas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 w:bidi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  <w:t>0</w:t>
            </w:r>
          </w:p>
        </w:tc>
      </w:tr>
      <w:tr w14:paraId="5F6565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870" w:type="dxa"/>
            <w:vMerge w:val="continue"/>
            <w:tcBorders>
              <w:top w:val="nil"/>
              <w:bottom w:val="nil"/>
            </w:tcBorders>
            <w:vAlign w:val="top"/>
          </w:tcPr>
          <w:p w14:paraId="07E6EB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0" w:lineRule="atLeast"/>
              <w:ind w:left="0" w:leftChars="0" w:right="0"/>
              <w:textAlignment w:val="auto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968" w:type="dxa"/>
            <w:vMerge w:val="continue"/>
            <w:tcBorders>
              <w:top w:val="nil"/>
            </w:tcBorders>
            <w:vAlign w:val="top"/>
          </w:tcPr>
          <w:p w14:paraId="1CFE68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0" w:lineRule="atLeast"/>
              <w:ind w:left="0" w:leftChars="0" w:right="0"/>
              <w:jc w:val="left"/>
              <w:textAlignment w:val="auto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697" w:type="dxa"/>
            <w:vAlign w:val="top"/>
          </w:tcPr>
          <w:p w14:paraId="41D680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0" w:lineRule="atLeast"/>
              <w:ind w:left="0" w:leftChars="0" w:right="0"/>
              <w:jc w:val="left"/>
              <w:textAlignment w:val="auto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cs="Times New Roman"/>
                <w:sz w:val="21"/>
              </w:rPr>
              <w:t>8.属于行政查询事项</w:t>
            </w:r>
          </w:p>
        </w:tc>
        <w:tc>
          <w:tcPr>
            <w:tcW w:w="659" w:type="dxa"/>
            <w:vAlign w:val="center"/>
          </w:tcPr>
          <w:p w14:paraId="7943F6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0" w:lineRule="atLeas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 w:bidi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49" w:type="dxa"/>
            <w:vAlign w:val="center"/>
          </w:tcPr>
          <w:p w14:paraId="44D808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0" w:lineRule="atLeas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 w:bidi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39" w:type="dxa"/>
            <w:vAlign w:val="center"/>
          </w:tcPr>
          <w:p w14:paraId="15953B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0" w:lineRule="atLeas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 w:bidi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50" w:type="dxa"/>
            <w:vAlign w:val="center"/>
          </w:tcPr>
          <w:p w14:paraId="51A286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0" w:lineRule="atLeas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 w:bidi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49" w:type="dxa"/>
            <w:vAlign w:val="center"/>
          </w:tcPr>
          <w:p w14:paraId="2F5006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0" w:lineRule="atLeas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 w:bidi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59" w:type="dxa"/>
            <w:vAlign w:val="center"/>
          </w:tcPr>
          <w:p w14:paraId="0CE48F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0" w:lineRule="atLeas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 w:bidi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44" w:type="dxa"/>
            <w:vAlign w:val="center"/>
          </w:tcPr>
          <w:p w14:paraId="04890B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0" w:lineRule="atLeas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 w:bidi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  <w:t>0</w:t>
            </w:r>
          </w:p>
        </w:tc>
      </w:tr>
      <w:tr w14:paraId="0769D8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870" w:type="dxa"/>
            <w:vMerge w:val="continue"/>
            <w:tcBorders>
              <w:top w:val="nil"/>
              <w:bottom w:val="nil"/>
            </w:tcBorders>
            <w:vAlign w:val="top"/>
          </w:tcPr>
          <w:p w14:paraId="6F5890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0" w:lineRule="atLeast"/>
              <w:ind w:left="0" w:leftChars="0" w:right="0"/>
              <w:textAlignment w:val="auto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968" w:type="dxa"/>
            <w:vMerge w:val="restart"/>
            <w:tcBorders>
              <w:bottom w:val="nil"/>
            </w:tcBorders>
            <w:vAlign w:val="top"/>
          </w:tcPr>
          <w:p w14:paraId="214D5C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0" w:lineRule="atLeast"/>
              <w:ind w:left="0" w:leftChars="0" w:right="0"/>
              <w:jc w:val="left"/>
              <w:textAlignment w:val="auto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cs="Times New Roman"/>
                <w:sz w:val="21"/>
              </w:rPr>
              <w:t>(四)无法提供</w:t>
            </w:r>
          </w:p>
        </w:tc>
        <w:tc>
          <w:tcPr>
            <w:tcW w:w="2697" w:type="dxa"/>
            <w:vAlign w:val="top"/>
          </w:tcPr>
          <w:p w14:paraId="67EB47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0" w:lineRule="atLeast"/>
              <w:ind w:left="0" w:leftChars="0" w:right="0"/>
              <w:jc w:val="left"/>
              <w:textAlignment w:val="auto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cs="Times New Roman"/>
                <w:sz w:val="21"/>
              </w:rPr>
              <w:t>1.本机关不掌握相关政府信息</w:t>
            </w:r>
          </w:p>
        </w:tc>
        <w:tc>
          <w:tcPr>
            <w:tcW w:w="659" w:type="dxa"/>
            <w:vAlign w:val="center"/>
          </w:tcPr>
          <w:p w14:paraId="6E4E3A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0" w:lineRule="atLeas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 w:bidi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49" w:type="dxa"/>
            <w:vAlign w:val="center"/>
          </w:tcPr>
          <w:p w14:paraId="280CB7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0" w:lineRule="atLeas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 w:bidi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39" w:type="dxa"/>
            <w:vAlign w:val="center"/>
          </w:tcPr>
          <w:p w14:paraId="250FB3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0" w:lineRule="atLeas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 w:bidi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50" w:type="dxa"/>
            <w:vAlign w:val="center"/>
          </w:tcPr>
          <w:p w14:paraId="19B94C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0" w:lineRule="atLeas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 w:bidi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49" w:type="dxa"/>
            <w:vAlign w:val="center"/>
          </w:tcPr>
          <w:p w14:paraId="1F768F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0" w:lineRule="atLeas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 w:bidi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59" w:type="dxa"/>
            <w:vAlign w:val="center"/>
          </w:tcPr>
          <w:p w14:paraId="453C89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0" w:lineRule="atLeas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 w:bidi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44" w:type="dxa"/>
            <w:vAlign w:val="center"/>
          </w:tcPr>
          <w:p w14:paraId="5F567D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0" w:lineRule="atLeas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 w:bidi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  <w:t>0</w:t>
            </w:r>
          </w:p>
        </w:tc>
      </w:tr>
      <w:tr w14:paraId="091DD2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870" w:type="dxa"/>
            <w:vMerge w:val="continue"/>
            <w:tcBorders>
              <w:top w:val="nil"/>
              <w:bottom w:val="nil"/>
            </w:tcBorders>
            <w:vAlign w:val="top"/>
          </w:tcPr>
          <w:p w14:paraId="25F3E1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0" w:lineRule="atLeast"/>
              <w:ind w:left="0" w:leftChars="0" w:right="0"/>
              <w:textAlignment w:val="auto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968" w:type="dxa"/>
            <w:vMerge w:val="continue"/>
            <w:tcBorders>
              <w:top w:val="nil"/>
              <w:bottom w:val="nil"/>
            </w:tcBorders>
            <w:vAlign w:val="top"/>
          </w:tcPr>
          <w:p w14:paraId="557487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0" w:lineRule="atLeast"/>
              <w:ind w:left="0" w:leftChars="0" w:right="0"/>
              <w:jc w:val="left"/>
              <w:textAlignment w:val="auto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697" w:type="dxa"/>
            <w:vAlign w:val="top"/>
          </w:tcPr>
          <w:p w14:paraId="6A1450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0" w:lineRule="atLeast"/>
              <w:ind w:left="0" w:leftChars="0" w:right="0"/>
              <w:jc w:val="left"/>
              <w:textAlignment w:val="auto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cs="Times New Roman"/>
                <w:sz w:val="21"/>
              </w:rPr>
              <w:t>2.没有现成信息需要另行制作</w:t>
            </w:r>
          </w:p>
        </w:tc>
        <w:tc>
          <w:tcPr>
            <w:tcW w:w="659" w:type="dxa"/>
            <w:vAlign w:val="center"/>
          </w:tcPr>
          <w:p w14:paraId="2855F4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0" w:lineRule="atLeas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 w:bidi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49" w:type="dxa"/>
            <w:vAlign w:val="center"/>
          </w:tcPr>
          <w:p w14:paraId="586887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0" w:lineRule="atLeas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 w:bidi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39" w:type="dxa"/>
            <w:vAlign w:val="center"/>
          </w:tcPr>
          <w:p w14:paraId="16A1FA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0" w:lineRule="atLeas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 w:bidi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50" w:type="dxa"/>
            <w:vAlign w:val="center"/>
          </w:tcPr>
          <w:p w14:paraId="6493D1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0" w:lineRule="atLeas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 w:bidi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49" w:type="dxa"/>
            <w:vAlign w:val="center"/>
          </w:tcPr>
          <w:p w14:paraId="0943D3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0" w:lineRule="atLeas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 w:bidi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59" w:type="dxa"/>
            <w:vAlign w:val="center"/>
          </w:tcPr>
          <w:p w14:paraId="4A2A46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0" w:lineRule="atLeas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 w:bidi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44" w:type="dxa"/>
            <w:vAlign w:val="center"/>
          </w:tcPr>
          <w:p w14:paraId="2377AE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0" w:lineRule="atLeas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 w:bidi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  <w:t>0</w:t>
            </w:r>
          </w:p>
        </w:tc>
      </w:tr>
      <w:tr w14:paraId="44AA9F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870" w:type="dxa"/>
            <w:vMerge w:val="continue"/>
            <w:tcBorders>
              <w:top w:val="nil"/>
              <w:bottom w:val="nil"/>
            </w:tcBorders>
            <w:vAlign w:val="top"/>
          </w:tcPr>
          <w:p w14:paraId="622376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0" w:lineRule="atLeast"/>
              <w:ind w:left="0" w:leftChars="0" w:right="0"/>
              <w:textAlignment w:val="auto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968" w:type="dxa"/>
            <w:vMerge w:val="continue"/>
            <w:tcBorders>
              <w:top w:val="nil"/>
            </w:tcBorders>
            <w:vAlign w:val="top"/>
          </w:tcPr>
          <w:p w14:paraId="18C0B2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0" w:lineRule="atLeast"/>
              <w:ind w:left="0" w:leftChars="0" w:right="0"/>
              <w:jc w:val="left"/>
              <w:textAlignment w:val="auto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697" w:type="dxa"/>
            <w:vAlign w:val="top"/>
          </w:tcPr>
          <w:p w14:paraId="44BF04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0" w:lineRule="atLeast"/>
              <w:ind w:left="0" w:leftChars="0" w:right="0"/>
              <w:jc w:val="left"/>
              <w:textAlignment w:val="auto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cs="Times New Roman"/>
                <w:sz w:val="21"/>
              </w:rPr>
              <w:t>3.补正后申请内容仍不明确</w:t>
            </w:r>
          </w:p>
        </w:tc>
        <w:tc>
          <w:tcPr>
            <w:tcW w:w="659" w:type="dxa"/>
            <w:vAlign w:val="center"/>
          </w:tcPr>
          <w:p w14:paraId="1200F3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0" w:lineRule="atLeas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 w:bidi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49" w:type="dxa"/>
            <w:vAlign w:val="center"/>
          </w:tcPr>
          <w:p w14:paraId="76C3C2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0" w:lineRule="atLeas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 w:bidi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39" w:type="dxa"/>
            <w:vAlign w:val="center"/>
          </w:tcPr>
          <w:p w14:paraId="3074D7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0" w:lineRule="atLeas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 w:bidi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50" w:type="dxa"/>
            <w:vAlign w:val="center"/>
          </w:tcPr>
          <w:p w14:paraId="3713A4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0" w:lineRule="atLeas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 w:bidi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49" w:type="dxa"/>
            <w:vAlign w:val="center"/>
          </w:tcPr>
          <w:p w14:paraId="058477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0" w:lineRule="atLeas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 w:bidi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59" w:type="dxa"/>
            <w:vAlign w:val="center"/>
          </w:tcPr>
          <w:p w14:paraId="1B8169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0" w:lineRule="atLeas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 w:bidi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44" w:type="dxa"/>
            <w:vAlign w:val="center"/>
          </w:tcPr>
          <w:p w14:paraId="7E040D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0" w:lineRule="atLeas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 w:bidi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  <w:t>0</w:t>
            </w:r>
          </w:p>
        </w:tc>
      </w:tr>
      <w:tr w14:paraId="0BFE94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870" w:type="dxa"/>
            <w:vMerge w:val="continue"/>
            <w:tcBorders>
              <w:top w:val="nil"/>
              <w:bottom w:val="nil"/>
            </w:tcBorders>
            <w:vAlign w:val="top"/>
          </w:tcPr>
          <w:p w14:paraId="284FCB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0" w:lineRule="atLeast"/>
              <w:ind w:left="0" w:leftChars="0" w:right="0"/>
              <w:textAlignment w:val="auto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968" w:type="dxa"/>
            <w:vMerge w:val="restart"/>
            <w:tcBorders>
              <w:bottom w:val="nil"/>
            </w:tcBorders>
            <w:vAlign w:val="top"/>
          </w:tcPr>
          <w:p w14:paraId="3146E5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0" w:lineRule="atLeast"/>
              <w:ind w:left="0" w:leftChars="0" w:right="0"/>
              <w:jc w:val="left"/>
              <w:textAlignment w:val="auto"/>
              <w:rPr>
                <w:rFonts w:hint="default" w:ascii="Times New Roman" w:hAnsi="Times New Roman" w:cs="Times New Roman"/>
                <w:sz w:val="21"/>
              </w:rPr>
            </w:pPr>
          </w:p>
          <w:p w14:paraId="7515FF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0" w:lineRule="atLeast"/>
              <w:ind w:left="0" w:leftChars="0" w:right="0"/>
              <w:jc w:val="left"/>
              <w:textAlignment w:val="auto"/>
              <w:rPr>
                <w:rFonts w:hint="default" w:ascii="Times New Roman" w:hAnsi="Times New Roman" w:cs="Times New Roman"/>
                <w:sz w:val="21"/>
              </w:rPr>
            </w:pPr>
          </w:p>
          <w:p w14:paraId="03CD79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0" w:lineRule="atLeast"/>
              <w:ind w:left="0" w:leftChars="0" w:right="0"/>
              <w:jc w:val="left"/>
              <w:textAlignment w:val="auto"/>
              <w:rPr>
                <w:rFonts w:hint="default" w:ascii="Times New Roman" w:hAnsi="Times New Roman" w:cs="Times New Roman"/>
                <w:sz w:val="21"/>
              </w:rPr>
            </w:pPr>
          </w:p>
          <w:p w14:paraId="31D35A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0" w:lineRule="atLeast"/>
              <w:ind w:left="0" w:leftChars="0" w:right="0"/>
              <w:jc w:val="left"/>
              <w:textAlignment w:val="auto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cs="Times New Roman"/>
                <w:sz w:val="21"/>
              </w:rPr>
              <w:t>(五)不予处理</w:t>
            </w:r>
          </w:p>
        </w:tc>
        <w:tc>
          <w:tcPr>
            <w:tcW w:w="2697" w:type="dxa"/>
            <w:vAlign w:val="top"/>
          </w:tcPr>
          <w:p w14:paraId="72EAF3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0" w:lineRule="atLeast"/>
              <w:ind w:left="0" w:leftChars="0" w:right="0"/>
              <w:jc w:val="left"/>
              <w:textAlignment w:val="auto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cs="Times New Roman"/>
                <w:sz w:val="21"/>
              </w:rPr>
              <w:t>1.信访举报投诉类申请</w:t>
            </w:r>
          </w:p>
        </w:tc>
        <w:tc>
          <w:tcPr>
            <w:tcW w:w="659" w:type="dxa"/>
            <w:vAlign w:val="center"/>
          </w:tcPr>
          <w:p w14:paraId="09F847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0" w:lineRule="atLeas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 w:bidi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49" w:type="dxa"/>
            <w:vAlign w:val="center"/>
          </w:tcPr>
          <w:p w14:paraId="20E4FB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0" w:lineRule="atLeas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 w:bidi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39" w:type="dxa"/>
            <w:vAlign w:val="center"/>
          </w:tcPr>
          <w:p w14:paraId="67C823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0" w:lineRule="atLeas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 w:bidi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50" w:type="dxa"/>
            <w:vAlign w:val="center"/>
          </w:tcPr>
          <w:p w14:paraId="140970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0" w:lineRule="atLeas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 w:bidi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49" w:type="dxa"/>
            <w:vAlign w:val="center"/>
          </w:tcPr>
          <w:p w14:paraId="5BE82E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0" w:lineRule="atLeas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 w:bidi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59" w:type="dxa"/>
            <w:vAlign w:val="center"/>
          </w:tcPr>
          <w:p w14:paraId="2F6164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0" w:lineRule="atLeas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 w:bidi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44" w:type="dxa"/>
            <w:vAlign w:val="center"/>
          </w:tcPr>
          <w:p w14:paraId="4CCE1D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0" w:lineRule="atLeas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 w:bidi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  <w:t>0</w:t>
            </w:r>
          </w:p>
        </w:tc>
      </w:tr>
      <w:tr w14:paraId="07ADCC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870" w:type="dxa"/>
            <w:vMerge w:val="continue"/>
            <w:tcBorders>
              <w:top w:val="nil"/>
              <w:bottom w:val="nil"/>
            </w:tcBorders>
            <w:vAlign w:val="top"/>
          </w:tcPr>
          <w:p w14:paraId="73787E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0" w:lineRule="atLeast"/>
              <w:ind w:left="0" w:leftChars="0" w:right="0"/>
              <w:textAlignment w:val="auto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968" w:type="dxa"/>
            <w:vMerge w:val="continue"/>
            <w:tcBorders>
              <w:top w:val="nil"/>
              <w:bottom w:val="nil"/>
            </w:tcBorders>
            <w:vAlign w:val="top"/>
          </w:tcPr>
          <w:p w14:paraId="307E22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0" w:lineRule="atLeast"/>
              <w:ind w:left="0" w:leftChars="0" w:right="0"/>
              <w:jc w:val="left"/>
              <w:textAlignment w:val="auto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697" w:type="dxa"/>
            <w:vAlign w:val="top"/>
          </w:tcPr>
          <w:p w14:paraId="01952E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0" w:lineRule="atLeast"/>
              <w:ind w:left="0" w:leftChars="0" w:right="0"/>
              <w:jc w:val="left"/>
              <w:textAlignment w:val="auto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cs="Times New Roman"/>
                <w:sz w:val="21"/>
              </w:rPr>
              <w:t>2.重复申请</w:t>
            </w:r>
          </w:p>
        </w:tc>
        <w:tc>
          <w:tcPr>
            <w:tcW w:w="659" w:type="dxa"/>
            <w:vAlign w:val="center"/>
          </w:tcPr>
          <w:p w14:paraId="62B4ED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0" w:lineRule="atLeas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 w:bidi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49" w:type="dxa"/>
            <w:vAlign w:val="center"/>
          </w:tcPr>
          <w:p w14:paraId="4B62DD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0" w:lineRule="atLeas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 w:bidi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39" w:type="dxa"/>
            <w:vAlign w:val="center"/>
          </w:tcPr>
          <w:p w14:paraId="678BC1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0" w:lineRule="atLeas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 w:bidi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50" w:type="dxa"/>
            <w:vAlign w:val="center"/>
          </w:tcPr>
          <w:p w14:paraId="7F1651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0" w:lineRule="atLeas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 w:bidi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49" w:type="dxa"/>
            <w:vAlign w:val="center"/>
          </w:tcPr>
          <w:p w14:paraId="34CE1F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0" w:lineRule="atLeas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 w:bidi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59" w:type="dxa"/>
            <w:vAlign w:val="center"/>
          </w:tcPr>
          <w:p w14:paraId="1E8AE3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0" w:lineRule="atLeas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 w:bidi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44" w:type="dxa"/>
            <w:vAlign w:val="center"/>
          </w:tcPr>
          <w:p w14:paraId="42F478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0" w:lineRule="atLeas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 w:bidi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  <w:t>0</w:t>
            </w:r>
          </w:p>
        </w:tc>
      </w:tr>
      <w:tr w14:paraId="0A72D3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870" w:type="dxa"/>
            <w:vMerge w:val="continue"/>
            <w:tcBorders>
              <w:top w:val="nil"/>
              <w:bottom w:val="nil"/>
            </w:tcBorders>
            <w:vAlign w:val="top"/>
          </w:tcPr>
          <w:p w14:paraId="0F1A84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0" w:lineRule="atLeast"/>
              <w:ind w:left="0" w:leftChars="0" w:right="0"/>
              <w:textAlignment w:val="auto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968" w:type="dxa"/>
            <w:vMerge w:val="continue"/>
            <w:tcBorders>
              <w:top w:val="nil"/>
              <w:bottom w:val="nil"/>
            </w:tcBorders>
            <w:vAlign w:val="top"/>
          </w:tcPr>
          <w:p w14:paraId="66AA03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0" w:lineRule="atLeast"/>
              <w:ind w:left="0" w:leftChars="0" w:right="0"/>
              <w:jc w:val="left"/>
              <w:textAlignment w:val="auto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697" w:type="dxa"/>
            <w:vAlign w:val="top"/>
          </w:tcPr>
          <w:p w14:paraId="74D1A9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0" w:lineRule="atLeast"/>
              <w:ind w:left="0" w:leftChars="0" w:right="0"/>
              <w:jc w:val="left"/>
              <w:textAlignment w:val="auto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cs="Times New Roman"/>
                <w:sz w:val="21"/>
              </w:rPr>
              <w:t>3.要求提供公开出版物</w:t>
            </w:r>
          </w:p>
        </w:tc>
        <w:tc>
          <w:tcPr>
            <w:tcW w:w="659" w:type="dxa"/>
            <w:vAlign w:val="center"/>
          </w:tcPr>
          <w:p w14:paraId="2F6491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0" w:lineRule="atLeas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 w:bidi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49" w:type="dxa"/>
            <w:vAlign w:val="center"/>
          </w:tcPr>
          <w:p w14:paraId="435149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0" w:lineRule="atLeas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 w:bidi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39" w:type="dxa"/>
            <w:vAlign w:val="center"/>
          </w:tcPr>
          <w:p w14:paraId="7E88A1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0" w:lineRule="atLeas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 w:bidi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50" w:type="dxa"/>
            <w:vAlign w:val="center"/>
          </w:tcPr>
          <w:p w14:paraId="66FD40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0" w:lineRule="atLeas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 w:bidi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49" w:type="dxa"/>
            <w:vAlign w:val="center"/>
          </w:tcPr>
          <w:p w14:paraId="729E5E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0" w:lineRule="atLeas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 w:bidi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59" w:type="dxa"/>
            <w:vAlign w:val="center"/>
          </w:tcPr>
          <w:p w14:paraId="5D31F2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0" w:lineRule="atLeas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 w:bidi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44" w:type="dxa"/>
            <w:vAlign w:val="center"/>
          </w:tcPr>
          <w:p w14:paraId="6A40D8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0" w:lineRule="atLeas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 w:bidi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  <w:t>0</w:t>
            </w:r>
          </w:p>
        </w:tc>
      </w:tr>
      <w:tr w14:paraId="070A57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870" w:type="dxa"/>
            <w:vMerge w:val="continue"/>
            <w:tcBorders>
              <w:top w:val="nil"/>
              <w:bottom w:val="nil"/>
            </w:tcBorders>
            <w:vAlign w:val="top"/>
          </w:tcPr>
          <w:p w14:paraId="2A19BD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0" w:lineRule="atLeast"/>
              <w:ind w:left="0" w:leftChars="0" w:right="0"/>
              <w:textAlignment w:val="auto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968" w:type="dxa"/>
            <w:vMerge w:val="continue"/>
            <w:tcBorders>
              <w:top w:val="nil"/>
              <w:bottom w:val="nil"/>
            </w:tcBorders>
            <w:vAlign w:val="top"/>
          </w:tcPr>
          <w:p w14:paraId="38BFB0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0" w:lineRule="atLeast"/>
              <w:ind w:left="0" w:leftChars="0" w:right="0"/>
              <w:jc w:val="left"/>
              <w:textAlignment w:val="auto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697" w:type="dxa"/>
            <w:vAlign w:val="top"/>
          </w:tcPr>
          <w:p w14:paraId="420215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0" w:lineRule="atLeast"/>
              <w:ind w:left="0" w:leftChars="0" w:right="0"/>
              <w:jc w:val="left"/>
              <w:textAlignment w:val="auto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cs="Times New Roman"/>
                <w:sz w:val="21"/>
              </w:rPr>
              <w:t>4 . 无正当理由大量反复 申 请</w:t>
            </w:r>
          </w:p>
        </w:tc>
        <w:tc>
          <w:tcPr>
            <w:tcW w:w="659" w:type="dxa"/>
            <w:vAlign w:val="center"/>
          </w:tcPr>
          <w:p w14:paraId="3565E9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0" w:lineRule="atLeas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 w:bidi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49" w:type="dxa"/>
            <w:vAlign w:val="center"/>
          </w:tcPr>
          <w:p w14:paraId="61045F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0" w:lineRule="atLeas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 w:bidi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39" w:type="dxa"/>
            <w:vAlign w:val="center"/>
          </w:tcPr>
          <w:p w14:paraId="47A939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0" w:lineRule="atLeas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 w:bidi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50" w:type="dxa"/>
            <w:vAlign w:val="center"/>
          </w:tcPr>
          <w:p w14:paraId="14A670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0" w:lineRule="atLeas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 w:bidi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49" w:type="dxa"/>
            <w:vAlign w:val="center"/>
          </w:tcPr>
          <w:p w14:paraId="7BC5E5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0" w:lineRule="atLeas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 w:bidi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59" w:type="dxa"/>
            <w:vAlign w:val="center"/>
          </w:tcPr>
          <w:p w14:paraId="77DEC2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0" w:lineRule="atLeas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 w:bidi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44" w:type="dxa"/>
            <w:vAlign w:val="center"/>
          </w:tcPr>
          <w:p w14:paraId="6139BD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0" w:lineRule="atLeas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 w:bidi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  <w:t>0</w:t>
            </w:r>
          </w:p>
        </w:tc>
      </w:tr>
      <w:tr w14:paraId="4152F8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870" w:type="dxa"/>
            <w:vMerge w:val="continue"/>
            <w:tcBorders>
              <w:top w:val="nil"/>
              <w:bottom w:val="nil"/>
            </w:tcBorders>
            <w:vAlign w:val="top"/>
          </w:tcPr>
          <w:p w14:paraId="6F5CF9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0" w:lineRule="atLeast"/>
              <w:ind w:left="0" w:leftChars="0" w:right="0"/>
              <w:textAlignment w:val="auto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968" w:type="dxa"/>
            <w:vMerge w:val="continue"/>
            <w:tcBorders>
              <w:top w:val="nil"/>
            </w:tcBorders>
            <w:vAlign w:val="top"/>
          </w:tcPr>
          <w:p w14:paraId="022EBC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0" w:lineRule="atLeast"/>
              <w:ind w:left="0" w:leftChars="0" w:right="0"/>
              <w:jc w:val="left"/>
              <w:textAlignment w:val="auto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697" w:type="dxa"/>
            <w:vAlign w:val="top"/>
          </w:tcPr>
          <w:p w14:paraId="2B7933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0" w:lineRule="atLeast"/>
              <w:ind w:left="0" w:leftChars="0" w:right="0"/>
              <w:jc w:val="left"/>
              <w:textAlignment w:val="auto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cs="Times New Roman"/>
                <w:sz w:val="21"/>
              </w:rPr>
              <w:t>5.要求行政机关确认或重 新出具已获取信息</w:t>
            </w:r>
          </w:p>
        </w:tc>
        <w:tc>
          <w:tcPr>
            <w:tcW w:w="659" w:type="dxa"/>
            <w:vAlign w:val="center"/>
          </w:tcPr>
          <w:p w14:paraId="43B889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0" w:lineRule="atLeas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 w:bidi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49" w:type="dxa"/>
            <w:vAlign w:val="center"/>
          </w:tcPr>
          <w:p w14:paraId="1F5D04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0" w:lineRule="atLeas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 w:bidi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39" w:type="dxa"/>
            <w:vAlign w:val="center"/>
          </w:tcPr>
          <w:p w14:paraId="13309A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0" w:lineRule="atLeas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 w:bidi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50" w:type="dxa"/>
            <w:vAlign w:val="center"/>
          </w:tcPr>
          <w:p w14:paraId="48CAAF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0" w:lineRule="atLeas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 w:bidi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49" w:type="dxa"/>
            <w:vAlign w:val="center"/>
          </w:tcPr>
          <w:p w14:paraId="4A9C9A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0" w:lineRule="atLeas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 w:bidi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59" w:type="dxa"/>
            <w:vAlign w:val="center"/>
          </w:tcPr>
          <w:p w14:paraId="76A3E9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0" w:lineRule="atLeas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 w:bidi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44" w:type="dxa"/>
            <w:vAlign w:val="center"/>
          </w:tcPr>
          <w:p w14:paraId="08DFA4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0" w:lineRule="atLeas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 w:bidi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  <w:t>0</w:t>
            </w:r>
          </w:p>
        </w:tc>
      </w:tr>
      <w:tr w14:paraId="620020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9" w:hRule="atLeast"/>
        </w:trPr>
        <w:tc>
          <w:tcPr>
            <w:tcW w:w="870" w:type="dxa"/>
            <w:vMerge w:val="continue"/>
            <w:tcBorders>
              <w:top w:val="nil"/>
              <w:bottom w:val="nil"/>
            </w:tcBorders>
            <w:vAlign w:val="top"/>
          </w:tcPr>
          <w:p w14:paraId="22F4B3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0" w:lineRule="atLeast"/>
              <w:ind w:left="0" w:leftChars="0" w:right="0"/>
              <w:textAlignment w:val="auto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968" w:type="dxa"/>
            <w:vMerge w:val="restart"/>
            <w:tcBorders>
              <w:bottom w:val="nil"/>
            </w:tcBorders>
            <w:vAlign w:val="top"/>
          </w:tcPr>
          <w:p w14:paraId="1F9F7D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0" w:lineRule="atLeast"/>
              <w:ind w:left="0" w:leftChars="0" w:right="0"/>
              <w:jc w:val="left"/>
              <w:textAlignment w:val="auto"/>
              <w:rPr>
                <w:rFonts w:hint="default" w:ascii="Times New Roman" w:hAnsi="Times New Roman" w:cs="Times New Roman"/>
                <w:sz w:val="21"/>
              </w:rPr>
            </w:pPr>
          </w:p>
          <w:p w14:paraId="165D59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0" w:lineRule="atLeast"/>
              <w:ind w:left="0" w:leftChars="0" w:right="0"/>
              <w:jc w:val="left"/>
              <w:textAlignment w:val="auto"/>
              <w:rPr>
                <w:rFonts w:hint="default" w:ascii="Times New Roman" w:hAnsi="Times New Roman" w:cs="Times New Roman"/>
                <w:sz w:val="21"/>
              </w:rPr>
            </w:pPr>
          </w:p>
          <w:p w14:paraId="01C410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0" w:lineRule="atLeast"/>
              <w:ind w:left="0" w:leftChars="0" w:right="0"/>
              <w:jc w:val="left"/>
              <w:textAlignment w:val="auto"/>
              <w:rPr>
                <w:rFonts w:hint="default" w:ascii="Times New Roman" w:hAnsi="Times New Roman" w:cs="Times New Roman"/>
                <w:sz w:val="21"/>
              </w:rPr>
            </w:pPr>
          </w:p>
          <w:p w14:paraId="6705D2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0" w:lineRule="atLeast"/>
              <w:ind w:left="0" w:leftChars="0" w:right="0"/>
              <w:jc w:val="left"/>
              <w:textAlignment w:val="auto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cs="Times New Roman"/>
                <w:sz w:val="21"/>
              </w:rPr>
              <w:t>(六)其他处理</w:t>
            </w:r>
          </w:p>
        </w:tc>
        <w:tc>
          <w:tcPr>
            <w:tcW w:w="2697" w:type="dxa"/>
            <w:vAlign w:val="top"/>
          </w:tcPr>
          <w:p w14:paraId="4FBC0C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0" w:lineRule="atLeast"/>
              <w:ind w:left="0" w:leftChars="0" w:right="0"/>
              <w:jc w:val="left"/>
              <w:textAlignment w:val="auto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cs="Times New Roman"/>
                <w:sz w:val="21"/>
              </w:rPr>
              <w:t>1. 申请人无正当理由逾期 不补正、行政机关不再处理 其政府信息公开申请</w:t>
            </w:r>
          </w:p>
        </w:tc>
        <w:tc>
          <w:tcPr>
            <w:tcW w:w="659" w:type="dxa"/>
            <w:vAlign w:val="center"/>
          </w:tcPr>
          <w:p w14:paraId="595AB8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0" w:lineRule="atLeas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 w:bidi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49" w:type="dxa"/>
            <w:vAlign w:val="center"/>
          </w:tcPr>
          <w:p w14:paraId="0DE6AE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0" w:lineRule="atLeas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 w:bidi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39" w:type="dxa"/>
            <w:vAlign w:val="center"/>
          </w:tcPr>
          <w:p w14:paraId="5FB1E4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0" w:lineRule="atLeas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 w:bidi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50" w:type="dxa"/>
            <w:vAlign w:val="center"/>
          </w:tcPr>
          <w:p w14:paraId="6706D6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0" w:lineRule="atLeas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 w:bidi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49" w:type="dxa"/>
            <w:vAlign w:val="center"/>
          </w:tcPr>
          <w:p w14:paraId="6A45D3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0" w:lineRule="atLeas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 w:bidi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59" w:type="dxa"/>
            <w:vAlign w:val="center"/>
          </w:tcPr>
          <w:p w14:paraId="0EDB78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0" w:lineRule="atLeas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 w:bidi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44" w:type="dxa"/>
            <w:vAlign w:val="center"/>
          </w:tcPr>
          <w:p w14:paraId="6716EE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0" w:lineRule="atLeas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 w:bidi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  <w:t>0</w:t>
            </w:r>
          </w:p>
        </w:tc>
      </w:tr>
      <w:tr w14:paraId="084925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9" w:hRule="atLeast"/>
        </w:trPr>
        <w:tc>
          <w:tcPr>
            <w:tcW w:w="870" w:type="dxa"/>
            <w:vMerge w:val="continue"/>
            <w:tcBorders>
              <w:top w:val="nil"/>
              <w:bottom w:val="nil"/>
            </w:tcBorders>
            <w:vAlign w:val="top"/>
          </w:tcPr>
          <w:p w14:paraId="2019D9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0" w:lineRule="atLeast"/>
              <w:ind w:left="0" w:leftChars="0" w:right="0"/>
              <w:textAlignment w:val="auto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968" w:type="dxa"/>
            <w:vMerge w:val="continue"/>
            <w:tcBorders>
              <w:top w:val="nil"/>
              <w:bottom w:val="nil"/>
            </w:tcBorders>
            <w:vAlign w:val="top"/>
          </w:tcPr>
          <w:p w14:paraId="0A80C9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0" w:lineRule="atLeast"/>
              <w:ind w:left="0" w:leftChars="0" w:right="0"/>
              <w:jc w:val="left"/>
              <w:textAlignment w:val="auto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697" w:type="dxa"/>
            <w:vAlign w:val="top"/>
          </w:tcPr>
          <w:p w14:paraId="58BE34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0" w:lineRule="atLeast"/>
              <w:ind w:left="0" w:leftChars="0" w:right="0"/>
              <w:jc w:val="left"/>
              <w:textAlignment w:val="auto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cs="Times New Roman"/>
                <w:sz w:val="21"/>
              </w:rPr>
              <w:t>2.申请人逾期未按收费通知 要求缴纳费用、行政机关不再 处理其政府信息公开申请</w:t>
            </w:r>
          </w:p>
        </w:tc>
        <w:tc>
          <w:tcPr>
            <w:tcW w:w="659" w:type="dxa"/>
            <w:vAlign w:val="center"/>
          </w:tcPr>
          <w:p w14:paraId="78A213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0" w:lineRule="atLeas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 w:bidi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49" w:type="dxa"/>
            <w:vAlign w:val="center"/>
          </w:tcPr>
          <w:p w14:paraId="2B3352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0" w:lineRule="atLeas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 w:bidi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39" w:type="dxa"/>
            <w:vAlign w:val="center"/>
          </w:tcPr>
          <w:p w14:paraId="5737D1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0" w:lineRule="atLeas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 w:bidi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50" w:type="dxa"/>
            <w:vAlign w:val="center"/>
          </w:tcPr>
          <w:p w14:paraId="152FB3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0" w:lineRule="atLeas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 w:bidi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49" w:type="dxa"/>
            <w:vAlign w:val="center"/>
          </w:tcPr>
          <w:p w14:paraId="749080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0" w:lineRule="atLeas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 w:bidi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59" w:type="dxa"/>
            <w:vAlign w:val="center"/>
          </w:tcPr>
          <w:p w14:paraId="3E53C4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0" w:lineRule="atLeas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 w:bidi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44" w:type="dxa"/>
            <w:vAlign w:val="center"/>
          </w:tcPr>
          <w:p w14:paraId="7D0240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0" w:lineRule="atLeas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 w:bidi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  <w:t>0</w:t>
            </w:r>
          </w:p>
        </w:tc>
      </w:tr>
      <w:tr w14:paraId="551F49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870" w:type="dxa"/>
            <w:vMerge w:val="continue"/>
            <w:tcBorders>
              <w:top w:val="nil"/>
              <w:bottom w:val="nil"/>
            </w:tcBorders>
            <w:vAlign w:val="top"/>
          </w:tcPr>
          <w:p w14:paraId="4427D6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0" w:lineRule="atLeast"/>
              <w:ind w:left="0" w:leftChars="0" w:right="0"/>
              <w:jc w:val="left"/>
              <w:textAlignment w:val="auto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968" w:type="dxa"/>
            <w:vMerge w:val="continue"/>
            <w:tcBorders>
              <w:top w:val="nil"/>
            </w:tcBorders>
            <w:vAlign w:val="top"/>
          </w:tcPr>
          <w:p w14:paraId="024807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0" w:lineRule="atLeast"/>
              <w:ind w:left="0" w:leftChars="0" w:right="0"/>
              <w:jc w:val="left"/>
              <w:textAlignment w:val="auto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697" w:type="dxa"/>
            <w:vAlign w:val="top"/>
          </w:tcPr>
          <w:p w14:paraId="18A1E7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0" w:lineRule="atLeast"/>
              <w:ind w:left="0" w:leftChars="0" w:right="0"/>
              <w:jc w:val="left"/>
              <w:textAlignment w:val="auto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cs="Times New Roman"/>
                <w:sz w:val="21"/>
              </w:rPr>
              <w:t>3 .其他</w:t>
            </w:r>
          </w:p>
        </w:tc>
        <w:tc>
          <w:tcPr>
            <w:tcW w:w="659" w:type="dxa"/>
            <w:vAlign w:val="center"/>
          </w:tcPr>
          <w:p w14:paraId="4B183B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0" w:lineRule="atLeas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 w:bidi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49" w:type="dxa"/>
            <w:vAlign w:val="center"/>
          </w:tcPr>
          <w:p w14:paraId="2CC22F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0" w:lineRule="atLeas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 w:bidi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39" w:type="dxa"/>
            <w:vAlign w:val="center"/>
          </w:tcPr>
          <w:p w14:paraId="3AF8D6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0" w:lineRule="atLeas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 w:bidi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50" w:type="dxa"/>
            <w:vAlign w:val="center"/>
          </w:tcPr>
          <w:p w14:paraId="4E8E26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0" w:lineRule="atLeas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 w:bidi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49" w:type="dxa"/>
            <w:vAlign w:val="center"/>
          </w:tcPr>
          <w:p w14:paraId="30A43D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0" w:lineRule="atLeas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 w:bidi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59" w:type="dxa"/>
            <w:vAlign w:val="center"/>
          </w:tcPr>
          <w:p w14:paraId="563D7F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0" w:lineRule="atLeas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 w:bidi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44" w:type="dxa"/>
            <w:vAlign w:val="center"/>
          </w:tcPr>
          <w:p w14:paraId="0D2F21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0" w:lineRule="atLeas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 w:bidi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  <w:t>0</w:t>
            </w:r>
          </w:p>
        </w:tc>
      </w:tr>
      <w:tr w14:paraId="1C0054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870" w:type="dxa"/>
            <w:vMerge w:val="continue"/>
            <w:tcBorders>
              <w:top w:val="nil"/>
            </w:tcBorders>
            <w:vAlign w:val="top"/>
          </w:tcPr>
          <w:p w14:paraId="0C45B1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0" w:lineRule="atLeast"/>
              <w:ind w:left="0" w:leftChars="0" w:right="0"/>
              <w:jc w:val="left"/>
              <w:textAlignment w:val="auto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3665" w:type="dxa"/>
            <w:gridSpan w:val="2"/>
            <w:vAlign w:val="top"/>
          </w:tcPr>
          <w:p w14:paraId="4ECE8A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0" w:lineRule="atLeast"/>
              <w:ind w:left="0" w:leftChars="0" w:right="0"/>
              <w:jc w:val="left"/>
              <w:textAlignment w:val="auto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cs="Times New Roman"/>
                <w:sz w:val="21"/>
              </w:rPr>
              <w:t>(七)总计</w:t>
            </w:r>
          </w:p>
        </w:tc>
        <w:tc>
          <w:tcPr>
            <w:tcW w:w="659" w:type="dxa"/>
            <w:vAlign w:val="center"/>
          </w:tcPr>
          <w:p w14:paraId="3A84C7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0" w:lineRule="atLeas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649" w:type="dxa"/>
            <w:vAlign w:val="center"/>
          </w:tcPr>
          <w:p w14:paraId="5C5939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0" w:lineRule="atLeast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39" w:type="dxa"/>
            <w:vAlign w:val="center"/>
          </w:tcPr>
          <w:p w14:paraId="700F7D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0" w:lineRule="atLeast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50" w:type="dxa"/>
            <w:vAlign w:val="center"/>
          </w:tcPr>
          <w:p w14:paraId="3ECAFB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0" w:lineRule="atLeast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49" w:type="dxa"/>
            <w:vAlign w:val="center"/>
          </w:tcPr>
          <w:p w14:paraId="2B653B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0" w:lineRule="atLeast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59" w:type="dxa"/>
            <w:vAlign w:val="center"/>
          </w:tcPr>
          <w:p w14:paraId="137746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0" w:lineRule="atLeast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44" w:type="dxa"/>
            <w:vAlign w:val="center"/>
          </w:tcPr>
          <w:p w14:paraId="0C1871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0" w:lineRule="atLeas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  <w:lang w:val="en-US" w:eastAsia="zh-CN"/>
              </w:rPr>
              <w:t>3</w:t>
            </w:r>
          </w:p>
        </w:tc>
      </w:tr>
      <w:tr w14:paraId="38018C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4535" w:type="dxa"/>
            <w:gridSpan w:val="3"/>
            <w:vAlign w:val="top"/>
          </w:tcPr>
          <w:p w14:paraId="56AE0B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0" w:lineRule="atLeast"/>
              <w:ind w:left="0" w:leftChars="0" w:right="0"/>
              <w:jc w:val="left"/>
              <w:textAlignment w:val="auto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cs="Times New Roman"/>
                <w:sz w:val="21"/>
              </w:rPr>
              <w:t>四、结转下年度继续办理</w:t>
            </w:r>
          </w:p>
        </w:tc>
        <w:tc>
          <w:tcPr>
            <w:tcW w:w="659" w:type="dxa"/>
            <w:vAlign w:val="center"/>
          </w:tcPr>
          <w:p w14:paraId="7D367C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0" w:lineRule="atLeas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 w:bidi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49" w:type="dxa"/>
            <w:vAlign w:val="center"/>
          </w:tcPr>
          <w:p w14:paraId="4CBB3B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0" w:lineRule="atLeas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 w:bidi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39" w:type="dxa"/>
            <w:vAlign w:val="center"/>
          </w:tcPr>
          <w:p w14:paraId="7FAE7E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0" w:lineRule="atLeas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 w:bidi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50" w:type="dxa"/>
            <w:vAlign w:val="center"/>
          </w:tcPr>
          <w:p w14:paraId="1080C9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0" w:lineRule="atLeas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 w:bidi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49" w:type="dxa"/>
            <w:vAlign w:val="center"/>
          </w:tcPr>
          <w:p w14:paraId="2B5677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0" w:lineRule="atLeas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 w:bidi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59" w:type="dxa"/>
            <w:vAlign w:val="center"/>
          </w:tcPr>
          <w:p w14:paraId="0B9E9F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0" w:lineRule="atLeas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 w:bidi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44" w:type="dxa"/>
            <w:vAlign w:val="center"/>
          </w:tcPr>
          <w:p w14:paraId="3A852C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0" w:lineRule="atLeas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 w:bidi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  <w:t>0</w:t>
            </w:r>
          </w:p>
        </w:tc>
      </w:tr>
    </w:tbl>
    <w:p w14:paraId="7209C31A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before="0" w:beforeAutospacing="0" w:after="0" w:afterAutospacing="0" w:line="560" w:lineRule="exact"/>
        <w:ind w:right="0" w:rightChars="0" w:firstLine="540" w:firstLineChars="200"/>
        <w:textAlignment w:val="auto"/>
        <w:rPr>
          <w:rFonts w:hint="eastAsia" w:eastAsia="方正仿宋_GBK"/>
          <w:lang w:eastAsia="zh-CN"/>
        </w:rPr>
      </w:pPr>
    </w:p>
    <w:p w14:paraId="2DB0E931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Autospacing="0" w:afterAutospacing="0" w:line="560" w:lineRule="exact"/>
        <w:ind w:left="0" w:leftChars="0" w:right="0"/>
        <w:textAlignment w:val="auto"/>
        <w:rPr>
          <w:rFonts w:hint="default" w:ascii="Times New Roman" w:hAnsi="Times New Roman" w:cs="Times New Roman"/>
        </w:rPr>
        <w:sectPr>
          <w:footerReference r:id="rId3" w:type="default"/>
          <w:pgSz w:w="11820" w:h="16730"/>
          <w:pgMar w:top="1984" w:right="1587" w:bottom="1701" w:left="1587" w:header="850" w:footer="1417" w:gutter="0"/>
          <w:pgNumType w:fmt="decimal"/>
          <w:cols w:space="720" w:num="1"/>
        </w:sectPr>
      </w:pPr>
    </w:p>
    <w:p w14:paraId="43E996A1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Autospacing="0" w:afterAutospacing="0" w:line="560" w:lineRule="exact"/>
        <w:ind w:left="0" w:leftChars="0" w:right="0" w:firstLine="640" w:firstLineChars="200"/>
        <w:textAlignment w:val="auto"/>
        <w:outlineLvl w:val="0"/>
        <w:rPr>
          <w:rFonts w:hint="default" w:ascii="Times New Roman" w:hAnsi="Times New Roman" w:cs="Times New Roman"/>
          <w:color w:val="auto"/>
          <w:sz w:val="2"/>
        </w:rPr>
      </w:pPr>
      <w:r>
        <w:rPr>
          <w:rFonts w:hint="default" w:ascii="Times New Roman" w:hAnsi="Times New Roman" w:eastAsia="黑体" w:cs="Times New Roman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四、政府信息公开行政复议、行政诉讼情况</w:t>
      </w:r>
    </w:p>
    <w:tbl>
      <w:tblPr>
        <w:tblStyle w:val="8"/>
        <w:tblW w:w="872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4"/>
        <w:gridCol w:w="580"/>
        <w:gridCol w:w="579"/>
        <w:gridCol w:w="579"/>
        <w:gridCol w:w="590"/>
        <w:gridCol w:w="589"/>
        <w:gridCol w:w="579"/>
        <w:gridCol w:w="580"/>
        <w:gridCol w:w="579"/>
        <w:gridCol w:w="579"/>
        <w:gridCol w:w="579"/>
        <w:gridCol w:w="580"/>
        <w:gridCol w:w="589"/>
        <w:gridCol w:w="589"/>
        <w:gridCol w:w="574"/>
      </w:tblGrid>
      <w:tr w14:paraId="26E1FA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912" w:type="dxa"/>
            <w:gridSpan w:val="5"/>
            <w:vAlign w:val="top"/>
          </w:tcPr>
          <w:p w14:paraId="195768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0" w:lineRule="atLeast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cs="Times New Roman"/>
                <w:sz w:val="21"/>
              </w:rPr>
              <w:t>行政复议</w:t>
            </w:r>
          </w:p>
        </w:tc>
        <w:tc>
          <w:tcPr>
            <w:tcW w:w="5817" w:type="dxa"/>
            <w:gridSpan w:val="10"/>
            <w:vAlign w:val="top"/>
          </w:tcPr>
          <w:p w14:paraId="204CD5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0" w:lineRule="atLeast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cs="Times New Roman"/>
                <w:sz w:val="21"/>
              </w:rPr>
              <w:t>行政诉讼</w:t>
            </w:r>
          </w:p>
        </w:tc>
      </w:tr>
      <w:tr w14:paraId="784FA6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584" w:type="dxa"/>
            <w:vMerge w:val="restart"/>
            <w:tcBorders>
              <w:bottom w:val="nil"/>
            </w:tcBorders>
            <w:vAlign w:val="top"/>
          </w:tcPr>
          <w:p w14:paraId="3F7D8A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0" w:lineRule="atLeast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cs="Times New Roman"/>
                <w:sz w:val="21"/>
              </w:rPr>
              <w:t>结果 维持</w:t>
            </w:r>
          </w:p>
        </w:tc>
        <w:tc>
          <w:tcPr>
            <w:tcW w:w="580" w:type="dxa"/>
            <w:vMerge w:val="restart"/>
            <w:tcBorders>
              <w:bottom w:val="nil"/>
            </w:tcBorders>
            <w:vAlign w:val="top"/>
          </w:tcPr>
          <w:p w14:paraId="58F915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0" w:lineRule="atLeast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cs="Times New Roman"/>
                <w:sz w:val="21"/>
              </w:rPr>
              <w:t>结果 纠正</w:t>
            </w:r>
          </w:p>
        </w:tc>
        <w:tc>
          <w:tcPr>
            <w:tcW w:w="579" w:type="dxa"/>
            <w:vMerge w:val="restart"/>
            <w:tcBorders>
              <w:bottom w:val="nil"/>
            </w:tcBorders>
            <w:vAlign w:val="top"/>
          </w:tcPr>
          <w:p w14:paraId="5B3803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0" w:lineRule="atLeast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cs="Times New Roman"/>
                <w:sz w:val="21"/>
              </w:rPr>
              <w:t>其他 结果</w:t>
            </w:r>
          </w:p>
        </w:tc>
        <w:tc>
          <w:tcPr>
            <w:tcW w:w="579" w:type="dxa"/>
            <w:vMerge w:val="restart"/>
            <w:tcBorders>
              <w:bottom w:val="nil"/>
            </w:tcBorders>
            <w:vAlign w:val="top"/>
          </w:tcPr>
          <w:p w14:paraId="0DAF43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0" w:lineRule="atLeast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cs="Times New Roman"/>
                <w:sz w:val="21"/>
              </w:rPr>
              <w:t>尚未 审结</w:t>
            </w:r>
          </w:p>
        </w:tc>
        <w:tc>
          <w:tcPr>
            <w:tcW w:w="590" w:type="dxa"/>
            <w:vMerge w:val="restart"/>
            <w:tcBorders>
              <w:bottom w:val="nil"/>
            </w:tcBorders>
            <w:vAlign w:val="top"/>
          </w:tcPr>
          <w:p w14:paraId="61A45E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0" w:lineRule="atLeast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</w:rPr>
            </w:pPr>
          </w:p>
          <w:p w14:paraId="4DF19E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0" w:lineRule="atLeast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cs="Times New Roman"/>
                <w:sz w:val="21"/>
              </w:rPr>
              <w:t>总计</w:t>
            </w:r>
          </w:p>
        </w:tc>
        <w:tc>
          <w:tcPr>
            <w:tcW w:w="2906" w:type="dxa"/>
            <w:gridSpan w:val="5"/>
            <w:vAlign w:val="top"/>
          </w:tcPr>
          <w:p w14:paraId="63DE7E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0" w:lineRule="atLeast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cs="Times New Roman"/>
                <w:sz w:val="21"/>
              </w:rPr>
              <w:t>未经复议直接起诉</w:t>
            </w:r>
          </w:p>
        </w:tc>
        <w:tc>
          <w:tcPr>
            <w:tcW w:w="2911" w:type="dxa"/>
            <w:gridSpan w:val="5"/>
            <w:vAlign w:val="top"/>
          </w:tcPr>
          <w:p w14:paraId="690993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0" w:lineRule="atLeast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cs="Times New Roman"/>
                <w:sz w:val="21"/>
              </w:rPr>
              <w:t>复议后起诉</w:t>
            </w:r>
          </w:p>
        </w:tc>
      </w:tr>
      <w:tr w14:paraId="0FFEB2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584" w:type="dxa"/>
            <w:vMerge w:val="continue"/>
            <w:tcBorders>
              <w:top w:val="nil"/>
            </w:tcBorders>
            <w:vAlign w:val="top"/>
          </w:tcPr>
          <w:p w14:paraId="4BE7F6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0" w:lineRule="atLeast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580" w:type="dxa"/>
            <w:vMerge w:val="continue"/>
            <w:tcBorders>
              <w:top w:val="nil"/>
            </w:tcBorders>
            <w:vAlign w:val="top"/>
          </w:tcPr>
          <w:p w14:paraId="0CF048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0" w:lineRule="atLeast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579" w:type="dxa"/>
            <w:vMerge w:val="continue"/>
            <w:tcBorders>
              <w:top w:val="nil"/>
            </w:tcBorders>
            <w:vAlign w:val="top"/>
          </w:tcPr>
          <w:p w14:paraId="3E408A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0" w:lineRule="atLeast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579" w:type="dxa"/>
            <w:vMerge w:val="continue"/>
            <w:tcBorders>
              <w:top w:val="nil"/>
            </w:tcBorders>
            <w:vAlign w:val="top"/>
          </w:tcPr>
          <w:p w14:paraId="6942D1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0" w:lineRule="atLeast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590" w:type="dxa"/>
            <w:vMerge w:val="continue"/>
            <w:tcBorders>
              <w:top w:val="nil"/>
            </w:tcBorders>
            <w:vAlign w:val="top"/>
          </w:tcPr>
          <w:p w14:paraId="64CCF7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0" w:lineRule="atLeast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589" w:type="dxa"/>
            <w:vAlign w:val="top"/>
          </w:tcPr>
          <w:p w14:paraId="6AFF8C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0" w:lineRule="atLeast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cs="Times New Roman"/>
                <w:sz w:val="21"/>
              </w:rPr>
              <w:t>结果 维持</w:t>
            </w:r>
          </w:p>
        </w:tc>
        <w:tc>
          <w:tcPr>
            <w:tcW w:w="579" w:type="dxa"/>
            <w:vAlign w:val="top"/>
          </w:tcPr>
          <w:p w14:paraId="487E2F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0" w:lineRule="atLeast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cs="Times New Roman"/>
                <w:sz w:val="21"/>
              </w:rPr>
              <w:t>结果 纠正</w:t>
            </w:r>
          </w:p>
        </w:tc>
        <w:tc>
          <w:tcPr>
            <w:tcW w:w="580" w:type="dxa"/>
            <w:vAlign w:val="top"/>
          </w:tcPr>
          <w:p w14:paraId="277920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0" w:lineRule="atLeast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cs="Times New Roman"/>
                <w:sz w:val="21"/>
              </w:rPr>
              <w:t>其他 结果</w:t>
            </w:r>
          </w:p>
        </w:tc>
        <w:tc>
          <w:tcPr>
            <w:tcW w:w="579" w:type="dxa"/>
            <w:vAlign w:val="top"/>
          </w:tcPr>
          <w:p w14:paraId="1E0EA9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0" w:lineRule="atLeast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cs="Times New Roman"/>
                <w:sz w:val="21"/>
              </w:rPr>
              <w:t>尚未 审结</w:t>
            </w:r>
          </w:p>
        </w:tc>
        <w:tc>
          <w:tcPr>
            <w:tcW w:w="579" w:type="dxa"/>
            <w:vAlign w:val="top"/>
          </w:tcPr>
          <w:p w14:paraId="17FA48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0" w:lineRule="atLeast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cs="Times New Roman"/>
                <w:sz w:val="21"/>
              </w:rPr>
              <w:t>总计</w:t>
            </w:r>
          </w:p>
        </w:tc>
        <w:tc>
          <w:tcPr>
            <w:tcW w:w="579" w:type="dxa"/>
            <w:vAlign w:val="top"/>
          </w:tcPr>
          <w:p w14:paraId="5CAA9C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0" w:lineRule="atLeast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cs="Times New Roman"/>
                <w:sz w:val="21"/>
              </w:rPr>
              <w:t>结果 维持</w:t>
            </w:r>
          </w:p>
        </w:tc>
        <w:tc>
          <w:tcPr>
            <w:tcW w:w="580" w:type="dxa"/>
            <w:vAlign w:val="top"/>
          </w:tcPr>
          <w:p w14:paraId="4D6E24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0" w:lineRule="atLeast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cs="Times New Roman"/>
                <w:sz w:val="21"/>
              </w:rPr>
              <w:t>结果 纠正</w:t>
            </w:r>
          </w:p>
        </w:tc>
        <w:tc>
          <w:tcPr>
            <w:tcW w:w="589" w:type="dxa"/>
            <w:vAlign w:val="top"/>
          </w:tcPr>
          <w:p w14:paraId="73F8AB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0" w:lineRule="atLeast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cs="Times New Roman"/>
                <w:sz w:val="21"/>
              </w:rPr>
              <w:t>其他 结果</w:t>
            </w:r>
          </w:p>
        </w:tc>
        <w:tc>
          <w:tcPr>
            <w:tcW w:w="589" w:type="dxa"/>
            <w:vAlign w:val="top"/>
          </w:tcPr>
          <w:p w14:paraId="4E9E06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0" w:lineRule="atLeast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cs="Times New Roman"/>
                <w:sz w:val="21"/>
              </w:rPr>
              <w:t>尚未 审结</w:t>
            </w:r>
          </w:p>
        </w:tc>
        <w:tc>
          <w:tcPr>
            <w:tcW w:w="574" w:type="dxa"/>
            <w:vAlign w:val="top"/>
          </w:tcPr>
          <w:p w14:paraId="100B21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0" w:lineRule="atLeast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cs="Times New Roman"/>
                <w:sz w:val="21"/>
              </w:rPr>
              <w:t>总计</w:t>
            </w:r>
          </w:p>
        </w:tc>
      </w:tr>
      <w:tr w14:paraId="754A53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584" w:type="dxa"/>
            <w:vAlign w:val="top"/>
          </w:tcPr>
          <w:p w14:paraId="3C4A70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0" w:lineRule="atLeas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80" w:type="dxa"/>
            <w:vAlign w:val="top"/>
          </w:tcPr>
          <w:p w14:paraId="17B352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0" w:lineRule="atLeas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79" w:type="dxa"/>
            <w:vAlign w:val="top"/>
          </w:tcPr>
          <w:p w14:paraId="73D6C9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0" w:lineRule="atLeas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79" w:type="dxa"/>
            <w:vAlign w:val="top"/>
          </w:tcPr>
          <w:p w14:paraId="165ED7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0" w:lineRule="atLeas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90" w:type="dxa"/>
            <w:vAlign w:val="top"/>
          </w:tcPr>
          <w:p w14:paraId="10363E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0" w:lineRule="atLeas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89" w:type="dxa"/>
            <w:vAlign w:val="top"/>
          </w:tcPr>
          <w:p w14:paraId="5A02ED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0" w:lineRule="atLeas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79" w:type="dxa"/>
            <w:vAlign w:val="top"/>
          </w:tcPr>
          <w:p w14:paraId="35ECA4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0" w:lineRule="atLeas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80" w:type="dxa"/>
            <w:vAlign w:val="top"/>
          </w:tcPr>
          <w:p w14:paraId="762187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0" w:lineRule="atLeas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79" w:type="dxa"/>
            <w:vAlign w:val="top"/>
          </w:tcPr>
          <w:p w14:paraId="551729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0" w:lineRule="atLeas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79" w:type="dxa"/>
            <w:vAlign w:val="top"/>
          </w:tcPr>
          <w:p w14:paraId="17603F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0" w:lineRule="atLeas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79" w:type="dxa"/>
            <w:vAlign w:val="top"/>
          </w:tcPr>
          <w:p w14:paraId="6C5F14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0" w:lineRule="atLeas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80" w:type="dxa"/>
            <w:vAlign w:val="top"/>
          </w:tcPr>
          <w:p w14:paraId="62A761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0" w:lineRule="atLeas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89" w:type="dxa"/>
            <w:vAlign w:val="top"/>
          </w:tcPr>
          <w:p w14:paraId="40D6E1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0" w:lineRule="atLeas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89" w:type="dxa"/>
            <w:vAlign w:val="top"/>
          </w:tcPr>
          <w:p w14:paraId="24E695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0" w:lineRule="atLeas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74" w:type="dxa"/>
            <w:vAlign w:val="top"/>
          </w:tcPr>
          <w:p w14:paraId="31C7A9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0" w:lineRule="atLeas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  <w:t>0</w:t>
            </w:r>
          </w:p>
        </w:tc>
      </w:tr>
    </w:tbl>
    <w:p w14:paraId="5568A22D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beforeAutospacing="0" w:afterAutospacing="0" w:line="560" w:lineRule="exact"/>
        <w:ind w:left="0" w:leftChars="0" w:right="0" w:firstLine="640" w:firstLineChars="200"/>
        <w:textAlignment w:val="auto"/>
        <w:outlineLvl w:val="0"/>
        <w:rPr>
          <w:rFonts w:hint="default" w:ascii="Times New Roman" w:hAnsi="Times New Roman" w:eastAsia="黑体" w:cs="Times New Roman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default" w:ascii="Times New Roman" w:hAnsi="Times New Roman" w:eastAsia="黑体" w:cs="Times New Roman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五、存在的主要问题及改进情况</w:t>
      </w:r>
    </w:p>
    <w:p w14:paraId="484CE83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val="en-US" w:eastAsia="zh-CN"/>
        </w:rPr>
        <w:t>（一）存在问题</w:t>
      </w:r>
    </w:p>
    <w:p w14:paraId="40CA2544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firstLine="640" w:firstLineChars="200"/>
        <w:textAlignment w:val="auto"/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一是政务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公开的内容不够丰富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。二是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部分主动公开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的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规范化、时效性有待进一步提高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。</w:t>
      </w:r>
    </w:p>
    <w:p w14:paraId="1DEAA96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val="en-US" w:eastAsia="zh-CN"/>
        </w:rPr>
        <w:t>（二）改进情况</w:t>
      </w:r>
    </w:p>
    <w:p w14:paraId="75609C41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一是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充实和扩宽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政务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公开内容与渠道，不断充实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政务公开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内容，加强重点领域信息公开力度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进一步提升政府信息公开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的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质量与效果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。二是进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一步完善工作机制，提高信息公开工作的主动性，规范工作流程，保持信息通畅对等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加大自查自纠力度，确保公开内容及时、规范。</w:t>
      </w:r>
    </w:p>
    <w:p w14:paraId="66898B79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textAlignment w:val="auto"/>
        <w:outlineLvl w:val="0"/>
        <w:rPr>
          <w:rFonts w:hint="default" w:ascii="Times New Roman" w:hAnsi="Times New Roman" w:eastAsia="黑体" w:cs="Times New Roman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Times New Roman" w:hAnsi="Times New Roman" w:eastAsia="黑体" w:cs="Times New Roman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六、</w:t>
      </w:r>
      <w:r>
        <w:rPr>
          <w:rFonts w:hint="default" w:ascii="Times New Roman" w:hAnsi="Times New Roman" w:eastAsia="黑体" w:cs="Times New Roman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其他需要报告的事项</w:t>
      </w:r>
    </w:p>
    <w:p w14:paraId="163DF505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beforeAutospacing="0" w:afterAutospacing="0" w:line="560" w:lineRule="exact"/>
        <w:ind w:leftChars="0" w:right="0" w:rightChars="0" w:firstLine="640" w:firstLineChars="200"/>
        <w:textAlignment w:val="auto"/>
        <w:outlineLvl w:val="0"/>
        <w:rPr>
          <w:rFonts w:hint="eastAsia" w:ascii="楷体_GB2312" w:hAnsi="楷体_GB2312" w:eastAsia="楷体_GB2312" w:cs="楷体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（一）本年度收取政府公开信息处理费情况</w:t>
      </w:r>
    </w:p>
    <w:p w14:paraId="5884996B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beforeAutospacing="0" w:afterAutospacing="0" w:line="560" w:lineRule="exact"/>
        <w:ind w:leftChars="0" w:right="0" w:rightChars="0" w:firstLine="640" w:firstLineChars="200"/>
        <w:textAlignment w:val="auto"/>
        <w:outlineLvl w:val="0"/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 w:bidi="ar"/>
        </w:rPr>
        <w:t>202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 w:bidi="ar"/>
        </w:rPr>
        <w:t>4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 w:bidi="ar"/>
        </w:rPr>
        <w:t>年度，我局未收取政府信息公开信息处理费。</w:t>
      </w:r>
    </w:p>
    <w:p w14:paraId="433713D8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beforeAutospacing="0" w:afterAutospacing="0" w:line="560" w:lineRule="exact"/>
        <w:ind w:leftChars="0" w:right="0" w:rightChars="0" w:firstLine="640" w:firstLineChars="200"/>
        <w:textAlignment w:val="auto"/>
        <w:outlineLvl w:val="0"/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（二）</w:t>
      </w: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</w:rPr>
        <w:t>建议提案办理结果公开情况</w:t>
      </w:r>
    </w:p>
    <w:p w14:paraId="28B04FE1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202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年，我局共收到人大建议、政协提案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件，其中人大建议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件，政协提案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15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件，主要涉及</w:t>
      </w:r>
      <w:r>
        <w:rPr>
          <w:rFonts w:hint="eastAsia" w:eastAsia="仿宋_GB2312" w:cs="Times New Roman"/>
          <w:bCs/>
          <w:color w:val="auto"/>
          <w:sz w:val="32"/>
          <w:szCs w:val="32"/>
          <w:lang w:val="en-US" w:eastAsia="zh-CN"/>
        </w:rPr>
        <w:t>关于加快西部、南部新城市政路网的规划建设、</w:t>
      </w:r>
      <w:r>
        <w:rPr>
          <w:rFonts w:hint="eastAsia" w:ascii="Times New Roman" w:hAnsi="仿宋_GB2312" w:eastAsia="仿宋_GB2312"/>
          <w:b w:val="0"/>
          <w:bCs w:val="0"/>
          <w:color w:val="auto"/>
          <w:sz w:val="32"/>
          <w:szCs w:val="32"/>
          <w:lang w:eastAsia="zh-CN"/>
        </w:rPr>
        <w:t>加大小区物业监管力度、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解决荆山路天桥路段交通拥堵问题、建议</w:t>
      </w:r>
      <w:r>
        <w:rPr>
          <w:rFonts w:hint="default" w:ascii="Times New Roman" w:hAnsi="仿宋_GB2312" w:eastAsia="仿宋_GB2312" w:cs="Times New Roman"/>
          <w:b w:val="0"/>
          <w:bCs w:val="0"/>
          <w:color w:val="auto"/>
          <w:sz w:val="32"/>
          <w:szCs w:val="32"/>
          <w:lang w:val="en-US" w:eastAsia="zh-CN" w:bidi="ar-SA"/>
        </w:rPr>
        <w:t>县汽车站修建便民公园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等方面。我局承办的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件都已办理完成。</w:t>
      </w:r>
    </w:p>
    <w:p w14:paraId="44A579A6">
      <w:pPr>
        <w:pStyle w:val="2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bidi w:val="0"/>
        <w:adjustRightInd/>
        <w:snapToGrid/>
        <w:spacing w:before="0" w:beforeAutospacing="0" w:after="0" w:afterAutospacing="0" w:line="560" w:lineRule="exact"/>
        <w:ind w:left="0" w:leftChars="0" w:firstLine="640" w:firstLineChars="200"/>
        <w:textAlignment w:val="auto"/>
        <w:rPr>
          <w:rFonts w:hint="default" w:ascii="Times New Roman" w:hAnsi="Times New Roman" w:eastAsia="楷体_GB2312" w:cs="Times New Roman"/>
          <w:b w:val="0"/>
          <w:bCs w:val="0"/>
          <w:kern w:val="0"/>
          <w:sz w:val="32"/>
          <w:szCs w:val="32"/>
          <w:lang w:val="en-US" w:eastAsia="zh-CN" w:bidi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kern w:val="0"/>
          <w:sz w:val="32"/>
          <w:szCs w:val="32"/>
          <w:lang w:val="en-US" w:eastAsia="zh-CN" w:bidi="zh-CN"/>
        </w:rPr>
        <w:t>创新实践工作情况</w:t>
      </w:r>
    </w:p>
    <w:p w14:paraId="18F9A82A"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 w:bidi="ar"/>
        </w:rPr>
        <w:t>我局采取多样化政务公开方式，一是通过沂源县人民政府官方网站、沂源融媒等多种方式公开本单位重大活动以及重要会议；二是在居民区、商超等人流量大的场所定期宣传门前五包、垃圾分类等重要政策措施。</w:t>
      </w:r>
    </w:p>
    <w:p w14:paraId="786D4D72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Autospacing="0" w:afterAutospacing="0" w:line="560" w:lineRule="exact"/>
        <w:ind w:leftChars="0" w:firstLine="640" w:firstLineChars="200"/>
        <w:textAlignment w:val="auto"/>
        <w:rPr>
          <w:rFonts w:hint="default" w:ascii="Times New Roman" w:hAnsi="Times New Roman" w:eastAsia="楷体_GB2312" w:cs="Times New Roman"/>
          <w:b w:val="0"/>
          <w:bCs w:val="0"/>
          <w:kern w:val="0"/>
          <w:sz w:val="32"/>
          <w:szCs w:val="32"/>
          <w:lang w:val="en-US" w:eastAsia="zh-CN" w:bidi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kern w:val="0"/>
          <w:sz w:val="32"/>
          <w:szCs w:val="32"/>
          <w:lang w:val="en-US" w:eastAsia="zh-CN" w:bidi="zh-CN"/>
        </w:rPr>
        <w:t>（四）《202</w:t>
      </w:r>
      <w:r>
        <w:rPr>
          <w:rFonts w:hint="eastAsia" w:ascii="Times New Roman" w:hAnsi="Times New Roman" w:eastAsia="楷体_GB2312" w:cs="Times New Roman"/>
          <w:b w:val="0"/>
          <w:bCs w:val="0"/>
          <w:kern w:val="0"/>
          <w:sz w:val="32"/>
          <w:szCs w:val="32"/>
          <w:lang w:val="en-US" w:eastAsia="zh-CN" w:bidi="zh-CN"/>
        </w:rPr>
        <w:t>4</w:t>
      </w:r>
      <w:r>
        <w:rPr>
          <w:rFonts w:hint="default" w:ascii="Times New Roman" w:hAnsi="Times New Roman" w:eastAsia="楷体_GB2312" w:cs="Times New Roman"/>
          <w:b w:val="0"/>
          <w:bCs w:val="0"/>
          <w:kern w:val="0"/>
          <w:sz w:val="32"/>
          <w:szCs w:val="32"/>
          <w:lang w:val="en-US" w:eastAsia="zh-CN" w:bidi="zh-CN"/>
        </w:rPr>
        <w:t>年沂源县政务公开工作</w:t>
      </w:r>
      <w:r>
        <w:rPr>
          <w:rFonts w:hint="eastAsia" w:ascii="Times New Roman" w:hAnsi="Times New Roman" w:eastAsia="楷体_GB2312" w:cs="Times New Roman"/>
          <w:b w:val="0"/>
          <w:bCs w:val="0"/>
          <w:kern w:val="0"/>
          <w:sz w:val="32"/>
          <w:szCs w:val="32"/>
          <w:lang w:val="en-US" w:eastAsia="zh-CN" w:bidi="zh-CN"/>
        </w:rPr>
        <w:t>方案</w:t>
      </w:r>
      <w:r>
        <w:rPr>
          <w:rFonts w:hint="default" w:ascii="Times New Roman" w:hAnsi="Times New Roman" w:eastAsia="楷体_GB2312" w:cs="Times New Roman"/>
          <w:b w:val="0"/>
          <w:bCs w:val="0"/>
          <w:kern w:val="0"/>
          <w:sz w:val="32"/>
          <w:szCs w:val="32"/>
          <w:lang w:val="en-US" w:eastAsia="zh-CN" w:bidi="zh-CN"/>
        </w:rPr>
        <w:t>》落实情况</w:t>
      </w:r>
    </w:p>
    <w:p w14:paraId="01E1A62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微软雅黑" w:cs="Times New Roman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坚持把业务工作同政务公开工作同部署、同推进、同落实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 w:bidi="ar"/>
        </w:rPr>
        <w:t>，不断完善政府信息公开的内容，及时更新网站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 w:bidi="ar"/>
        </w:rPr>
        <w:t>政府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 w:bidi="ar"/>
        </w:rPr>
        <w:t>信息，有效保证了政务公开工作的有序进行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 w:bidi="ar"/>
        </w:rPr>
        <w:t>。</w:t>
      </w:r>
    </w:p>
    <w:p w14:paraId="6DC28C4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val="en-US" w:eastAsia="zh-CN"/>
        </w:rPr>
        <w:t>（五）其他事项及相关情况</w:t>
      </w:r>
    </w:p>
    <w:p w14:paraId="0979913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无</w:t>
      </w:r>
    </w:p>
    <w:p w14:paraId="293405A0"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</w:p>
    <w:p w14:paraId="017037C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4480" w:firstLineChars="1400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沂源县综合行政执法局</w:t>
      </w:r>
    </w:p>
    <w:p w14:paraId="63FA76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4800" w:firstLineChars="150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202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5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年1月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16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日</w:t>
      </w:r>
    </w:p>
    <w:p w14:paraId="02665D66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beforeAutospacing="0" w:afterAutospacing="0" w:line="560" w:lineRule="exact"/>
        <w:ind w:left="0" w:leftChars="0" w:right="0"/>
        <w:textAlignment w:val="auto"/>
        <w:rPr>
          <w:rFonts w:hint="default" w:ascii="Times New Roman" w:hAnsi="Times New Roman" w:cs="Times New Roman"/>
          <w:color w:val="auto"/>
        </w:rPr>
      </w:pPr>
    </w:p>
    <w:sectPr>
      <w:pgSz w:w="11906" w:h="16838"/>
      <w:pgMar w:top="1984" w:right="1587" w:bottom="1701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0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25AFCC">
    <w:pPr>
      <w:spacing w:line="180" w:lineRule="auto"/>
      <w:ind w:left="224"/>
      <w:rPr>
        <w:rFonts w:ascii="宋体" w:hAnsi="宋体" w:eastAsia="宋体" w:cs="宋体"/>
        <w:sz w:val="17"/>
        <w:szCs w:val="17"/>
      </w:rPr>
    </w:pPr>
    <w:r>
      <w:rPr>
        <w:sz w:val="17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ED08BAE">
                          <w:pPr>
                            <w:pStyle w:val="3"/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5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ED08BAE">
                    <w:pPr>
                      <w:pStyle w:val="3"/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5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97FDC28"/>
    <w:multiLevelType w:val="singleLevel"/>
    <w:tmpl w:val="197FDC28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3ZjAyMDg1OGQ5ODY4NmE5NjlkNzRmYmM5NjEwYTgifQ=="/>
  </w:docVars>
  <w:rsids>
    <w:rsidRoot w:val="29092A4A"/>
    <w:rsid w:val="00490434"/>
    <w:rsid w:val="0114696D"/>
    <w:rsid w:val="011F126D"/>
    <w:rsid w:val="014337F8"/>
    <w:rsid w:val="017776FD"/>
    <w:rsid w:val="021A6319"/>
    <w:rsid w:val="0270061D"/>
    <w:rsid w:val="02A543CA"/>
    <w:rsid w:val="02E65D4C"/>
    <w:rsid w:val="033B50CF"/>
    <w:rsid w:val="03E868D9"/>
    <w:rsid w:val="095E2471"/>
    <w:rsid w:val="09A777B0"/>
    <w:rsid w:val="09EA3EF2"/>
    <w:rsid w:val="0AC85C6F"/>
    <w:rsid w:val="0B091BF9"/>
    <w:rsid w:val="0B5E5DFE"/>
    <w:rsid w:val="0E551F4F"/>
    <w:rsid w:val="111725AC"/>
    <w:rsid w:val="116021A5"/>
    <w:rsid w:val="12681311"/>
    <w:rsid w:val="12DA3FF8"/>
    <w:rsid w:val="12E3308D"/>
    <w:rsid w:val="13A63B64"/>
    <w:rsid w:val="14681327"/>
    <w:rsid w:val="152139F9"/>
    <w:rsid w:val="15270D73"/>
    <w:rsid w:val="1658169C"/>
    <w:rsid w:val="17117C03"/>
    <w:rsid w:val="177B7D38"/>
    <w:rsid w:val="1991739F"/>
    <w:rsid w:val="1A8F43B3"/>
    <w:rsid w:val="1BA13498"/>
    <w:rsid w:val="1BF956CF"/>
    <w:rsid w:val="1D7A5A02"/>
    <w:rsid w:val="1DB55304"/>
    <w:rsid w:val="1DE62B13"/>
    <w:rsid w:val="1F240CB5"/>
    <w:rsid w:val="1FF67686"/>
    <w:rsid w:val="23333DD5"/>
    <w:rsid w:val="23370BF7"/>
    <w:rsid w:val="24080A52"/>
    <w:rsid w:val="25040F1F"/>
    <w:rsid w:val="263631A5"/>
    <w:rsid w:val="273B4BEA"/>
    <w:rsid w:val="29092A4A"/>
    <w:rsid w:val="290D4568"/>
    <w:rsid w:val="29D4444C"/>
    <w:rsid w:val="2A4F1E48"/>
    <w:rsid w:val="2A54310C"/>
    <w:rsid w:val="2A55433A"/>
    <w:rsid w:val="2A5E32CD"/>
    <w:rsid w:val="2A9C2048"/>
    <w:rsid w:val="2ADF3CE2"/>
    <w:rsid w:val="2B2966D6"/>
    <w:rsid w:val="2BA00689"/>
    <w:rsid w:val="2BF12C3E"/>
    <w:rsid w:val="2C077995"/>
    <w:rsid w:val="2C622E1D"/>
    <w:rsid w:val="2D522E91"/>
    <w:rsid w:val="2DA50311"/>
    <w:rsid w:val="2DF9330D"/>
    <w:rsid w:val="301937F3"/>
    <w:rsid w:val="314F3970"/>
    <w:rsid w:val="330C3DDF"/>
    <w:rsid w:val="33323549"/>
    <w:rsid w:val="33355325"/>
    <w:rsid w:val="33BF7A97"/>
    <w:rsid w:val="33EF4F96"/>
    <w:rsid w:val="353F4ED6"/>
    <w:rsid w:val="3626305B"/>
    <w:rsid w:val="376C23BC"/>
    <w:rsid w:val="3773054F"/>
    <w:rsid w:val="38C34C43"/>
    <w:rsid w:val="396E4BAF"/>
    <w:rsid w:val="399F5BF2"/>
    <w:rsid w:val="39D76BF8"/>
    <w:rsid w:val="3A541FF7"/>
    <w:rsid w:val="3A736BFA"/>
    <w:rsid w:val="3ADE3FB6"/>
    <w:rsid w:val="3BC20118"/>
    <w:rsid w:val="3D1617E6"/>
    <w:rsid w:val="3DB34524"/>
    <w:rsid w:val="3E673147"/>
    <w:rsid w:val="3F2006FA"/>
    <w:rsid w:val="40622AED"/>
    <w:rsid w:val="41083B3B"/>
    <w:rsid w:val="4205007B"/>
    <w:rsid w:val="436808C1"/>
    <w:rsid w:val="43845143"/>
    <w:rsid w:val="438B08B5"/>
    <w:rsid w:val="43DC6218"/>
    <w:rsid w:val="44C23E37"/>
    <w:rsid w:val="45E561F9"/>
    <w:rsid w:val="466E139A"/>
    <w:rsid w:val="46752F47"/>
    <w:rsid w:val="46D22C21"/>
    <w:rsid w:val="46DA1AD6"/>
    <w:rsid w:val="46DE4824"/>
    <w:rsid w:val="480C5CBF"/>
    <w:rsid w:val="48934632"/>
    <w:rsid w:val="48C60564"/>
    <w:rsid w:val="49157C69"/>
    <w:rsid w:val="49724248"/>
    <w:rsid w:val="4A5072C4"/>
    <w:rsid w:val="4BE64226"/>
    <w:rsid w:val="4C261319"/>
    <w:rsid w:val="4CEC2563"/>
    <w:rsid w:val="4D183358"/>
    <w:rsid w:val="4EAA7FE0"/>
    <w:rsid w:val="4EFF4B6B"/>
    <w:rsid w:val="4F1162B1"/>
    <w:rsid w:val="506E3F2C"/>
    <w:rsid w:val="507704C5"/>
    <w:rsid w:val="50EE4AFC"/>
    <w:rsid w:val="50F92314"/>
    <w:rsid w:val="516A5AB7"/>
    <w:rsid w:val="529769A0"/>
    <w:rsid w:val="52B4142D"/>
    <w:rsid w:val="530E3233"/>
    <w:rsid w:val="54DA4646"/>
    <w:rsid w:val="54E63D3C"/>
    <w:rsid w:val="562E599A"/>
    <w:rsid w:val="56335624"/>
    <w:rsid w:val="56821842"/>
    <w:rsid w:val="56E542AB"/>
    <w:rsid w:val="56E97A1E"/>
    <w:rsid w:val="587C0C3F"/>
    <w:rsid w:val="58BD754D"/>
    <w:rsid w:val="58FC58DC"/>
    <w:rsid w:val="59122607"/>
    <w:rsid w:val="5AE24555"/>
    <w:rsid w:val="5BBC5376"/>
    <w:rsid w:val="5C204225"/>
    <w:rsid w:val="5C943CEB"/>
    <w:rsid w:val="5C946EE9"/>
    <w:rsid w:val="5CA31420"/>
    <w:rsid w:val="5DAF4A56"/>
    <w:rsid w:val="5FB8156D"/>
    <w:rsid w:val="5FF4555F"/>
    <w:rsid w:val="610E2650"/>
    <w:rsid w:val="612605C3"/>
    <w:rsid w:val="62BB6808"/>
    <w:rsid w:val="65A4210E"/>
    <w:rsid w:val="663042DF"/>
    <w:rsid w:val="684145EE"/>
    <w:rsid w:val="6AAA1B9F"/>
    <w:rsid w:val="6BF54B38"/>
    <w:rsid w:val="6CB26586"/>
    <w:rsid w:val="6D7B106D"/>
    <w:rsid w:val="6F17200B"/>
    <w:rsid w:val="70183321"/>
    <w:rsid w:val="70D171F6"/>
    <w:rsid w:val="718D47B9"/>
    <w:rsid w:val="72F0605A"/>
    <w:rsid w:val="73D94D40"/>
    <w:rsid w:val="74C5185D"/>
    <w:rsid w:val="754D2299"/>
    <w:rsid w:val="76341608"/>
    <w:rsid w:val="7657019E"/>
    <w:rsid w:val="77446974"/>
    <w:rsid w:val="779A6594"/>
    <w:rsid w:val="77A862CC"/>
    <w:rsid w:val="78A85CB7"/>
    <w:rsid w:val="78D0234D"/>
    <w:rsid w:val="79626D42"/>
    <w:rsid w:val="79E81839"/>
    <w:rsid w:val="7B3A4316"/>
    <w:rsid w:val="7C8F243F"/>
    <w:rsid w:val="7CB6499D"/>
    <w:rsid w:val="7CF6426C"/>
    <w:rsid w:val="7D3905FD"/>
    <w:rsid w:val="7E5A7C2E"/>
    <w:rsid w:val="7F0A68E2"/>
    <w:rsid w:val="7F533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1"/>
    <w:pPr>
      <w:widowControl w:val="0"/>
      <w:autoSpaceDE w:val="0"/>
      <w:autoSpaceDN w:val="0"/>
    </w:pPr>
    <w:rPr>
      <w:rFonts w:ascii="方正仿宋_GBK" w:hAnsi="方正仿宋_GBK" w:eastAsia="方正仿宋_GBK" w:cs="方正仿宋_GBK"/>
      <w:sz w:val="22"/>
      <w:szCs w:val="22"/>
      <w:lang w:val="zh-CN" w:eastAsia="zh-CN" w:bidi="zh-CN"/>
    </w:rPr>
  </w:style>
  <w:style w:type="paragraph" w:styleId="2">
    <w:name w:val="heading 3"/>
    <w:basedOn w:val="1"/>
    <w:next w:val="1"/>
    <w:autoRedefine/>
    <w:unhideWhenUsed/>
    <w:qFormat/>
    <w:uiPriority w:val="9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customStyle="1" w:styleId="8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chart" Target="charts/chart3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4" Type="http://schemas.microsoft.com/office/2011/relationships/chartColorStyle" Target="colors1.xml"/><Relationship Id="rId3" Type="http://schemas.microsoft.com/office/2011/relationships/chartStyle" Target="style1.xml"/><Relationship Id="rId2" Type="http://schemas.openxmlformats.org/officeDocument/2006/relationships/themeOverride" Target="../theme/themeOverride1.xml"/><Relationship Id="rId1" Type="http://schemas.openxmlformats.org/officeDocument/2006/relationships/package" Target="../embeddings/Workbook1.xlsx"/></Relationships>
</file>

<file path=word/charts/_rels/chart2.xml.rels><?xml version="1.0" encoding="UTF-8" standalone="yes"?>
<Relationships xmlns="http://schemas.openxmlformats.org/package/2006/relationships"><Relationship Id="rId3" Type="http://schemas.microsoft.com/office/2011/relationships/chartColorStyle" Target="colors2.xml"/><Relationship Id="rId2" Type="http://schemas.microsoft.com/office/2011/relationships/chartStyle" Target="style2.xml"/><Relationship Id="rId1" Type="http://schemas.openxmlformats.org/officeDocument/2006/relationships/package" Target="../embeddings/Workbook3.xlsx"/></Relationships>
</file>

<file path=word/charts/_rels/chart3.xml.rels><?xml version="1.0" encoding="UTF-8" standalone="yes"?>
<Relationships xmlns="http://schemas.openxmlformats.org/package/2006/relationships"><Relationship Id="rId6" Type="http://schemas.openxmlformats.org/officeDocument/2006/relationships/image" Target="../media/image4.png"/><Relationship Id="rId5" Type="http://schemas.openxmlformats.org/officeDocument/2006/relationships/image" Target="../media/image3.png"/><Relationship Id="rId4" Type="http://schemas.openxmlformats.org/officeDocument/2006/relationships/image" Target="../media/image2.png"/><Relationship Id="rId3" Type="http://schemas.openxmlformats.org/officeDocument/2006/relationships/image" Target="../media/image1.png"/><Relationship Id="rId2" Type="http://schemas.openxmlformats.org/officeDocument/2006/relationships/themeOverride" Target="../theme/themeOverride2.xml"/><Relationship Id="rId1" Type="http://schemas.openxmlformats.org/officeDocument/2006/relationships/package" Target="../embeddings/Workbook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0" vertOverflow="ellipsis" vert="horz" wrap="square" anchor="ctr" anchorCtr="1" forceAA="0"/>
          <a:lstStyle/>
          <a:p>
            <a:pPr defTabSz="914400">
              <a:defRPr lang="zh-CN" sz="1400" b="0" i="0" u="none" strike="noStrike" kern="1200" spc="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t>政务公开新媒体发布</a:t>
            </a:r>
          </a:p>
        </c:rich>
      </c:tx>
      <c:layout>
        <c:manualLayout>
          <c:xMode val="edge"/>
          <c:yMode val="edge"/>
          <c:x val="0.34646049770476"/>
          <c:y val="0.0350616234594135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政务公开新媒体发布</c:v>
                </c:pt>
              </c:strCache>
            </c:strRef>
          </c:tx>
          <c:spPr>
            <a:ln w="25400">
              <a:solidFill>
                <a:schemeClr val="tx1"/>
              </a:solidFill>
            </a:ln>
            <a:sp3d contourW="25400"/>
          </c:spPr>
          <c:explosion val="0"/>
          <c:dPt>
            <c:idx val="0"/>
            <c:bubble3D val="0"/>
            <c:spPr>
              <a:pattFill prst="wdUpDiag">
                <a:fgClr>
                  <a:schemeClr val="accent1"/>
                </a:fgClr>
                <a:bgClr>
                  <a:schemeClr val="accent1">
                    <a:lumMod val="20000"/>
                    <a:lumOff val="80000"/>
                  </a:schemeClr>
                </a:bgClr>
              </a:pattFill>
              <a:ln w="25400">
                <a:solidFill>
                  <a:schemeClr val="accent1"/>
                </a:solidFill>
              </a:ln>
              <a:effectLst/>
              <a:sp3d contourW="25400"/>
            </c:spPr>
          </c:dPt>
          <c:dPt>
            <c:idx val="1"/>
            <c:bubble3D val="0"/>
            <c:explosion val="10"/>
            <c:spPr>
              <a:pattFill prst="wdUpDiag">
                <a:fgClr>
                  <a:schemeClr val="accent2"/>
                </a:fgClr>
                <a:bgClr>
                  <a:schemeClr val="accent2">
                    <a:lumMod val="20000"/>
                    <a:lumOff val="80000"/>
                  </a:schemeClr>
                </a:bgClr>
              </a:pattFill>
              <a:ln w="25400">
                <a:solidFill>
                  <a:schemeClr val="accent2"/>
                </a:solidFill>
              </a:ln>
              <a:effectLst/>
              <a:sp3d contourW="25400"/>
            </c:spPr>
          </c:dPt>
          <c:dPt>
            <c:idx val="2"/>
            <c:bubble3D val="0"/>
            <c:spPr>
              <a:pattFill prst="wdUpDiag">
                <a:fgClr>
                  <a:schemeClr val="accent3"/>
                </a:fgClr>
                <a:bgClr>
                  <a:schemeClr val="accent3">
                    <a:lumMod val="20000"/>
                    <a:lumOff val="80000"/>
                  </a:schemeClr>
                </a:bgClr>
              </a:pattFill>
              <a:ln w="25400">
                <a:solidFill>
                  <a:schemeClr val="accent3"/>
                </a:solidFill>
              </a:ln>
              <a:effectLst/>
              <a:sp3d contourW="25400"/>
            </c:spPr>
          </c:dPt>
          <c:dPt>
            <c:idx val="3"/>
            <c:bubble3D val="0"/>
            <c:spPr>
              <a:pattFill prst="wdUpDiag">
                <a:fgClr>
                  <a:schemeClr val="accent4"/>
                </a:fgClr>
                <a:bgClr>
                  <a:schemeClr val="accent4">
                    <a:lumMod val="20000"/>
                    <a:lumOff val="80000"/>
                  </a:schemeClr>
                </a:bgClr>
              </a:pattFill>
              <a:ln w="25400">
                <a:solidFill>
                  <a:schemeClr val="accent4"/>
                </a:solidFill>
              </a:ln>
              <a:effectLst/>
              <a:sp3d contourW="25400"/>
            </c:spPr>
          </c:dPt>
          <c:dPt>
            <c:idx val="4"/>
            <c:bubble3D val="0"/>
            <c:spPr>
              <a:pattFill prst="wdUpDiag">
                <a:fgClr>
                  <a:schemeClr val="accent5"/>
                </a:fgClr>
                <a:bgClr>
                  <a:schemeClr val="accent5">
                    <a:lumMod val="20000"/>
                    <a:lumOff val="80000"/>
                  </a:schemeClr>
                </a:bgClr>
              </a:pattFill>
              <a:ln w="25400">
                <a:solidFill>
                  <a:schemeClr val="accent5"/>
                </a:solidFill>
              </a:ln>
              <a:effectLst/>
              <a:sp3d contourW="25400"/>
            </c:spPr>
          </c:dPt>
          <c:dPt>
            <c:idx val="5"/>
            <c:bubble3D val="0"/>
            <c:spPr>
              <a:pattFill prst="wdUpDiag">
                <a:fgClr>
                  <a:schemeClr val="accent6"/>
                </a:fgClr>
                <a:bgClr>
                  <a:schemeClr val="accent6">
                    <a:lumMod val="20000"/>
                    <a:lumOff val="80000"/>
                  </a:schemeClr>
                </a:bgClr>
              </a:pattFill>
              <a:ln w="25400">
                <a:solidFill>
                  <a:schemeClr val="accent6"/>
                </a:solidFill>
              </a:ln>
              <a:effectLst/>
              <a:sp3d contourW="25400"/>
            </c:spPr>
          </c:dPt>
          <c:dLbls>
            <c:dLbl>
              <c:idx val="0"/>
              <c:layout/>
              <c:numFmt formatCode="General" sourceLinked="1"/>
              <c:spPr>
                <a:solidFill>
                  <a:schemeClr val="lt1"/>
                </a:solidFill>
                <a:ln w="12700">
                  <a:solidFill>
                    <a:schemeClr val="accent1"/>
                  </a:solidFill>
                </a:ln>
                <a:effectLst/>
              </c:spPr>
              <c:txPr>
                <a:bodyPr rot="0" spcFirstLastPara="0" vertOverflow="clip" horzOverflow="clip" vert="horz" wrap="square" lIns="36576" tIns="18288" rIns="36576" bIns="18288" anchor="ctr" anchorCtr="1" forceAA="0">
                  <a:spAutoFit/>
                </a:bodyPr>
                <a:lstStyle/>
                <a:p>
                  <a:pPr>
                    <a:defRPr lang="zh-CN" sz="1200" b="1" i="0" u="none" strike="noStrike" kern="120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inEnd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/>
              <c:numFmt formatCode="General" sourceLinked="1"/>
              <c:spPr>
                <a:solidFill>
                  <a:schemeClr val="lt1"/>
                </a:solidFill>
                <a:ln w="12700">
                  <a:solidFill>
                    <a:schemeClr val="accent2"/>
                  </a:solidFill>
                </a:ln>
                <a:effectLst/>
              </c:spPr>
              <c:txPr>
                <a:bodyPr rot="0" spcFirstLastPara="0" vertOverflow="clip" horzOverflow="clip" vert="horz" wrap="square" lIns="36576" tIns="18288" rIns="36576" bIns="18288" anchor="ctr" anchorCtr="1" forceAA="0">
                  <a:spAutoFit/>
                </a:bodyPr>
                <a:lstStyle/>
                <a:p>
                  <a:pPr>
                    <a:defRPr lang="zh-CN" sz="1200" b="1" i="0" u="none" strike="noStrike" kern="1200" baseline="0">
                      <a:solidFill>
                        <a:schemeClr val="accent2"/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inEnd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/>
              <c:numFmt formatCode="General" sourceLinked="1"/>
              <c:spPr>
                <a:solidFill>
                  <a:schemeClr val="lt1"/>
                </a:solidFill>
                <a:ln w="12700">
                  <a:solidFill>
                    <a:schemeClr val="accent3"/>
                  </a:solidFill>
                </a:ln>
                <a:effectLst/>
              </c:spPr>
              <c:txPr>
                <a:bodyPr rot="0" spcFirstLastPara="0" vertOverflow="clip" horzOverflow="clip" vert="horz" wrap="square" lIns="36576" tIns="18288" rIns="36576" bIns="18288" anchor="ctr" anchorCtr="1" forceAA="0">
                  <a:spAutoFit/>
                </a:bodyPr>
                <a:lstStyle/>
                <a:p>
                  <a:pPr>
                    <a:defRPr lang="zh-CN" sz="1200" b="1" i="0" u="none" strike="noStrike" kern="1200" baseline="0">
                      <a:solidFill>
                        <a:schemeClr val="accent3"/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inEnd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/>
              <c:numFmt formatCode="General" sourceLinked="1"/>
              <c:spPr>
                <a:solidFill>
                  <a:schemeClr val="lt1"/>
                </a:solidFill>
                <a:ln w="12700">
                  <a:solidFill>
                    <a:schemeClr val="accent4"/>
                  </a:solidFill>
                </a:ln>
                <a:effectLst/>
              </c:spPr>
              <c:txPr>
                <a:bodyPr rot="0" spcFirstLastPara="0" vertOverflow="clip" horzOverflow="clip" vert="horz" wrap="square" lIns="36576" tIns="18288" rIns="36576" bIns="18288" anchor="ctr" anchorCtr="1" forceAA="0">
                  <a:spAutoFit/>
                </a:bodyPr>
                <a:lstStyle/>
                <a:p>
                  <a:pPr>
                    <a:defRPr lang="zh-CN" sz="1200" b="1" i="0" u="none" strike="noStrike" kern="1200" baseline="0">
                      <a:solidFill>
                        <a:schemeClr val="accent4"/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inEnd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numFmt formatCode="General" sourceLinked="1"/>
            <c:spPr>
              <a:solidFill>
                <a:schemeClr val="lt1"/>
              </a:solidFill>
              <a:ln w="12700">
                <a:solidFill>
                  <a:schemeClr val="dk1">
                    <a:lumMod val="25000"/>
                    <a:lumOff val="75000"/>
                  </a:schemeClr>
                </a:solidFill>
              </a:ln>
              <a:effectLst/>
            </c:spPr>
            <c:txPr>
              <a:bodyPr rot="0" spcFirstLastPara="0" vertOverflow="clip" horzOverflow="clip" vert="horz" wrap="square" lIns="36576" tIns="18288" rIns="36576" bIns="18288" anchor="ctr" anchorCtr="1" forceAA="0">
                <a:spAutoFit/>
              </a:bodyPr>
              <a:lstStyle/>
              <a:p>
                <a:pPr>
                  <a:defRPr lang="zh-CN" sz="12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oundRect">
                    <a:avLst/>
                  </a:prstGeom>
                  <a:noFill/>
                  <a:ln>
                    <a:noFill/>
                  </a:ln>
                </c15:spPr>
                <c15:layout/>
                <c15:showLeaderLines val="0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Sheet1!$A$2:$A$7</c:f>
              <c:strCache>
                <c:ptCount val="6"/>
                <c:pt idx="0">
                  <c:v>省市级媒体客户端刊发</c:v>
                </c:pt>
                <c:pt idx="1">
                  <c:v>淄博城市管理公众号推送</c:v>
                </c:pt>
                <c:pt idx="2">
                  <c:v>县级媒体推送</c:v>
                </c:pt>
                <c:pt idx="3">
                  <c:v>沂源政务信息采用</c:v>
                </c:pt>
                <c:pt idx="4">
                  <c:v>沂源城市管理公众号推送</c:v>
                </c:pt>
                <c:pt idx="5">
                  <c:v>沂源城市管理视频号、抖音号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12</c:v>
                </c:pt>
                <c:pt idx="1">
                  <c:v>63</c:v>
                </c:pt>
                <c:pt idx="2">
                  <c:v>32</c:v>
                </c:pt>
                <c:pt idx="3">
                  <c:v>12</c:v>
                </c:pt>
                <c:pt idx="4">
                  <c:v>144</c:v>
                </c:pt>
                <c:pt idx="5">
                  <c:v>60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  <c:firstSliceAng val="332"/>
      </c:pieChart>
      <c:spPr>
        <a:noFill/>
        <a:ln>
          <a:noFill/>
        </a:ln>
        <a:effectLst/>
      </c:spPr>
    </c:plotArea>
    <c:legend>
      <c:legendPos val="r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 forceAA="0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  <c:extLst>
      <c:ext uri="{0b15fc19-7d7d-44ad-8c2d-2c3a37ce22c3}">
        <chartProps xmlns="https://web.wps.cn/et/2018/main" chartId="{8e4b4831-b08d-42dc-815d-a82b95789b13}"/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>
      <a:outerShdw blurRad="63500" dist="37357" dir="2700000" sx="0" sy="0" rotWithShape="0">
        <a:scrgbClr r="0" g="0" b="0"/>
      </a:outerShdw>
    </a:effectLst>
  </c:spPr>
  <c:txPr>
    <a:bodyPr/>
    <a:lstStyle/>
    <a:p>
      <a:pPr>
        <a:defRPr lang="zh-CN" sz="1000" b="0"/>
      </a:pPr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342474027542885"/>
          <c:y val="0.0286867828304292"/>
        </c:manualLayout>
      </c:layout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1400" b="1" i="0" u="none" strike="noStrike" kern="1200" baseline="0">
              <a:solidFill>
                <a:schemeClr val="tx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政务公开网站发布</c:v>
                </c:pt>
              </c:strCache>
            </c:strRef>
          </c:tx>
          <c:spPr/>
          <c:explosion val="0"/>
          <c:dPt>
            <c:idx val="0"/>
            <c:bubble3D val="0"/>
            <c:spPr>
              <a:solidFill>
                <a:schemeClr val="accent1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4"/>
            <c:bubble3D val="0"/>
            <c:spPr>
              <a:solidFill>
                <a:schemeClr val="accent5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5"/>
            <c:bubble3D val="0"/>
            <c:spPr>
              <a:solidFill>
                <a:schemeClr val="accent6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>
                <a:solidFill>
                  <a:schemeClr val="bg1"/>
                </a:solidFill>
              </a:ln>
              <a:effectLst/>
            </c:spPr>
          </c:dPt>
          <c:dLbls>
            <c:delete val="1"/>
          </c:dLbls>
          <c:cat>
            <c:strRef>
              <c:f>Sheet1!$A$2:$A$12</c:f>
              <c:strCache>
                <c:ptCount val="11"/>
                <c:pt idx="0">
                  <c:v>政策法规</c:v>
                </c:pt>
                <c:pt idx="1">
                  <c:v>部门会议及解读</c:v>
                </c:pt>
                <c:pt idx="2">
                  <c:v>污染防治</c:v>
                </c:pt>
                <c:pt idx="3">
                  <c:v>建议提案办理</c:v>
                </c:pt>
                <c:pt idx="4">
                  <c:v>财政信息</c:v>
                </c:pt>
                <c:pt idx="5">
                  <c:v>管理和服务公开</c:v>
                </c:pt>
                <c:pt idx="6">
                  <c:v>双随机一公开</c:v>
                </c:pt>
                <c:pt idx="7">
                  <c:v>政务公开组织领导</c:v>
                </c:pt>
                <c:pt idx="8">
                  <c:v>信息公开指南</c:v>
                </c:pt>
                <c:pt idx="9">
                  <c:v>信息公开年度报告</c:v>
                </c:pt>
                <c:pt idx="10">
                  <c:v>法制建设专栏</c:v>
                </c:pt>
              </c:strCache>
            </c:strRef>
          </c:cat>
          <c:val>
            <c:numRef>
              <c:f>Sheet1!$B$2:$B$12</c:f>
              <c:numCache>
                <c:formatCode>General</c:formatCode>
                <c:ptCount val="11"/>
                <c:pt idx="0">
                  <c:v>7</c:v>
                </c:pt>
                <c:pt idx="1">
                  <c:v>4</c:v>
                </c:pt>
                <c:pt idx="2">
                  <c:v>13</c:v>
                </c:pt>
                <c:pt idx="3">
                  <c:v>21</c:v>
                </c:pt>
                <c:pt idx="4">
                  <c:v>4</c:v>
                </c:pt>
                <c:pt idx="5">
                  <c:v>24</c:v>
                </c:pt>
                <c:pt idx="6">
                  <c:v>10</c:v>
                </c:pt>
                <c:pt idx="7">
                  <c:v>2</c:v>
                </c:pt>
                <c:pt idx="8">
                  <c:v>1</c:v>
                </c:pt>
                <c:pt idx="9">
                  <c:v>1</c:v>
                </c:pt>
                <c:pt idx="10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  <c:extLst>
      <c:ext uri="{0b15fc19-7d7d-44ad-8c2d-2c3a37ce22c3}">
        <chartProps xmlns="https://web.wps.cn/et/2018/main" chartId="{884a563f-c7cc-4912-9e98-979e039a4ca3}"/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0" vertOverflow="ellipsis" vert="horz" wrap="square" anchor="ctr" anchorCtr="1" forceAA="0"/>
          <a:lstStyle/>
          <a:p>
            <a:pPr defTabSz="914400">
              <a:defRPr lang="zh-CN"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微软雅黑" panose="020B0503020204020204" charset="-122"/>
                <a:ea typeface="微软雅黑" panose="020B0503020204020204" charset="-122"/>
                <a:cs typeface="微软雅黑" panose="020B0503020204020204" charset="-122"/>
                <a:sym typeface="微软雅黑" panose="020B0503020204020204" charset="-122"/>
              </a:defRPr>
            </a:pPr>
            <a:r>
              <a:t>依申请公开数量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2"/>
          <c:order val="0"/>
          <c:tx>
            <c:strRef>
              <c:f>Sheet1!$D$1</c:f>
              <c:strCache>
                <c:ptCount val="1"/>
                <c:pt idx="0">
                  <c:v>系列 3</c:v>
                </c:pt>
              </c:strCache>
            </c:strRef>
          </c:tx>
          <c:spPr>
            <a:blipFill rotWithShape="1">
              <a:blip xmlns:r="http://schemas.openxmlformats.org/officeDocument/2006/relationships" r:embed="rId3"/>
              <a:stretch>
                <a:fillRect/>
              </a:stretch>
            </a:blipFill>
            <a:ln>
              <a:noFill/>
            </a:ln>
            <a:effectLst>
              <a:outerShdw blurRad="76200" dir="2400000" sy="23000" kx="-1200000" algn="bl" rotWithShape="0">
                <a:schemeClr val="bg1">
                  <a:lumMod val="50000"/>
                  <a:alpha val="20000"/>
                </a:schemeClr>
              </a:outerShdw>
            </a:effectLst>
          </c:spPr>
          <c:invertIfNegative val="0"/>
          <c:dPt>
            <c:idx val="0"/>
            <c:invertIfNegative val="0"/>
            <c:bubble3D val="0"/>
            <c:spPr>
              <a:blipFill rotWithShape="1">
                <a:blip xmlns:r="http://schemas.openxmlformats.org/officeDocument/2006/relationships" r:embed="rId4"/>
                <a:stretch>
                  <a:fillRect/>
                </a:stretch>
              </a:blipFill>
              <a:ln>
                <a:noFill/>
              </a:ln>
              <a:effectLst>
                <a:outerShdw blurRad="76200" dir="2400000" sy="23000" kx="-1200000" algn="bl" rotWithShape="0">
                  <a:schemeClr val="bg1">
                    <a:lumMod val="50000"/>
                    <a:alpha val="20000"/>
                  </a:schemeClr>
                </a:outerShdw>
              </a:effectLst>
            </c:spPr>
          </c:dPt>
          <c:dPt>
            <c:idx val="1"/>
            <c:invertIfNegative val="0"/>
            <c:bubble3D val="0"/>
            <c:spPr>
              <a:blipFill rotWithShape="1">
                <a:blip xmlns:r="http://schemas.openxmlformats.org/officeDocument/2006/relationships" r:embed="rId5"/>
                <a:stretch>
                  <a:fillRect/>
                </a:stretch>
              </a:blipFill>
              <a:ln>
                <a:noFill/>
              </a:ln>
              <a:effectLst>
                <a:outerShdw blurRad="76200" dir="2400000" sy="23000" kx="-1200000" algn="bl" rotWithShape="0">
                  <a:schemeClr val="bg1">
                    <a:lumMod val="50000"/>
                    <a:alpha val="20000"/>
                  </a:schemeClr>
                </a:outerShdw>
              </a:effectLst>
            </c:spPr>
          </c:dPt>
          <c:dPt>
            <c:idx val="2"/>
            <c:invertIfNegative val="0"/>
            <c:bubble3D val="0"/>
            <c:spPr>
              <a:blipFill rotWithShape="1">
                <a:blip xmlns:r="http://schemas.openxmlformats.org/officeDocument/2006/relationships" r:embed="rId6"/>
                <a:stretch>
                  <a:fillRect/>
                </a:stretch>
              </a:blipFill>
              <a:ln>
                <a:noFill/>
              </a:ln>
              <a:effectLst>
                <a:outerShdw blurRad="76200" dir="2400000" sy="23000" kx="-1200000" algn="bl" rotWithShape="0">
                  <a:schemeClr val="bg1">
                    <a:lumMod val="50000"/>
                    <a:alpha val="20000"/>
                  </a:schemeClr>
                </a:outerShdw>
              </a:effectLst>
            </c:spPr>
          </c:dPt>
          <c:dLbls>
            <c:dLbl>
              <c:idx val="0"/>
              <c:delete val="1"/>
            </c:dLbl>
            <c:dLbl>
              <c:idx val="1"/>
              <c:delete val="1"/>
            </c:dLbl>
            <c:dLbl>
              <c:idx val="2"/>
              <c:delete val="1"/>
            </c:dLbl>
            <c:numFmt formatCode="General" sourceLinked="1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Sheet1!$A$3:$A$5</c:f>
              <c:strCache>
                <c:ptCount val="3"/>
                <c:pt idx="0">
                  <c:v>2022年</c:v>
                </c:pt>
                <c:pt idx="1">
                  <c:v>2023年</c:v>
                </c:pt>
                <c:pt idx="2">
                  <c:v>2024年</c:v>
                </c:pt>
              </c:strCache>
            </c:strRef>
          </c:cat>
          <c:val>
            <c:numRef>
              <c:f>Sheet1!$D$3:$D$5</c:f>
              <c:numCache>
                <c:formatCode>General</c:formatCode>
                <c:ptCount val="3"/>
                <c:pt idx="0">
                  <c:v>1</c:v>
                </c:pt>
                <c:pt idx="1">
                  <c:v>3</c:v>
                </c:pt>
                <c:pt idx="2">
                  <c:v>3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0"/>
        <c:axId val="750413960"/>
        <c:axId val="560794264"/>
      </c:barChart>
      <c:catAx>
        <c:axId val="7504139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noFill/>
            <a:prstDash val="solid"/>
            <a:round/>
          </a:ln>
          <a:effectLst/>
        </c:spPr>
        <c:txPr>
          <a:bodyPr rot="-60000000" spcFirstLastPara="0" vertOverflow="ellipsis" vert="horz" wrap="square" anchor="ctr" anchorCtr="1" forceAA="0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微软雅黑" panose="020B0503020204020204" charset="-122"/>
                <a:ea typeface="微软雅黑" panose="020B0503020204020204" charset="-122"/>
                <a:cs typeface="微软雅黑" panose="020B0503020204020204" charset="-122"/>
                <a:sym typeface="微软雅黑" panose="020B0503020204020204" charset="-122"/>
              </a:defRPr>
            </a:pPr>
          </a:p>
        </c:txPr>
        <c:crossAx val="560794264"/>
        <c:crosses val="autoZero"/>
        <c:auto val="1"/>
        <c:lblAlgn val="ctr"/>
        <c:lblOffset val="100"/>
        <c:noMultiLvlLbl val="0"/>
      </c:catAx>
      <c:valAx>
        <c:axId val="560794264"/>
        <c:scaling>
          <c:orientation val="minMax"/>
          <c:max val="4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prstDash val="solid"/>
              <a:round/>
            </a:ln>
            <a:effectLst/>
          </c:spPr>
        </c:majorGridlines>
        <c:title>
          <c:layout/>
          <c:overlay val="0"/>
          <c:spPr>
            <a:noFill/>
            <a:ln>
              <a:noFill/>
            </a:ln>
            <a:effectLst/>
          </c:spPr>
          <c:tx>
            <c:rich>
              <a:bodyPr/>
              <a:lstStyle/>
              <a:p>
                <a:pPr>
                  <a:defRPr/>
                </a:pPr>
              </a:p>
            </c:rich>
          </c:tx>
        </c:title>
        <c:numFmt formatCode="General" sourceLinked="1"/>
        <c:majorTickMark val="none"/>
        <c:minorTickMark val="none"/>
        <c:tickLblPos val="nextTo"/>
        <c:spPr>
          <a:noFill/>
          <a:ln w="6350" cap="flat" cmpd="sng" algn="ctr">
            <a:noFill/>
            <a:prstDash val="solid"/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750413960"/>
        <c:crosses val="autoZero"/>
        <c:crossBetween val="between"/>
        <c:majorUnit val="1"/>
        <c:minorUnit val="1"/>
      </c:valAx>
      <c:spPr>
        <a:noFill/>
        <a:ln w="3175">
          <a:solidFill>
            <a:schemeClr val="bg1">
              <a:lumMod val="95000"/>
            </a:schemeClr>
          </a:solidFill>
        </a:ln>
        <a:effectLst/>
      </c:spPr>
    </c:plotArea>
    <c:plotVisOnly val="1"/>
    <c:dispBlanksAs val="gap"/>
    <c:showDLblsOverMax val="0"/>
    <c:extLst>
      <c:ext uri="{0b15fc19-7d7d-44ad-8c2d-2c3a37ce22c3}">
        <chartProps xmlns="https://web.wps.cn/et/2018/main" chartId="{fbbadccd-e4ae-4f28-95e6-c83c6b80134e}"/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prstDash val="solid"/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1008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1">
      <cs:styleClr val="auto"/>
    </cs:fillRef>
    <cs:effectRef idx="0"/>
    <cs:fontRef idx="minor">
      <a:schemeClr val="dk1"/>
    </cs:fontRef>
    <cs:spPr>
      <a:ln>
        <a:solidFill>
          <a:schemeClr val="bg1"/>
        </a:solidFill>
      </a:ln>
      <a:effectLst/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word/theme/themeOverride1.xml><?xml version="1.0" encoding="utf-8"?>
<a:themeOverride xmlns:a="http://schemas.openxmlformats.org/drawingml/2006/main">
  <a:clrScheme name="自定义 19">
    <a:dk1>
      <a:srgbClr val="000000"/>
    </a:dk1>
    <a:lt1>
      <a:srgbClr val="FFFFFF"/>
    </a:lt1>
    <a:dk2>
      <a:srgbClr val="0C0E1F"/>
    </a:dk2>
    <a:lt2>
      <a:srgbClr val="FEFFFF"/>
    </a:lt2>
    <a:accent1>
      <a:srgbClr val="FEB348"/>
    </a:accent1>
    <a:accent2>
      <a:srgbClr val="FE7B48"/>
    </a:accent2>
    <a:accent3>
      <a:srgbClr val="5FB6FF"/>
    </a:accent3>
    <a:accent4>
      <a:srgbClr val="F08BB4"/>
    </a:accent4>
    <a:accent5>
      <a:srgbClr val="4165FF"/>
    </a:accent5>
    <a:accent6>
      <a:srgbClr val="48C8AC"/>
    </a:accent6>
    <a:hlink>
      <a:srgbClr val="304FFE"/>
    </a:hlink>
    <a:folHlink>
      <a:srgbClr val="492067"/>
    </a:folHlink>
  </a:clrScheme>
  <a:fontScheme name="自定义 2">
    <a:majorFont>
      <a:latin typeface="微软雅黑"/>
      <a:ea typeface="微软雅黑"/>
      <a:cs typeface=""/>
    </a:majorFont>
    <a:minorFont>
      <a:latin typeface="微软雅黑"/>
      <a:ea typeface="微软雅黑"/>
      <a:cs typeface="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2662</Words>
  <Characters>2779</Characters>
  <Lines>0</Lines>
  <Paragraphs>0</Paragraphs>
  <TotalTime>18</TotalTime>
  <ScaleCrop>false</ScaleCrop>
  <LinksUpToDate>false</LinksUpToDate>
  <CharactersWithSpaces>2808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2023-01-16T07:23:00Z</dcterms:created>
  <dc:creator>Administrator</dc:creator>
  <cp:lastModifiedBy>然</cp:lastModifiedBy>
  <dcterms:modified xsi:type="dcterms:W3CDTF">2025-01-16T02:25:17Z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A419EC7B70C043FE8D2B7D152A069154_13</vt:lpwstr>
  </property>
  <property fmtid="{D5CDD505-2E9C-101B-9397-08002B2CF9AE}" pid="4" name="KSOTemplateDocerSaveRecord">
    <vt:lpwstr>eyJoZGlkIjoiMDg3MzYzZGZmMmU1ZDJkOGRjNDAxZmVhMmZjNGU0Y2IiLCJ1c2VySWQiOiIyMDY3MzEzMjIifQ==</vt:lpwstr>
  </property>
</Properties>
</file>