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sz w:val="44"/>
          <w:szCs w:val="44"/>
          <w:shd w:val="clear" w:color="auto" w:fill="FFFFFF"/>
          <w:lang w:val="en-US" w:eastAsia="zh-CN"/>
        </w:rPr>
      </w:pPr>
      <w:r>
        <w:rPr>
          <w:rFonts w:hint="eastAsia" w:ascii="Times New Roman" w:hAnsi="Times New Roman" w:eastAsia="方正小标宋简体" w:cs="Times New Roman"/>
          <w:b w:val="0"/>
          <w:bCs/>
          <w:sz w:val="44"/>
          <w:szCs w:val="44"/>
          <w:shd w:val="clear" w:color="auto" w:fill="FFFFFF"/>
          <w:lang w:val="en-US" w:eastAsia="zh-CN"/>
        </w:rPr>
        <w:t>沂源县住房和城乡建设局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sz w:val="44"/>
          <w:szCs w:val="44"/>
          <w:shd w:val="clear" w:color="auto" w:fill="FFFFFF"/>
          <w:lang w:val="en-US" w:eastAsia="zh-CN"/>
        </w:rPr>
      </w:pPr>
      <w:r>
        <w:rPr>
          <w:rFonts w:hint="eastAsia" w:ascii="Times New Roman" w:hAnsi="Times New Roman" w:eastAsia="方正小标宋简体" w:cs="Times New Roman"/>
          <w:b w:val="0"/>
          <w:bCs/>
          <w:sz w:val="44"/>
          <w:szCs w:val="44"/>
          <w:shd w:val="clear" w:color="auto" w:fill="FFFFFF"/>
          <w:lang w:val="en-US" w:eastAsia="zh-CN"/>
        </w:rPr>
        <w:t>2023年政府信息公开工作年度报告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Style w:val="6"/>
          <w:rFonts w:hint="eastAsia" w:ascii="仿宋_GB2312" w:eastAsia="仿宋_GB2312" w:cs="仿宋_GB2312"/>
          <w:b w:val="0"/>
          <w:bCs/>
          <w:caps w:val="0"/>
          <w:color w:val="000000"/>
          <w:spacing w:val="0"/>
          <w:sz w:val="32"/>
          <w:szCs w:val="32"/>
        </w:rPr>
      </w:pP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本报告中所列数据的统计期限为2023年1月1日起，至2023年12月31日止。如对报告内容有疑问，请与沂源县住房和城乡建设局联系</w:t>
      </w:r>
      <w:r>
        <w:rPr>
          <w:rStyle w:val="6"/>
          <w:rFonts w:hint="eastAsia" w:ascii="仿宋_GB2312" w:eastAsia="仿宋_GB2312" w:cs="仿宋_GB2312"/>
          <w:b w:val="0"/>
          <w:bCs/>
          <w:caps w:val="0"/>
          <w:color w:val="000000"/>
          <w:spacing w:val="0"/>
          <w:sz w:val="32"/>
          <w:szCs w:val="32"/>
          <w:lang w:val="en-US" w:eastAsia="zh-CN"/>
        </w:rPr>
        <w:t>（地址：沂源县振兴路西首南麻街道办公楼413；邮编：256120；电话：0533-3221617；邮箱：yyxzjj2018@zb.shandong.cn）</w:t>
      </w:r>
      <w:r>
        <w:rPr>
          <w:rFonts w:hint="eastAsia" w:ascii="仿宋_GB2312" w:hAnsi="仿宋_GB2312" w:eastAsia="仿宋_GB2312" w:cs="仿宋_GB2312"/>
          <w:sz w:val="32"/>
          <w:szCs w:val="32"/>
          <w:lang w:val="en-US" w:eastAsia="zh-CN"/>
        </w:rPr>
        <w:t>。</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今年以来，县住建局不断健全政府信息公开工作机制，配强工作力量，聚焦聚力做好政府信息公开公开工作，明确工作职责，狠抓工作落实，加强沟通配合，强化协调调度，将政府信息公开工作纵深推进。</w:t>
      </w:r>
    </w:p>
    <w:p>
      <w:pPr>
        <w:keepNext w:val="0"/>
        <w:keepLines w:val="0"/>
        <w:pageBreakBefore w:val="0"/>
        <w:numPr>
          <w:ilvl w:val="0"/>
          <w:numId w:val="2"/>
        </w:numPr>
        <w:kinsoku/>
        <w:wordWrap/>
        <w:overflowPunct/>
        <w:topLinePunct w:val="0"/>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主动公开内容</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12月31日，通过多种形式累计公开信息773条，其中，通过县政府官方网站发布信息294条，其中政策法规信息24条，公共资源配置34条，重要部署执行公开信息43条，行政执法信息18条，“双随机、一公开”信息21条，公共企事业单位信息57条，法治建设信息10条，其他类信息87条，具体详见附图；“沂源住建”微信公众号发布信息278条，在人民日报、光明日报、农民日报、大众网、沂源融媒等媒体共发布信息201条。</w:t>
      </w:r>
    </w:p>
    <w:p>
      <w:pPr>
        <w:numPr>
          <w:ilvl w:val="0"/>
          <w:numId w:val="0"/>
        </w:numPr>
      </w:pPr>
      <w:r>
        <w:drawing>
          <wp:inline distT="0" distB="0" distL="114300" distR="114300">
            <wp:extent cx="4826000" cy="2743200"/>
            <wp:effectExtent l="4445" t="4445" r="8255" b="52705"/>
            <wp:docPr id="3" name="图表 2" descr="7b0a202020202263686172745265734964223a202232303437363132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2023年共受理政府信息公开申请共10件，比去年增长8件，涉及施工许可证、商品房网签面积、商品房网签套数、物业管理等方面，均依法依规按时做好答复，无收费情况。</w:t>
      </w:r>
    </w:p>
    <w:p>
      <w:pPr>
        <w:numPr>
          <w:ilvl w:val="0"/>
          <w:numId w:val="0"/>
        </w:numPr>
        <w:ind w:leftChars="0"/>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实际，及时更新调整政务公开工作领导小组，强化组织领导，明确职责分工，压实政府信息公开工作责任。及时更新各栏目信息，做到工作开展到哪里，政府信息公开跟进到哪里，实现以公开促落实，以公开助推进，增强政府部门工作透明性。强化规范性文件管理，做好规范性文件发布及清理工作，通过政府网站对规范性文件公开征求意见，拓宽公众参与规范性文件制定、修改渠道。加大政府信息公开力度，以满足公众需求为导向，提高企业便利化水平，围绕涉及广大人民群众切身利益的信息，做好信息公示公开，强化人才公寓建设、租赁补贴、惠民政策、公共企事业信息公开力度，实现信息精准推送，促进政府部门工作公平公正。健全保密审查机制，以审慎发布原则，做好信息审核把关，确保发布信息权威性、正确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政府门户网站各栏目建设，及时更新栏目信息，拓展主动公开内容和深度，突出对道路和污水管网建设项目建设等重点建设项目的批准和实施信息公开力度。完善政务新媒体建设，用好“沂源住建”，增强政府信息公开及时性和便捷性。加强与官方媒体沟通联系，积极投稿，多渠道、广维度、有力度做好政府信息公开工作，加大城建重点项目、重点工程、重点工作宣传力度，形成良好环境氛围，传播正能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协调调度，定期督促各科室做好政府信息发布工作，组织召开政务公开工作推进会，分析研究，推动落实。印发了《沂源县住建局2023年政务公开工作方案》。成立由主要负责人任组长，分管负责人任副组长，各科室负责人为成员的政务公开工作领导小组，配强力量。组织政务公开培训2次，深入学习《中华人民共和国政府信息公开条例》及政务公开工作文件内容，提高思想认识，提升业务能力，不断提高政务公开工作质量和效率。</w:t>
      </w:r>
    </w:p>
    <w:p>
      <w:pPr>
        <w:pStyle w:val="3"/>
        <w:keepNext w:val="0"/>
        <w:keepLines w:val="0"/>
        <w:widowControl/>
        <w:suppressLineNumbers w:val="0"/>
        <w:autoSpaceDE w:val="0"/>
        <w:autoSpaceDN/>
        <w:spacing w:before="0" w:beforeAutospacing="0" w:after="0" w:afterAutospacing="0" w:line="560" w:lineRule="atLeast"/>
        <w:ind w:left="0" w:firstLine="645"/>
      </w:pPr>
      <w:r>
        <w:rPr>
          <w:rFonts w:hint="eastAsia" w:ascii="黑体" w:hAnsi="宋体" w:eastAsia="黑体" w:cs="黑体"/>
          <w:sz w:val="32"/>
          <w:szCs w:val="32"/>
        </w:rPr>
        <w:t>二、</w:t>
      </w:r>
      <w:r>
        <w:rPr>
          <w:rStyle w:val="6"/>
          <w:rFonts w:hint="eastAsia" w:ascii="黑体" w:hAnsi="宋体" w:eastAsia="黑体" w:cs="黑体"/>
          <w:sz w:val="32"/>
          <w:szCs w:val="32"/>
        </w:rPr>
        <w:t>主动公开政府信息情况</w:t>
      </w:r>
    </w:p>
    <w:tbl>
      <w:tblPr>
        <w:tblStyle w:val="4"/>
        <w:tblW w:w="8234" w:type="dxa"/>
        <w:tblInd w:w="1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黑体" w:hAnsi="宋体" w:eastAsia="黑体" w:cs="黑体"/>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信息内容</w:t>
            </w:r>
          </w:p>
        </w:tc>
        <w:tc>
          <w:tcPr>
            <w:tcW w:w="18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本年制发件数</w:t>
            </w:r>
          </w:p>
        </w:tc>
        <w:tc>
          <w:tcPr>
            <w:tcW w:w="188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本年废止件数</w:t>
            </w:r>
          </w:p>
        </w:tc>
        <w:tc>
          <w:tcPr>
            <w:tcW w:w="199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规章</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行政规范性文件</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黑体" w:hAnsi="宋体" w:eastAsia="黑体" w:cs="黑体"/>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行政许可</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黑体" w:hAnsi="宋体" w:eastAsia="黑体" w:cs="黑体"/>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行政处罚</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行政强制</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黑体" w:hAnsi="宋体" w:eastAsia="黑体" w:cs="黑体"/>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pPr>
            <w:r>
              <w:rPr>
                <w:rFonts w:hint="eastAsia" w:ascii="宋体" w:hAnsi="宋体" w:eastAsia="宋体" w:cs="宋体"/>
                <w:sz w:val="21"/>
                <w:szCs w:val="21"/>
              </w:rPr>
              <w:t>本年收费金额（单位：万元）</w:t>
            </w:r>
          </w:p>
          <w:p>
            <w:pPr>
              <w:pStyle w:val="3"/>
              <w:keepNext w:val="0"/>
              <w:keepLines w:val="0"/>
              <w:widowControl/>
              <w:suppressLineNumbers w:val="0"/>
              <w:jc w:val="center"/>
            </w:pP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left"/>
            </w:pPr>
            <w:r>
              <w:rPr>
                <w:rFonts w:hint="eastAsia" w:ascii="宋体" w:hAnsi="宋体" w:eastAsia="宋体" w:cs="宋体"/>
                <w:sz w:val="21"/>
                <w:szCs w:val="21"/>
              </w:rPr>
              <w:t>行政事业性收费</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highlight w:val="none"/>
                <w:lang w:val="en-US" w:eastAsia="zh-CN"/>
              </w:rPr>
              <w:t>9032</w:t>
            </w:r>
          </w:p>
        </w:tc>
      </w:tr>
    </w:tbl>
    <w:p>
      <w:pPr>
        <w:pStyle w:val="3"/>
        <w:keepNext w:val="0"/>
        <w:keepLines w:val="0"/>
        <w:widowControl/>
        <w:suppressLineNumbers w:val="0"/>
        <w:autoSpaceDE w:val="0"/>
        <w:autoSpaceDN/>
        <w:spacing w:before="0" w:beforeAutospacing="0" w:after="0" w:afterAutospacing="0" w:line="560" w:lineRule="atLeast"/>
        <w:ind w:left="0" w:firstLine="643"/>
      </w:pPr>
      <w:r>
        <w:rPr>
          <w:rStyle w:val="6"/>
          <w:rFonts w:hint="eastAsia" w:ascii="黑体" w:hAnsi="宋体" w:eastAsia="黑体" w:cs="黑体"/>
          <w:sz w:val="32"/>
          <w:szCs w:val="32"/>
        </w:rPr>
        <w:t>三、收到和处理政府信息公开申请情况</w:t>
      </w:r>
    </w:p>
    <w:tbl>
      <w:tblPr>
        <w:tblStyle w:val="4"/>
        <w:tblW w:w="874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6"/>
        <w:gridCol w:w="1611"/>
        <w:gridCol w:w="2993"/>
        <w:gridCol w:w="486"/>
        <w:gridCol w:w="516"/>
        <w:gridCol w:w="516"/>
        <w:gridCol w:w="576"/>
        <w:gridCol w:w="576"/>
        <w:gridCol w:w="352"/>
        <w:gridCol w:w="4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524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（本列数据的勾稽关系为：第一项加第二项之和，等于第三项加第四项之和）</w:t>
            </w:r>
          </w:p>
        </w:tc>
        <w:tc>
          <w:tcPr>
            <w:tcW w:w="3509"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524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8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自然人</w:t>
            </w:r>
          </w:p>
        </w:tc>
        <w:tc>
          <w:tcPr>
            <w:tcW w:w="2536"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法人或其他组织</w:t>
            </w:r>
          </w:p>
        </w:tc>
        <w:tc>
          <w:tcPr>
            <w:tcW w:w="487"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4" w:hRule="atLeast"/>
          <w:jc w:val="center"/>
        </w:trPr>
        <w:tc>
          <w:tcPr>
            <w:tcW w:w="524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8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商业企业</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科研机构</w:t>
            </w:r>
          </w:p>
        </w:tc>
        <w:tc>
          <w:tcPr>
            <w:tcW w:w="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社会公益组织</w:t>
            </w:r>
          </w:p>
        </w:tc>
        <w:tc>
          <w:tcPr>
            <w:tcW w:w="57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法律服务机构</w:t>
            </w:r>
          </w:p>
        </w:tc>
        <w:tc>
          <w:tcPr>
            <w:tcW w:w="35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黑体" w:hAnsi="宋体" w:eastAsia="黑体" w:cs="黑体"/>
                <w:sz w:val="21"/>
                <w:szCs w:val="21"/>
              </w:rPr>
              <w:t>其他</w:t>
            </w:r>
          </w:p>
        </w:tc>
        <w:tc>
          <w:tcPr>
            <w:tcW w:w="487"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2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一、本年新收政府信息公开申请数量</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lang w:val="en-US" w:eastAsia="zh-CN"/>
              </w:rPr>
              <w:t>10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52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二、上年结转政府信息公开申请数量</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63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both"/>
            </w:pPr>
            <w:r>
              <w:rPr>
                <w:rFonts w:hint="eastAsia" w:ascii="宋体" w:hAnsi="宋体" w:eastAsia="宋体" w:cs="宋体"/>
                <w:sz w:val="21"/>
                <w:szCs w:val="21"/>
              </w:rPr>
              <w:t>三、本年度办理结果</w:t>
            </w:r>
          </w:p>
        </w:tc>
        <w:tc>
          <w:tcPr>
            <w:tcW w:w="460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（一）予以公开            </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3</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60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（二）部分公开（区分处理的，只计这一情形，不计其他情形）</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val="en-US" w:eastAsia="zh-CN"/>
              </w:rPr>
            </w:pPr>
            <w:r>
              <w:rPr>
                <w:rFonts w:hint="eastAsia" w:ascii="宋体" w:hAnsi="宋体" w:eastAsia="宋体" w:cs="宋体"/>
                <w:sz w:val="21"/>
                <w:szCs w:val="21"/>
                <w:lang w:val="en-US" w:eastAsia="zh-CN"/>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（三）不予公开</w:t>
            </w: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1．属于国家秘密</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2．其他法律行政法规禁止公开</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3．危及“三安全一稳定”</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4．</w:t>
            </w:r>
            <w:r>
              <w:rPr>
                <w:rFonts w:hint="eastAsia" w:ascii="宋体" w:hAnsi="宋体" w:eastAsia="宋体" w:cs="宋体"/>
                <w:sz w:val="21"/>
                <w:szCs w:val="21"/>
                <w:u w:val="none"/>
              </w:rPr>
              <w:t>保护第三方合法权益</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5．属于三类内部事务信息</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6．属于四类过程性信息</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7．属于行政执法案卷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8．属于行政查询事项</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（四）无法提供</w:t>
            </w: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1．本机关不掌握相关政府信息</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7</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2．没有现成信息需要另行制作</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3．补正后申请内容仍不明确</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（五）不予处理</w:t>
            </w: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1．信访举报投诉类申请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2．重复申请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3．要求提供公开出版物</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4．无正当理由大量反复申请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ind w:left="180" w:hanging="210"/>
            </w:pPr>
            <w:r>
              <w:rPr>
                <w:rFonts w:hint="eastAsia" w:ascii="宋体" w:hAnsi="宋体" w:eastAsia="宋体" w:cs="宋体"/>
                <w:sz w:val="21"/>
                <w:szCs w:val="21"/>
              </w:rPr>
              <w:t>5．要求行政机关确认或重新出具已获取信息</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（六）其他处理</w:t>
            </w: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1.申请人无正当理由逾期不补正、行政机关不再处理其政府信息公开申请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2.申请人逾期未按收费通知要求缴纳费用、行政机关不再处理其政府信息公开申请</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61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9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3.其他</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Theme="minorEastAsia"/>
                <w:lang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604"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（七）总计</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lang w:val="en-US" w:eastAsia="zh-CN"/>
              </w:rPr>
              <w:t>10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 w:hRule="atLeast"/>
          <w:jc w:val="center"/>
        </w:trPr>
        <w:tc>
          <w:tcPr>
            <w:tcW w:w="524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四、结转下年度继续办理</w:t>
            </w:r>
          </w:p>
        </w:tc>
        <w:tc>
          <w:tcPr>
            <w:tcW w:w="48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5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35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48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bl>
    <w:p>
      <w:pPr>
        <w:pStyle w:val="3"/>
        <w:keepNext w:val="0"/>
        <w:keepLines w:val="0"/>
        <w:widowControl/>
        <w:suppressLineNumbers w:val="0"/>
        <w:shd w:val="clear" w:fill="FFFFFF"/>
        <w:autoSpaceDE w:val="0"/>
        <w:autoSpaceDN/>
        <w:spacing w:before="0" w:beforeAutospacing="0" w:after="0" w:afterAutospacing="0" w:line="560" w:lineRule="atLeast"/>
        <w:ind w:left="0" w:firstLine="643"/>
        <w:jc w:val="both"/>
      </w:pPr>
      <w:r>
        <w:rPr>
          <w:rStyle w:val="6"/>
          <w:rFonts w:hint="eastAsia" w:ascii="黑体" w:hAnsi="宋体" w:eastAsia="黑体" w:cs="黑体"/>
          <w:sz w:val="32"/>
          <w:szCs w:val="32"/>
          <w:shd w:val="clear" w:fill="FFFFFF"/>
        </w:rPr>
        <w:t>四、政府信息公开行政复议、行政诉讼情况</w:t>
      </w:r>
      <w:r>
        <w:rPr>
          <w:rStyle w:val="6"/>
          <w:rFonts w:hint="eastAsia" w:ascii="仿宋" w:hAnsi="仿宋" w:eastAsia="仿宋" w:cs="仿宋"/>
          <w:color w:val="333333"/>
          <w:sz w:val="32"/>
          <w:szCs w:val="32"/>
          <w:shd w:val="clear" w:fill="FFFFFF"/>
        </w:rPr>
        <w:t> </w:t>
      </w:r>
    </w:p>
    <w:p>
      <w:pPr>
        <w:rPr>
          <w:vanish/>
          <w:sz w:val="24"/>
          <w:szCs w:val="24"/>
        </w:rPr>
      </w:pPr>
    </w:p>
    <w:tbl>
      <w:tblPr>
        <w:tblStyle w:val="4"/>
        <w:tblW w:w="5245"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5"/>
        <w:gridCol w:w="595"/>
        <w:gridCol w:w="595"/>
        <w:gridCol w:w="595"/>
        <w:gridCol w:w="596"/>
        <w:gridCol w:w="596"/>
        <w:gridCol w:w="596"/>
        <w:gridCol w:w="596"/>
        <w:gridCol w:w="596"/>
        <w:gridCol w:w="597"/>
        <w:gridCol w:w="596"/>
        <w:gridCol w:w="596"/>
        <w:gridCol w:w="596"/>
        <w:gridCol w:w="596"/>
        <w:gridCol w:w="5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 w:hRule="atLeast"/>
        </w:trPr>
        <w:tc>
          <w:tcPr>
            <w:tcW w:w="1666" w:type="pct"/>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黑体" w:hAnsi="宋体" w:eastAsia="黑体" w:cs="黑体"/>
                <w:sz w:val="21"/>
                <w:szCs w:val="21"/>
              </w:rPr>
              <w:t>行政复议</w:t>
            </w:r>
          </w:p>
        </w:tc>
        <w:tc>
          <w:tcPr>
            <w:tcW w:w="3333" w:type="pct"/>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黑体" w:hAnsi="宋体" w:eastAsia="黑体" w:cs="黑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 w:hRule="atLeast"/>
        </w:trPr>
        <w:tc>
          <w:tcPr>
            <w:tcW w:w="333"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结果维持</w:t>
            </w:r>
          </w:p>
        </w:tc>
        <w:tc>
          <w:tcPr>
            <w:tcW w:w="33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结果纠正</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其他结果</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尚未审结</w:t>
            </w:r>
          </w:p>
        </w:tc>
        <w:tc>
          <w:tcPr>
            <w:tcW w:w="333" w:type="pct"/>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总计</w:t>
            </w:r>
          </w:p>
        </w:tc>
        <w:tc>
          <w:tcPr>
            <w:tcW w:w="1666"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黑体" w:hAnsi="宋体" w:eastAsia="黑体" w:cs="黑体"/>
                <w:sz w:val="21"/>
                <w:szCs w:val="21"/>
              </w:rPr>
              <w:t>未经复议直接起诉</w:t>
            </w:r>
          </w:p>
        </w:tc>
        <w:tc>
          <w:tcPr>
            <w:tcW w:w="1666" w:type="pct"/>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黑体" w:hAnsi="宋体" w:eastAsia="黑体" w:cs="黑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9" w:hRule="atLeast"/>
        </w:trPr>
        <w:tc>
          <w:tcPr>
            <w:tcW w:w="333"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3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33" w:type="pct"/>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结果维持</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结果纠正</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其他结果</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尚未审结</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总计</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结果维持</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结果纠正</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其他结果</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尚未审结</w:t>
            </w:r>
          </w:p>
        </w:tc>
        <w:tc>
          <w:tcPr>
            <w:tcW w:w="33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33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c>
          <w:tcPr>
            <w:tcW w:w="33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autoSpaceDE w:val="0"/>
              <w:autoSpaceDN/>
              <w:spacing w:before="0" w:beforeAutospacing="0" w:after="0" w:afterAutospacing="0" w:line="560" w:lineRule="atLeast"/>
              <w:ind w:left="0"/>
              <w:jc w:val="center"/>
            </w:pPr>
            <w:r>
              <w:rPr>
                <w:rFonts w:hint="eastAsia" w:ascii="宋体" w:hAnsi="宋体" w:eastAsia="宋体" w:cs="宋体"/>
                <w:sz w:val="21"/>
                <w:szCs w:val="21"/>
              </w:rPr>
              <w:t>0</w:t>
            </w:r>
          </w:p>
        </w:tc>
      </w:tr>
    </w:tbl>
    <w:p>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firstLine="643"/>
        <w:jc w:val="both"/>
        <w:textAlignment w:val="auto"/>
        <w:rPr>
          <w:rStyle w:val="6"/>
          <w:rFonts w:hint="eastAsia" w:ascii="黑体" w:hAnsi="宋体" w:eastAsia="黑体" w:cs="黑体"/>
          <w:b w:val="0"/>
          <w:bCs/>
          <w:sz w:val="32"/>
          <w:szCs w:val="32"/>
          <w:shd w:val="clear" w:fill="FFFFFF"/>
        </w:rPr>
      </w:pPr>
      <w:r>
        <w:rPr>
          <w:rStyle w:val="6"/>
          <w:rFonts w:hint="eastAsia" w:ascii="黑体" w:hAnsi="宋体" w:eastAsia="黑体" w:cs="黑体"/>
          <w:b w:val="0"/>
          <w:bCs/>
          <w:sz w:val="32"/>
          <w:szCs w:val="32"/>
          <w:shd w:val="clear" w:fill="FFFFFF"/>
        </w:rPr>
        <w:t>五、存在的主要问题及改进情况</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firstLine="643"/>
        <w:textAlignment w:val="auto"/>
        <w:rPr>
          <w:rStyle w:val="6"/>
          <w:rFonts w:hint="eastAsia" w:ascii="楷体" w:hAnsi="楷体" w:eastAsia="楷体" w:cs="楷体"/>
          <w:b w:val="0"/>
          <w:bCs/>
          <w:color w:val="333333"/>
          <w:sz w:val="32"/>
          <w:szCs w:val="32"/>
        </w:rPr>
      </w:pPr>
      <w:r>
        <w:rPr>
          <w:rStyle w:val="6"/>
          <w:rFonts w:hint="eastAsia" w:ascii="楷体" w:hAnsi="楷体" w:eastAsia="楷体" w:cs="楷体"/>
          <w:b w:val="0"/>
          <w:bCs/>
          <w:color w:val="333333"/>
          <w:sz w:val="32"/>
          <w:szCs w:val="32"/>
        </w:rPr>
        <w:t>（一）存在的主要问题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县住建</w:t>
      </w:r>
      <w:r>
        <w:rPr>
          <w:rFonts w:hint="eastAsia" w:ascii="仿宋_GB2312" w:hAnsi="仿宋_GB2312" w:eastAsia="仿宋_GB2312" w:cs="仿宋_GB2312"/>
          <w:i w:val="0"/>
          <w:iCs w:val="0"/>
          <w:caps w:val="0"/>
          <w:color w:val="333333"/>
          <w:spacing w:val="0"/>
          <w:sz w:val="32"/>
          <w:szCs w:val="32"/>
          <w:shd w:val="clear" w:fill="FFFFFF"/>
        </w:rPr>
        <w:t>局政务公开工作虽取得一定成绩，但仍存在一些问题：</w:t>
      </w:r>
      <w:r>
        <w:rPr>
          <w:rFonts w:hint="eastAsia" w:ascii="仿宋_GB2312" w:hAnsi="仿宋_GB2312" w:eastAsia="仿宋_GB2312" w:cs="仿宋_GB2312"/>
          <w:i w:val="0"/>
          <w:iCs w:val="0"/>
          <w:caps w:val="0"/>
          <w:color w:val="333333"/>
          <w:spacing w:val="0"/>
          <w:sz w:val="32"/>
          <w:szCs w:val="32"/>
          <w:shd w:val="clear" w:fill="FFFFFF"/>
          <w:lang w:val="en-US" w:eastAsia="zh-CN"/>
        </w:rPr>
        <w:t>一是政府信息公开及时性、有效性不够。二是政府信息公开工作宣传力度有待进一步强化，需要进一步提高公众对政府部门政务公开工作的认识和了解。</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改进措施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val="en-US" w:eastAsia="zh-CN"/>
        </w:rPr>
        <w:t>是密切沟通，形成合力。</w:t>
      </w:r>
      <w:bookmarkStart w:id="0" w:name="_GoBack"/>
      <w:r>
        <w:rPr>
          <w:rFonts w:hint="eastAsia" w:ascii="仿宋_GB2312" w:hAnsi="仿宋_GB2312" w:eastAsia="仿宋_GB2312" w:cs="仿宋_GB2312"/>
          <w:i w:val="0"/>
          <w:iCs w:val="0"/>
          <w:caps w:val="0"/>
          <w:color w:val="333333"/>
          <w:spacing w:val="0"/>
          <w:sz w:val="32"/>
          <w:szCs w:val="32"/>
          <w:shd w:val="clear" w:fill="FFFFFF"/>
          <w:lang w:val="en-US" w:eastAsia="zh-CN"/>
        </w:rPr>
        <w:t>加强与业务科室之间的联系，将政府信息公开工作与局中心工作、重点工作同部署、同督促、同落实、同推进，强化财政预决算信息、行政执法信息、政策规范性文件信息、住房保障、重大建设项目实施等领域公开力度。二是加大政府信息公开宣传力度，不断总结提炼，突破提升，推陈出新，深化公众对政府信息公开工作的认识，切实让公众“看得见、易获取、能参与、好监督”。三是对标学习先进，对照典型做法、优秀案例，查找不足，不断改进，不忘初心，砥砺前行，全力做好政府信息公开工作</w:t>
      </w:r>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，服务群众，服务社会，服务经济社会发展。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一是收取信息处理费情况方面，202</w:t>
      </w:r>
      <w:r>
        <w:rPr>
          <w:rFonts w:hint="eastAsia" w:ascii="仿宋_GB2312" w:hAnsi="仿宋_GB2312" w:eastAsia="仿宋_GB2312" w:cs="仿宋_GB2312"/>
          <w:i w:val="0"/>
          <w:iCs w:val="0"/>
          <w:caps w:val="0"/>
          <w:color w:val="333333"/>
          <w:spacing w:val="0"/>
          <w:sz w:val="32"/>
          <w:szCs w:val="32"/>
          <w:shd w:val="clear" w:fill="FFFFFF"/>
          <w:lang w:val="en-US" w:eastAsia="zh-CN"/>
        </w:rPr>
        <w:t>3年县住建</w:t>
      </w:r>
      <w:r>
        <w:rPr>
          <w:rFonts w:hint="eastAsia" w:ascii="仿宋_GB2312" w:hAnsi="仿宋_GB2312" w:eastAsia="仿宋_GB2312" w:cs="仿宋_GB2312"/>
          <w:i w:val="0"/>
          <w:iCs w:val="0"/>
          <w:caps w:val="0"/>
          <w:color w:val="333333"/>
          <w:spacing w:val="0"/>
          <w:sz w:val="32"/>
          <w:szCs w:val="32"/>
          <w:shd w:val="clear" w:fill="FFFFFF"/>
        </w:rPr>
        <w:t>局不存在因信息处理收取相关费用的情况。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二是落实上级年度政务公开工作要点情况，202</w:t>
      </w:r>
      <w:r>
        <w:rPr>
          <w:rFonts w:hint="eastAsia" w:ascii="仿宋_GB2312" w:hAnsi="仿宋_GB2312" w:eastAsia="仿宋_GB2312" w:cs="仿宋_GB2312"/>
          <w:i w:val="0"/>
          <w:iCs w:val="0"/>
          <w:caps w:val="0"/>
          <w:color w:val="333333"/>
          <w:spacing w:val="0"/>
          <w:sz w:val="32"/>
          <w:szCs w:val="32"/>
          <w:shd w:val="clear" w:fill="FFFFFF"/>
          <w:lang w:val="en-US" w:eastAsia="zh-CN"/>
        </w:rPr>
        <w:t>3年县住建局按照县政务公开工作方案</w:t>
      </w:r>
      <w:r>
        <w:rPr>
          <w:rFonts w:hint="eastAsia" w:ascii="仿宋_GB2312" w:hAnsi="仿宋_GB2312" w:eastAsia="仿宋_GB2312" w:cs="仿宋_GB2312"/>
          <w:i w:val="0"/>
          <w:iCs w:val="0"/>
          <w:caps w:val="0"/>
          <w:color w:val="333333"/>
          <w:spacing w:val="0"/>
          <w:sz w:val="32"/>
          <w:szCs w:val="32"/>
          <w:shd w:val="clear" w:fill="FFFFFF"/>
        </w:rPr>
        <w:t>，积极开展工作，</w:t>
      </w:r>
      <w:r>
        <w:rPr>
          <w:rFonts w:hint="eastAsia" w:ascii="仿宋_GB2312" w:hAnsi="仿宋_GB2312" w:eastAsia="仿宋_GB2312" w:cs="仿宋_GB2312"/>
          <w:i w:val="0"/>
          <w:iCs w:val="0"/>
          <w:caps w:val="0"/>
          <w:color w:val="333333"/>
          <w:spacing w:val="0"/>
          <w:sz w:val="32"/>
          <w:szCs w:val="32"/>
          <w:shd w:val="clear" w:fill="FFFFFF"/>
          <w:lang w:val="en-US" w:eastAsia="zh-CN"/>
        </w:rPr>
        <w:t>认真落实各项要求，及时公开政务信息，切实做好整改</w:t>
      </w:r>
      <w:r>
        <w:rPr>
          <w:rFonts w:hint="eastAsia" w:ascii="仿宋_GB2312" w:hAnsi="仿宋_GB2312" w:eastAsia="仿宋_GB2312" w:cs="仿宋_GB2312"/>
          <w:i w:val="0"/>
          <w:iCs w:val="0"/>
          <w:caps w:val="0"/>
          <w:color w:val="333333"/>
          <w:spacing w:val="0"/>
          <w:sz w:val="32"/>
          <w:szCs w:val="32"/>
          <w:shd w:val="clear" w:fill="FFFFFF"/>
        </w:rPr>
        <w:t>，按时完成工作任务。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三是人大</w:t>
      </w:r>
      <w:r>
        <w:rPr>
          <w:rFonts w:hint="eastAsia" w:ascii="仿宋_GB2312" w:hAnsi="仿宋_GB2312" w:eastAsia="仿宋_GB2312" w:cs="仿宋_GB2312"/>
          <w:i w:val="0"/>
          <w:iCs w:val="0"/>
          <w:caps w:val="0"/>
          <w:color w:val="333333"/>
          <w:spacing w:val="0"/>
          <w:sz w:val="32"/>
          <w:szCs w:val="32"/>
          <w:shd w:val="clear" w:fill="FFFFFF"/>
        </w:rPr>
        <w:t>代表建议和政协提案办理结果公开情况，202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县住建局共承办</w:t>
      </w:r>
      <w:r>
        <w:rPr>
          <w:rFonts w:hint="eastAsia" w:ascii="仿宋_GB2312" w:hAnsi="仿宋_GB2312" w:eastAsia="仿宋_GB2312" w:cs="仿宋_GB2312"/>
          <w:i w:val="0"/>
          <w:iCs w:val="0"/>
          <w:caps w:val="0"/>
          <w:color w:val="333333"/>
          <w:spacing w:val="0"/>
          <w:sz w:val="32"/>
          <w:szCs w:val="32"/>
          <w:shd w:val="clear" w:fill="FFFFFF"/>
        </w:rPr>
        <w:t>人大代表建议和政协委员提案共8件，办理率100%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均为依申请公开</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shd w:val="clear" w:fill="FFFFFF"/>
        </w:rPr>
        <w:t>四是政务公开工作创新情况</w:t>
      </w:r>
      <w:r>
        <w:rPr>
          <w:rFonts w:hint="eastAsia" w:ascii="仿宋_GB2312" w:hAnsi="仿宋_GB2312" w:eastAsia="仿宋_GB2312" w:cs="仿宋_GB2312"/>
          <w:i w:val="0"/>
          <w:iCs w:val="0"/>
          <w:caps w:val="0"/>
          <w:color w:val="333333"/>
          <w:spacing w:val="0"/>
          <w:sz w:val="32"/>
          <w:szCs w:val="32"/>
          <w:highlight w:val="none"/>
          <w:shd w:val="clear" w:fill="FFFFFF"/>
        </w:rPr>
        <w:t>，建立月通报制度，每月定期对机关各科室、所属各单位上报信息情况进行通报，</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强化落实推进，</w:t>
      </w:r>
      <w:r>
        <w:rPr>
          <w:rFonts w:hint="eastAsia" w:ascii="仿宋_GB2312" w:hAnsi="仿宋_GB2312" w:eastAsia="仿宋_GB2312" w:cs="仿宋_GB2312"/>
          <w:i w:val="0"/>
          <w:iCs w:val="0"/>
          <w:caps w:val="0"/>
          <w:color w:val="333333"/>
          <w:spacing w:val="0"/>
          <w:sz w:val="32"/>
          <w:szCs w:val="32"/>
          <w:highlight w:val="none"/>
          <w:shd w:val="clear" w:fill="FFFFFF"/>
        </w:rPr>
        <w:t>并将政务公开工作情况纳入年度考核。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五是本行政机关政府信息公开工作年度报告数据统计需要说明的事项：无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六是本行政机关认为需要报告的其他事项：无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七是其他有关文件专门要求通过政府信息公开工作年度报告予以报告的事项：无</w:t>
      </w: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F0396"/>
    <w:multiLevelType w:val="singleLevel"/>
    <w:tmpl w:val="E30F0396"/>
    <w:lvl w:ilvl="0" w:tentative="0">
      <w:start w:val="1"/>
      <w:numFmt w:val="chineseCounting"/>
      <w:suff w:val="nothing"/>
      <w:lvlText w:val="（%1）"/>
      <w:lvlJc w:val="left"/>
      <w:rPr>
        <w:rFonts w:hint="eastAsia"/>
      </w:rPr>
    </w:lvl>
  </w:abstractNum>
  <w:abstractNum w:abstractNumId="1">
    <w:nsid w:val="FC56C700"/>
    <w:multiLevelType w:val="singleLevel"/>
    <w:tmpl w:val="FC56C700"/>
    <w:lvl w:ilvl="0" w:tentative="0">
      <w:start w:val="2"/>
      <w:numFmt w:val="chineseCounting"/>
      <w:suff w:val="nothing"/>
      <w:lvlText w:val="（%1）"/>
      <w:lvlJc w:val="left"/>
      <w:rPr>
        <w:rFonts w:hint="eastAsia"/>
      </w:rPr>
    </w:lvl>
  </w:abstractNum>
  <w:abstractNum w:abstractNumId="2">
    <w:nsid w:val="519F5ABE"/>
    <w:multiLevelType w:val="singleLevel"/>
    <w:tmpl w:val="519F5AB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GY0YmUzNGRjODYzNjM5YTJlNzhmOWQ4YTIxYjMifQ=="/>
  </w:docVars>
  <w:rsids>
    <w:rsidRoot w:val="002F6028"/>
    <w:rsid w:val="002F6028"/>
    <w:rsid w:val="1E237D46"/>
    <w:rsid w:val="2A8522F9"/>
    <w:rsid w:val="2CB918A5"/>
    <w:rsid w:val="37CC7870"/>
    <w:rsid w:val="3C2E62B8"/>
    <w:rsid w:val="7CF9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qFormat/>
    <w:uiPriority w:val="0"/>
    <w:pPr>
      <w:spacing w:line="0" w:lineRule="atLeast"/>
      <w:jc w:val="both"/>
    </w:pPr>
    <w:rPr>
      <w:rFonts w:ascii="Times New Roman" w:hAnsi="Times New Roman" w:eastAsia="小标宋" w:cs="Times New Roman"/>
      <w:kern w:val="2"/>
      <w:sz w:val="44"/>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3\&#25919;&#24220;&#20449;&#24687;&#20844;&#24320;\8.%20&#21439;&#25919;&#24220;&#21150;&#20844;&#23460;%20&#20851;&#20110;&#20570;&#22909;2023&#24180;&#24230;&#25919;&#24220;&#20449;&#24687;&#20844;&#24320;&#24037;&#20316;&#24180;&#24230;&#25253;&#21578;&#32534;&#21046;&#21644;&#21457;&#24067;&#24037;&#20316;&#30340;&#36890;&#30693;\&#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rPr lang="zh-CN" altLang="en-US"/>
              <a:t>图</a:t>
            </a:r>
            <a:r>
              <a:rPr lang="en-US" altLang="zh-CN"/>
              <a:t>1</a:t>
            </a:r>
            <a:r>
              <a:rPr altLang="en-US"/>
              <a:t>：政府网站主动公开信息数量</a:t>
            </a:r>
            <a:endParaRPr lang="en-US" altLang="zh-CN"/>
          </a:p>
        </c:rich>
      </c:tx>
      <c:layout>
        <c:manualLayout>
          <c:xMode val="edge"/>
          <c:yMode val="edge"/>
          <c:x val="0.262368421052632"/>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[工作簿1]Sheet1!$A$2:$A$9</c:f>
              <c:strCache>
                <c:ptCount val="8"/>
                <c:pt idx="0">
                  <c:v>政策法规</c:v>
                </c:pt>
                <c:pt idx="1">
                  <c:v>公共资源配置</c:v>
                </c:pt>
                <c:pt idx="2">
                  <c:v>重要部署执行公开</c:v>
                </c:pt>
                <c:pt idx="3">
                  <c:v>行政执法</c:v>
                </c:pt>
                <c:pt idx="4">
                  <c:v>双随机、一公开</c:v>
                </c:pt>
                <c:pt idx="5">
                  <c:v>公共企事业单位</c:v>
                </c:pt>
                <c:pt idx="6">
                  <c:v>法治建设</c:v>
                </c:pt>
                <c:pt idx="7">
                  <c:v>其他</c:v>
                </c:pt>
              </c:strCache>
            </c:strRef>
          </c:cat>
          <c:val>
            <c:numRef>
              <c:f>[工作簿1]Sheet1!$B$2:$B$9</c:f>
              <c:numCache>
                <c:formatCode>General</c:formatCode>
                <c:ptCount val="8"/>
                <c:pt idx="0">
                  <c:v>24</c:v>
                </c:pt>
                <c:pt idx="1">
                  <c:v>34</c:v>
                </c:pt>
                <c:pt idx="2">
                  <c:v>43</c:v>
                </c:pt>
                <c:pt idx="3">
                  <c:v>18</c:v>
                </c:pt>
                <c:pt idx="4">
                  <c:v>21</c:v>
                </c:pt>
                <c:pt idx="5">
                  <c:v>57</c:v>
                </c:pt>
                <c:pt idx="6">
                  <c:v>10</c:v>
                </c:pt>
                <c:pt idx="7">
                  <c:v>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[图1.xlsx]Sheet1!$A$32:$A$34</c:f>
              <c:strCache>
                <c:ptCount val="3"/>
                <c:pt idx="0">
                  <c:v>2021年</c:v>
                </c:pt>
                <c:pt idx="1">
                  <c:v>2022年</c:v>
                </c:pt>
                <c:pt idx="2">
                  <c:v>2023年</c:v>
                </c:pt>
              </c:strCache>
            </c:strRef>
          </c:cat>
          <c:val>
            <c:numRef>
              <c:f>[图1.xlsx]Sheet1!$B$32:$B$34</c:f>
              <c:numCache>
                <c:formatCode>General</c:formatCode>
                <c:ptCount val="3"/>
                <c:pt idx="0">
                  <c:v>8</c:v>
                </c:pt>
                <c:pt idx="1">
                  <c:v>2</c:v>
                </c:pt>
                <c:pt idx="2">
                  <c:v>10</c:v>
                </c:pt>
              </c:numCache>
            </c:numRef>
          </c:val>
        </c:ser>
        <c:dLbls>
          <c:showLegendKey val="0"/>
          <c:showVal val="0"/>
          <c:showCatName val="0"/>
          <c:showSerName val="0"/>
          <c:showPercent val="0"/>
          <c:showBubbleSize val="0"/>
        </c:dLbls>
        <c:gapWidth val="246"/>
        <c:overlap val="-28"/>
        <c:axId val="444226474"/>
        <c:axId val="224861558"/>
      </c:barChart>
      <c:catAx>
        <c:axId val="4442264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861558"/>
        <c:crosses val="autoZero"/>
        <c:auto val="1"/>
        <c:lblAlgn val="ctr"/>
        <c:lblOffset val="100"/>
        <c:noMultiLvlLbl val="0"/>
      </c:catAx>
      <c:valAx>
        <c:axId val="22486155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422647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2024-01-16T03:19:00Z</dcterms:created>
  <dc:creator>牟晋禹！</dc:creator>
  <cp:lastModifiedBy>牟晋禹！</cp:lastModifiedBy>
  <dcterms:modified xsi:type="dcterms:W3CDTF">2024-01-30T09:21:15Z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F079B25E3C054758AA7A9370CA4ABF1C_11</vt:lpwstr>
  </property>
</Properties>
</file>