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D2" w:rsidRPr="00BB5EE9" w:rsidRDefault="00E554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BB5EE9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县住房和城乡建设局</w:t>
      </w:r>
    </w:p>
    <w:p w:rsidR="00E554D2" w:rsidRPr="00BB5EE9" w:rsidRDefault="00E554D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BB5EE9">
        <w:rPr>
          <w:rFonts w:ascii="方正小标宋简体" w:eastAsia="方正小标宋简体" w:hAnsi="方正小标宋简体" w:cs="方正小标宋简体"/>
          <w:b/>
          <w:sz w:val="44"/>
          <w:szCs w:val="44"/>
        </w:rPr>
        <w:t>2018</w:t>
      </w:r>
      <w:r w:rsidRPr="00BB5EE9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年工作总结及</w:t>
      </w:r>
      <w:r w:rsidRPr="00BB5EE9">
        <w:rPr>
          <w:rFonts w:ascii="方正小标宋简体" w:eastAsia="方正小标宋简体" w:hAnsi="方正小标宋简体" w:cs="方正小标宋简体"/>
          <w:b/>
          <w:sz w:val="44"/>
          <w:szCs w:val="44"/>
        </w:rPr>
        <w:t>2019</w:t>
      </w:r>
      <w:r w:rsidRPr="00BB5EE9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年工作打算</w:t>
      </w:r>
    </w:p>
    <w:p w:rsidR="00E554D2" w:rsidRPr="00BB5EE9" w:rsidRDefault="00E554D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根据县委、县政府安排部署，今年以来，县住建局共实施城建重点项目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个，其中，市重大项目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（人民路拓宽改造工程）</w:t>
      </w:r>
      <w:r w:rsidRPr="00BB5EE9">
        <w:rPr>
          <w:rFonts w:eastAsia="仿宋_GB2312" w:hint="eastAsia"/>
          <w:b/>
          <w:sz w:val="32"/>
          <w:szCs w:val="32"/>
        </w:rPr>
        <w:t>，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县重大项目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（城中村园区村改造、老旧小区整治改造、学前路、历山路维修提升、农村街巷硬化“户户通”工程）</w:t>
      </w:r>
      <w:r w:rsidRPr="00BB5EE9">
        <w:rPr>
          <w:rFonts w:eastAsia="仿宋_GB2312" w:hint="eastAsia"/>
          <w:b/>
          <w:sz w:val="32"/>
          <w:szCs w:val="32"/>
        </w:rPr>
        <w:t>，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市交办任务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7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（城区雨污分流改造、城区公厕建设、公共停车场建设、便民农贸市场建设、农村危房改造、农村无害化卫生厕所改造、冬季清洁能源供暖）</w:t>
      </w:r>
      <w:r w:rsidRPr="00BB5EE9">
        <w:rPr>
          <w:rFonts w:eastAsia="仿宋_GB2312" w:hint="eastAsia"/>
          <w:b/>
          <w:sz w:val="32"/>
          <w:szCs w:val="32"/>
        </w:rPr>
        <w:t>，县级重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点任务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（城区路口改造、东埠路建设）</w:t>
      </w:r>
      <w:r w:rsidRPr="00BB5EE9">
        <w:rPr>
          <w:rFonts w:eastAsia="仿宋_GB2312" w:hint="eastAsia"/>
          <w:b/>
          <w:sz w:val="32"/>
          <w:szCs w:val="32"/>
        </w:rPr>
        <w:t>，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总投资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39.42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亿元，年度计划投资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17.42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亿元。现将有关情况汇报如下：</w:t>
      </w:r>
    </w:p>
    <w:p w:rsidR="00E554D2" w:rsidRPr="00BB5EE9" w:rsidRDefault="00E554D2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BB5EE9">
        <w:rPr>
          <w:rFonts w:ascii="黑体" w:eastAsia="黑体" w:hAnsi="黑体" w:cs="黑体" w:hint="eastAsia"/>
          <w:b/>
          <w:sz w:val="32"/>
          <w:szCs w:val="32"/>
        </w:rPr>
        <w:t>一、今年工作开展情况</w:t>
      </w:r>
    </w:p>
    <w:p w:rsidR="00E554D2" w:rsidRPr="00BB5EE9" w:rsidRDefault="00E554D2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（一）市政道路建设方面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、人民路拓宽改造工程。目前，征地拆迁已完成总任务量的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90%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以上，道路、桥涵和雨污管网正在施工建设，现已完成总工程量的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80%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E554D2" w:rsidRPr="00BB5EE9" w:rsidRDefault="00E554D2">
      <w:pPr>
        <w:pStyle w:val="1"/>
        <w:tabs>
          <w:tab w:val="left" w:pos="709"/>
        </w:tabs>
        <w:adjustRightInd w:val="0"/>
        <w:snapToGrid w:val="0"/>
        <w:spacing w:line="560" w:lineRule="exact"/>
        <w:ind w:firstLine="618"/>
        <w:textAlignment w:val="top"/>
        <w:rPr>
          <w:rFonts w:ascii="仿宋_GB2312" w:eastAsia="仿宋_GB2312" w:hAnsi="仿宋_GB2312" w:cs="仿宋_GB2312"/>
          <w:b/>
          <w:spacing w:val="-6"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、学前路工程。正在进行路基施工、污水管网敷设等工作，年底前完成路基工程，待土地指标到位后完成路面施工。</w:t>
      </w:r>
    </w:p>
    <w:p w:rsidR="00E554D2" w:rsidRPr="00BB5EE9" w:rsidRDefault="00E554D2">
      <w:pPr>
        <w:pStyle w:val="1"/>
        <w:tabs>
          <w:tab w:val="left" w:pos="709"/>
        </w:tabs>
        <w:adjustRightInd w:val="0"/>
        <w:snapToGrid w:val="0"/>
        <w:spacing w:line="560" w:lineRule="exact"/>
        <w:ind w:firstLine="643"/>
        <w:textAlignment w:val="top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、东埠路工程。该工程目前已完成施工招标，正在对地上附属物进行清理。</w:t>
      </w:r>
    </w:p>
    <w:p w:rsidR="00E554D2" w:rsidRPr="00BB5EE9" w:rsidRDefault="00E554D2">
      <w:pPr>
        <w:pStyle w:val="1"/>
        <w:tabs>
          <w:tab w:val="left" w:pos="709"/>
        </w:tabs>
        <w:adjustRightInd w:val="0"/>
        <w:snapToGrid w:val="0"/>
        <w:spacing w:line="560" w:lineRule="exact"/>
        <w:ind w:firstLine="643"/>
        <w:textAlignment w:val="top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、历山路道路提升改造工程。目前已完成荆山路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商业街段、鲁山路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塔山路段主路面施工，商业街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振兴路段主路面正在施工建设中，塔山路至鲁山路人行道正在施工中。</w:t>
      </w:r>
    </w:p>
    <w:p w:rsidR="00E554D2" w:rsidRPr="00BB5EE9" w:rsidRDefault="00E554D2">
      <w:pPr>
        <w:pStyle w:val="1"/>
        <w:tabs>
          <w:tab w:val="left" w:pos="709"/>
        </w:tabs>
        <w:adjustRightInd w:val="0"/>
        <w:snapToGrid w:val="0"/>
        <w:spacing w:line="560" w:lineRule="exact"/>
        <w:ind w:firstLine="643"/>
        <w:textAlignment w:val="top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2018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年城区雨污分流工程。目前已完成历山路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(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荆山路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振兴路段、鲁山路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塔山路段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)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主路下污水管道敷设及雨水设施改造；完成历山路（人民路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新城路段）、新城路（润和苑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—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丽水湾）污水管道敷设。</w:t>
      </w:r>
    </w:p>
    <w:p w:rsidR="00E554D2" w:rsidRPr="00BB5EE9" w:rsidRDefault="00E554D2">
      <w:pPr>
        <w:spacing w:line="560" w:lineRule="exact"/>
        <w:ind w:firstLine="645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、城区路口改造。今年城区共完成路口改造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</w:t>
      </w:r>
      <w:r w:rsidRPr="00BB5EE9">
        <w:rPr>
          <w:rFonts w:ascii="仿宋_GB2312" w:eastAsia="仿宋_GB2312" w:hAnsi="仿宋_GB2312" w:cs="仿宋_GB2312" w:hint="eastAsia"/>
          <w:b/>
          <w:sz w:val="30"/>
          <w:szCs w:val="30"/>
        </w:rPr>
        <w:t>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分别是：成和商厦路口、正大家居路口、县医院路口</w:t>
      </w:r>
      <w:r w:rsidRPr="00BB5EE9">
        <w:rPr>
          <w:rFonts w:ascii="仿宋_GB2312" w:eastAsia="仿宋_GB2312" w:hAnsi="仿宋_GB2312" w:cs="仿宋_GB2312" w:hint="eastAsia"/>
          <w:b/>
          <w:sz w:val="30"/>
          <w:szCs w:val="30"/>
        </w:rPr>
        <w:t>）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（二）“三改三建”工程方面</w:t>
      </w:r>
    </w:p>
    <w:p w:rsidR="00E554D2" w:rsidRPr="00BB5EE9" w:rsidRDefault="00E554D2" w:rsidP="00BB5EE9">
      <w:pPr>
        <w:spacing w:line="560" w:lineRule="exact"/>
        <w:ind w:firstLineChars="200" w:firstLine="618"/>
        <w:rPr>
          <w:rFonts w:ascii="仿宋_GB2312" w:eastAsia="仿宋_GB2312" w:hAnsi="仿宋_GB2312" w:cs="仿宋_GB2312"/>
          <w:b/>
          <w:spacing w:val="-6"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、城中村、园区村改造。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2018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年，计划实施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8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个社区的改造建设。截至目前，有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7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个项目通过公开招标引入社会资本实施改造，</w:t>
      </w:r>
      <w:bookmarkStart w:id="0" w:name="_GoBack"/>
      <w:bookmarkEnd w:id="0"/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开工建设安置房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6234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套，基本建成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830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套。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、老旧小区整治改造。今年以来，对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年之前建成的所有老旧小区全面实施改造，共涉及住宅楼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384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栋、居民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10480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户，改造面积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92.8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万平方米，总投资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1.2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亿元。截至目前，各小区施工已基本完成，正在组织竣工验收。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、公共停车场、公厕和农贸市场建设。今年共建设公共停车场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处、公厕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</w:t>
      </w: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新建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7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处，改建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23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处</w:t>
      </w: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）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、便民农贸市场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儒林集村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），截至目前，公共停车场、便民农贸市场已完成建设任务，公厕建设已竣工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27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处、在建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处。</w:t>
      </w:r>
    </w:p>
    <w:p w:rsidR="00E554D2" w:rsidRPr="00BB5EE9" w:rsidRDefault="00E554D2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（三）村镇建设方面</w:t>
      </w:r>
    </w:p>
    <w:p w:rsidR="00E554D2" w:rsidRPr="00BB5EE9" w:rsidRDefault="00E554D2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农村危房改造。按照上级关于脱贫攻坚工作的部署要求，今年以来，将建档立卡贫困户作为主要改造对象，深入开展农村危房改造工作，采取修缮加固、拆除重建、新建周转房安置和搬到子女或亲戚家中居住等不同方式，全力解决贫困人口的住房安全问题。截至目前，今年改造任务已基本完成，共改造农村危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5307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其中，原计划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5213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户、雨后新增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94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户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）、搬离安置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2202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户，正在进行资料整理、信息上报、资金拨付等扫尾工作。</w:t>
      </w:r>
    </w:p>
    <w:p w:rsidR="00E554D2" w:rsidRPr="00BB5EE9" w:rsidRDefault="00E554D2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、村庄街巷硬化“户户通”工程。我县计划完成农村道路硬化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465.6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万平方米，去年完成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万平方米，今年已完成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173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万平方米（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剩余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203.6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万平方米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），计划明年全面完成农村街巷硬化任务。</w:t>
      </w:r>
    </w:p>
    <w:p w:rsidR="00E554D2" w:rsidRPr="00BB5EE9" w:rsidRDefault="00E554D2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、农村旱厕改造。经各镇办统计汇总，全县应改未改农户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49577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户，今年计划完成旱厕改造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16522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、农村冬季清洁供暖工程。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2018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年，我县冬季清洁取暖计划任务为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5363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（市下达任务为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4500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户）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。其中，城区集中供暖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2129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户；农村地区分户式电代煤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2654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户；农村地区分户式气代煤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550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户；农村地区清洁能源集中供暖项目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4500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平方米，折合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户。截至目前，工程建设及设备安装工作已基本完成，正在进行设备调试等采暖前准备工作。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（四）公共设施建设方面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、天然气推广普及工作。完成南麻大街至荆山路天然气环网、鲁村镇中压管道建设，铺设供气管网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公里，发展居民用户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4000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户、工服用户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家。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、城市社区综合治理。会同组织、房管、民政、规划等部门和单位，围绕小区环境、社区管理、物业提升等多个方面，对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年之前建成的居民小区实施综合治理，目前，各有关单位正按照责任分工积极推进。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（五）建设行业管理方面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狠抓建筑市场管理。集中开展了“建筑工程施工现场管理提升年”行动，通过组织外出观摩学习、引入外地高水平施工企业等方式，样板引路、示范带动，全县建筑施工现场管理水平有了显著提升。与此同时，进一步规范了建设手续办理、工程承发包等行为，完善了工程招投标、竣工备案、农民工工资管理等长效机制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狠抓安全质量管理。以迎接省安委会督查为契机，紧扣全国“两会”、上合峰会等时间节点，集中开展了跨年度开工关检查、安全生产百日攻坚等专项行动，不断深化联合执法、风险管控、隐患排查等工作。今年以来，共监督建筑工程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37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个、面积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82.3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万平方米，下达停工整改通知书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份、隐患整改通知书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76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份，立案处罚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件，移交案件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件，记录不良行为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起；做好优质精品工程创建工作，今年已创建市级文明小区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个、市级文明工地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个，正在争创省级文明小区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个、省级文明工地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狠抓建筑扬尘管理。坚持日常巡查与重点督查相结合，对施工现场扬尘防治情况开展明察暗访，对达不到标准要求的，严格落实行政处罚、记录不良、停工整顿等措施，倒逼施工企业加强扬尘防治工作，目前，所监管房屋建筑工程基本达到扬尘防治标准。</w:t>
      </w:r>
    </w:p>
    <w:p w:rsidR="00E554D2" w:rsidRPr="00BB5EE9" w:rsidRDefault="00E554D2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BB5EE9">
        <w:rPr>
          <w:rFonts w:ascii="黑体" w:eastAsia="黑体" w:hAnsi="黑体" w:cs="黑体" w:hint="eastAsia"/>
          <w:b/>
          <w:sz w:val="32"/>
          <w:szCs w:val="32"/>
        </w:rPr>
        <w:t>二、存在问题</w:t>
      </w:r>
    </w:p>
    <w:p w:rsidR="00E554D2" w:rsidRPr="00BB5EE9" w:rsidRDefault="00E554D2" w:rsidP="00BB5EE9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spacing w:val="-2"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pacing w:val="-2"/>
          <w:sz w:val="32"/>
          <w:szCs w:val="32"/>
        </w:rPr>
        <w:t>（一）土地指标问题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。为有效利用腾空土地，妥善解决安置房用地和开发商平衡算账用地问题，需尽快调整城中村改造涉及的土地利用规划，并相应增加土地指标。</w:t>
      </w:r>
    </w:p>
    <w:p w:rsidR="00E554D2" w:rsidRPr="00BB5EE9" w:rsidRDefault="00E554D2" w:rsidP="00BB5EE9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spacing w:val="-2"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pacing w:val="-2"/>
          <w:sz w:val="32"/>
          <w:szCs w:val="32"/>
        </w:rPr>
        <w:t>（二）征地拆迁问题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。部分工程项目房屋拆迁和地上附属物清理工作难度大，影响了工程建设进度。</w:t>
      </w:r>
    </w:p>
    <w:p w:rsidR="00E554D2" w:rsidRPr="00BB5EE9" w:rsidRDefault="00E554D2" w:rsidP="00BB5EE9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spacing w:val="-2"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pacing w:val="-2"/>
          <w:sz w:val="32"/>
          <w:szCs w:val="32"/>
        </w:rPr>
        <w:t>（三）建设资金问题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。</w:t>
      </w:r>
    </w:p>
    <w:p w:rsidR="00E554D2" w:rsidRPr="00BB5EE9" w:rsidRDefault="00E554D2" w:rsidP="00BB5EE9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spacing w:val="-2"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pacing w:val="-2"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、棚改融资难度进一步加大。棚改贷款政策逐步收紧，已获批的银行贷款，放款条件严苛、手续繁多、用款难度大，需协调金融机构畅通棚改资金使用绿色通道，加快放款速度。</w:t>
      </w:r>
    </w:p>
    <w:p w:rsidR="00E554D2" w:rsidRPr="00BB5EE9" w:rsidRDefault="00E554D2" w:rsidP="00BB5EE9">
      <w:pPr>
        <w:spacing w:line="560" w:lineRule="exact"/>
        <w:ind w:firstLineChars="200" w:firstLine="634"/>
        <w:rPr>
          <w:rFonts w:ascii="仿宋_GB2312" w:eastAsia="仿宋_GB2312" w:hAnsi="仿宋_GB2312" w:cs="仿宋_GB2312"/>
          <w:b/>
          <w:spacing w:val="-2"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pacing w:val="-2"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、“户户通”工程建设资金缺口较大，目前，仅市级启动资金到位</w:t>
      </w:r>
      <w:r w:rsidRPr="00BB5EE9">
        <w:rPr>
          <w:rFonts w:ascii="仿宋_GB2312" w:eastAsia="仿宋_GB2312" w:hAnsi="仿宋_GB2312" w:cs="仿宋_GB2312"/>
          <w:b/>
          <w:spacing w:val="-2"/>
          <w:sz w:val="32"/>
          <w:szCs w:val="32"/>
        </w:rPr>
        <w:t>425.5</w:t>
      </w:r>
      <w:r w:rsidRPr="00BB5EE9">
        <w:rPr>
          <w:rFonts w:ascii="仿宋_GB2312" w:eastAsia="仿宋_GB2312" w:hAnsi="仿宋_GB2312" w:cs="仿宋_GB2312" w:hint="eastAsia"/>
          <w:b/>
          <w:spacing w:val="-2"/>
          <w:sz w:val="32"/>
          <w:szCs w:val="32"/>
        </w:rPr>
        <w:t>万元，无其他资金来源，资金缺口较大。</w:t>
      </w:r>
    </w:p>
    <w:p w:rsidR="00E554D2" w:rsidRPr="00BB5EE9" w:rsidRDefault="00E554D2">
      <w:pPr>
        <w:spacing w:line="560" w:lineRule="exact"/>
        <w:ind w:firstLine="646"/>
        <w:rPr>
          <w:rFonts w:ascii="黑体" w:eastAsia="黑体" w:hAnsi="黑体" w:cs="黑体"/>
          <w:b/>
          <w:sz w:val="32"/>
          <w:szCs w:val="32"/>
        </w:rPr>
      </w:pPr>
      <w:r w:rsidRPr="00BB5EE9">
        <w:rPr>
          <w:rFonts w:ascii="黑体" w:eastAsia="黑体" w:hAnsi="黑体" w:cs="黑体" w:hint="eastAsia"/>
          <w:b/>
          <w:spacing w:val="-2"/>
          <w:sz w:val="32"/>
          <w:szCs w:val="32"/>
        </w:rPr>
        <w:t>三、</w:t>
      </w:r>
      <w:r w:rsidRPr="00BB5EE9">
        <w:rPr>
          <w:rFonts w:ascii="黑体" w:eastAsia="黑体" w:hAnsi="黑体" w:cs="黑体"/>
          <w:b/>
          <w:sz w:val="32"/>
          <w:szCs w:val="32"/>
        </w:rPr>
        <w:t>2019</w:t>
      </w:r>
      <w:r w:rsidRPr="00BB5EE9">
        <w:rPr>
          <w:rFonts w:ascii="黑体" w:eastAsia="黑体" w:hAnsi="黑体" w:cs="黑体" w:hint="eastAsia"/>
          <w:b/>
          <w:sz w:val="32"/>
          <w:szCs w:val="32"/>
        </w:rPr>
        <w:t>年工作打算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（一）城中村园区村改造方面。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城中村改造是当前我县城建工作的重中之重，也是最大的弱项和“短板”，只有城中村问题得到彻底解决，“脏、乱、差”问题才能得到根治，城市人居环境才能得到彻底好转，城市品质才能实现根本性的提升。当前，棚户区改造政策“窗口机遇期”即将关闭，如果再不抢抓机遇、迎头赶上，而是等待观望、犹豫不决，我县将错失破题良机，解决城中村问题将会难上加难。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2019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年，围绕城中村、园区村改造，将重点做好以下两个方面的工作：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黑体" w:eastAsia="黑体" w:hAnsi="黑体" w:cs="黑体" w:hint="eastAsia"/>
          <w:b/>
          <w:sz w:val="32"/>
          <w:szCs w:val="32"/>
        </w:rPr>
        <w:t>一方面，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协调各有关镇办继续抓好已启动实施的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个社区改造项目</w:t>
      </w: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（高庄社区、西台社区、沂河片区、鱼台社区、沙沟社区、北麻社区、儒林社区、张良社区、沙岭子社区），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千方百计快速推进，确保早日建成并投入使用。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黑体" w:eastAsia="黑体" w:hAnsi="黑体" w:cs="黑体" w:hint="eastAsia"/>
          <w:b/>
          <w:sz w:val="32"/>
          <w:szCs w:val="32"/>
        </w:rPr>
        <w:t>另一方面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，对条件已经成熟的城中村园区村改造项目，协调各有关镇办积极推进，争取尽快启动实施。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经调查摸底并征求各有关镇办意见，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2019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年，计划铺开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9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个村的改造建设，开工建设安置房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2562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套。其中，南麻街道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个村（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付家庄村、东高庄村、北刘庄村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）、历山街道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个村（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中儒林村、西儒林村、东儒林村、前崖村、西北麻村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）、悦庄镇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个村（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儒林集村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。同时，启动实施南麻一村、南麻二村、吴家官庄村改造建设。此外，也通过实施城中村改造，打通城区“丁字路”“断头路”，比如，通过实施沙沟社区改造项目，打通润生路；通过实施北麻社区改造项目，打通新城路；通过实施儒林社区改造项目，打通鲁山路；等等。</w:t>
      </w:r>
    </w:p>
    <w:p w:rsidR="00E554D2" w:rsidRPr="00BB5EE9" w:rsidRDefault="00E554D2">
      <w:pPr>
        <w:spacing w:line="560" w:lineRule="exact"/>
        <w:ind w:firstLine="646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（二）市政道路建设方面。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、康源路工程：西起历山路，东至儒林河西岸，全长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4340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米。主路面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米，两侧各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米隔离带、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米慢车道、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米人行道和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米绿化带。预算投资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2.86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亿元。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、东埠路建设工程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（续建）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：南起新城路，北至人民路，全长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820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米。设计道路红线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米，其中，主路面宽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米，两侧各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米人行道、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米绿化带。预算投资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8500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万元。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、学前路建设工程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（续建）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：西起瑞阳路，东至城北中学，全长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468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米。设计道路红线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米，其中，主路面宽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米，两侧各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米人行道。预算投资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910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万元。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、鲁山路东延工程：西起富源路，东至儒林河西岸，全长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1910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米（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其中，富源路至祥源路段，长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1100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米，现宽度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16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米；祥源路段至儒林河西岸为新建路段，全长</w:t>
      </w:r>
      <w:r w:rsidRPr="00BB5EE9">
        <w:rPr>
          <w:rFonts w:ascii="楷体_GB2312" w:eastAsia="楷体_GB2312" w:hAnsi="楷体_GB2312" w:cs="楷体_GB2312"/>
          <w:b/>
          <w:sz w:val="30"/>
          <w:szCs w:val="30"/>
        </w:rPr>
        <w:t>810</w:t>
      </w:r>
      <w:r w:rsidRPr="00BB5EE9">
        <w:rPr>
          <w:rFonts w:ascii="楷体_GB2312" w:eastAsia="楷体_GB2312" w:hAnsi="楷体_GB2312" w:cs="楷体_GB2312" w:hint="eastAsia"/>
          <w:b/>
          <w:sz w:val="30"/>
          <w:szCs w:val="30"/>
        </w:rPr>
        <w:t>米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）。设计道路红线宽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40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米，其中，主路面宽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米，两侧各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米绿化隔离带、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米慢车道、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米人行道和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米绿化带。预算投资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8770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万元。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5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、北麻路建设工程：东起育才街，西至螳螂河东路，道路全长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800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米，红线宽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米，城市道路等级为次干路，主路宽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米，两侧各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米人行道。预算投资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2300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万元。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6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城区雨污分流工程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: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对胜利路、健康路、振兴路、螳螂河东路等路段雨污合流管道实施改造，预算投资</w:t>
      </w: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8000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万元。</w:t>
      </w:r>
    </w:p>
    <w:p w:rsidR="00E554D2" w:rsidRPr="00BB5EE9" w:rsidRDefault="00E554D2">
      <w:pPr>
        <w:spacing w:line="560" w:lineRule="exact"/>
        <w:ind w:firstLine="646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（三）农村基础设施建设方面。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pacing w:val="-6"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pacing w:val="-6"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pacing w:val="-6"/>
          <w:sz w:val="32"/>
          <w:szCs w:val="32"/>
        </w:rPr>
        <w:t>、加快实施农村旱厕改造工作，全面完成旱厕改造任务。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、加快实施村庄街巷硬化“户户通”工程，全面完成建设任务。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、深入推进冬季清洁取暖工程，确保完成上级下达的任务指标。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、继续开展农村危房改造工作，进一步改善农村群众住房条件。</w:t>
      </w:r>
    </w:p>
    <w:p w:rsidR="00E554D2" w:rsidRPr="00BB5EE9" w:rsidRDefault="00E554D2">
      <w:pPr>
        <w:spacing w:line="560" w:lineRule="exact"/>
        <w:ind w:firstLine="646"/>
        <w:rPr>
          <w:rFonts w:ascii="楷体_GB2312" w:eastAsia="楷体_GB2312" w:hAnsi="楷体_GB2312" w:cs="楷体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（四）公共设施建设方面。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、加快城区公厕和公共停车场建设，确保完成上级下达的任务指标。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、加大管道天然气推广普及力度，协调燃气企业抓好城区供气管网建设，推进燃气主管网向镇驻地延伸，加快实现管道天然气“镇镇通”。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、深入开展城市社区综合治理工作。规范社区物业管理，建立完善物业管理全覆盖长效工作机制，着力解决城市社区涉及民生的突出问题，全面推行“四位一体”的社区管理模式，积极创建文明社区、平安小区、智慧社区，提高群众生活质量和满意度。</w:t>
      </w:r>
    </w:p>
    <w:p w:rsidR="00E554D2" w:rsidRPr="00BB5EE9" w:rsidRDefault="00E554D2">
      <w:pPr>
        <w:spacing w:line="560" w:lineRule="exact"/>
        <w:ind w:firstLine="646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楷体_GB2312" w:eastAsia="楷体_GB2312" w:hAnsi="楷体_GB2312" w:cs="楷体_GB2312" w:hint="eastAsia"/>
          <w:b/>
          <w:sz w:val="32"/>
          <w:szCs w:val="32"/>
        </w:rPr>
        <w:t>（五）建筑行业管理方面。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加强建筑市场管理，突出抓好质量安全、执法监督、扬尘防治、农民工工资清欠等工作，进一步规范市场秩序，确保建筑行业健康平稳运行。</w:t>
      </w:r>
    </w:p>
    <w:p w:rsidR="00E554D2" w:rsidRPr="00BB5EE9" w:rsidRDefault="00E554D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E554D2" w:rsidRPr="00BB5EE9" w:rsidRDefault="00E554D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E554D2" w:rsidRPr="00BB5EE9" w:rsidRDefault="00E554D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 xml:space="preserve">                           </w:t>
      </w:r>
    </w:p>
    <w:p w:rsidR="00E554D2" w:rsidRPr="00BB5EE9" w:rsidRDefault="00E554D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BB5EE9">
        <w:rPr>
          <w:rFonts w:ascii="仿宋_GB2312" w:eastAsia="仿宋_GB2312" w:hAnsi="仿宋_GB2312" w:cs="仿宋_GB2312"/>
          <w:b/>
          <w:sz w:val="32"/>
          <w:szCs w:val="32"/>
        </w:rPr>
        <w:t xml:space="preserve">                                   2018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 w:rsidRPr="00BB5EE9">
        <w:rPr>
          <w:rFonts w:ascii="仿宋_GB2312" w:eastAsia="仿宋_GB2312" w:hAnsi="仿宋_GB2312" w:cs="仿宋_GB2312"/>
          <w:b/>
          <w:sz w:val="32"/>
          <w:szCs w:val="32"/>
        </w:rPr>
        <w:t>11</w:t>
      </w:r>
      <w:r w:rsidRPr="00BB5EE9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</w:p>
    <w:sectPr w:rsidR="00E554D2" w:rsidRPr="00BB5EE9" w:rsidSect="00FD61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D2" w:rsidRDefault="00E554D2" w:rsidP="00FD61B2">
      <w:r>
        <w:separator/>
      </w:r>
    </w:p>
  </w:endnote>
  <w:endnote w:type="continuationSeparator" w:id="0">
    <w:p w:rsidR="00E554D2" w:rsidRDefault="00E554D2" w:rsidP="00FD6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D2" w:rsidRDefault="00E554D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E554D2" w:rsidRDefault="00E554D2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D2" w:rsidRDefault="00E554D2" w:rsidP="00FD61B2">
      <w:r>
        <w:separator/>
      </w:r>
    </w:p>
  </w:footnote>
  <w:footnote w:type="continuationSeparator" w:id="0">
    <w:p w:rsidR="00E554D2" w:rsidRDefault="00E554D2" w:rsidP="00FD6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C140FAA"/>
    <w:rsid w:val="00017EAC"/>
    <w:rsid w:val="0005453C"/>
    <w:rsid w:val="0007251D"/>
    <w:rsid w:val="00080499"/>
    <w:rsid w:val="001473E0"/>
    <w:rsid w:val="001C2F84"/>
    <w:rsid w:val="00297B49"/>
    <w:rsid w:val="002A0FFC"/>
    <w:rsid w:val="002B48D0"/>
    <w:rsid w:val="002B7496"/>
    <w:rsid w:val="002D2324"/>
    <w:rsid w:val="00332E7B"/>
    <w:rsid w:val="004D7B29"/>
    <w:rsid w:val="004E7448"/>
    <w:rsid w:val="00527850"/>
    <w:rsid w:val="005C2326"/>
    <w:rsid w:val="005D047F"/>
    <w:rsid w:val="005D68AA"/>
    <w:rsid w:val="005F4C51"/>
    <w:rsid w:val="00632243"/>
    <w:rsid w:val="006C229C"/>
    <w:rsid w:val="006D7A27"/>
    <w:rsid w:val="00712836"/>
    <w:rsid w:val="007154DA"/>
    <w:rsid w:val="00720FCA"/>
    <w:rsid w:val="007C5771"/>
    <w:rsid w:val="00855BD2"/>
    <w:rsid w:val="008917DA"/>
    <w:rsid w:val="0089744E"/>
    <w:rsid w:val="00927259"/>
    <w:rsid w:val="009329CF"/>
    <w:rsid w:val="00983983"/>
    <w:rsid w:val="00986BC2"/>
    <w:rsid w:val="00A12013"/>
    <w:rsid w:val="00A5614E"/>
    <w:rsid w:val="00B31097"/>
    <w:rsid w:val="00BA3206"/>
    <w:rsid w:val="00BB5EE9"/>
    <w:rsid w:val="00C5356F"/>
    <w:rsid w:val="00C94E7C"/>
    <w:rsid w:val="00CE5797"/>
    <w:rsid w:val="00D15877"/>
    <w:rsid w:val="00D23C3F"/>
    <w:rsid w:val="00DE1693"/>
    <w:rsid w:val="00E11F75"/>
    <w:rsid w:val="00E34D8B"/>
    <w:rsid w:val="00E46E22"/>
    <w:rsid w:val="00E554D2"/>
    <w:rsid w:val="00E654E4"/>
    <w:rsid w:val="00E7413A"/>
    <w:rsid w:val="00E84013"/>
    <w:rsid w:val="00ED28E1"/>
    <w:rsid w:val="00EF0200"/>
    <w:rsid w:val="00F15C30"/>
    <w:rsid w:val="00F67848"/>
    <w:rsid w:val="00FD61B2"/>
    <w:rsid w:val="00FF54B3"/>
    <w:rsid w:val="01C30E23"/>
    <w:rsid w:val="01C72685"/>
    <w:rsid w:val="01EE4035"/>
    <w:rsid w:val="01F25067"/>
    <w:rsid w:val="0228769F"/>
    <w:rsid w:val="02443FA1"/>
    <w:rsid w:val="02E872FE"/>
    <w:rsid w:val="030C4BBE"/>
    <w:rsid w:val="03325BBE"/>
    <w:rsid w:val="039A0152"/>
    <w:rsid w:val="04231AA0"/>
    <w:rsid w:val="0475216F"/>
    <w:rsid w:val="056A6C29"/>
    <w:rsid w:val="059A3C11"/>
    <w:rsid w:val="0796729B"/>
    <w:rsid w:val="07A30050"/>
    <w:rsid w:val="084464DE"/>
    <w:rsid w:val="09A02516"/>
    <w:rsid w:val="0BF306A7"/>
    <w:rsid w:val="0D0C7EF1"/>
    <w:rsid w:val="0DAA7B2B"/>
    <w:rsid w:val="0E8A4506"/>
    <w:rsid w:val="0EA4354B"/>
    <w:rsid w:val="0F4305CE"/>
    <w:rsid w:val="0F73222E"/>
    <w:rsid w:val="0FC90891"/>
    <w:rsid w:val="106535CC"/>
    <w:rsid w:val="110277CA"/>
    <w:rsid w:val="11A44576"/>
    <w:rsid w:val="11E06C76"/>
    <w:rsid w:val="120B065D"/>
    <w:rsid w:val="12B40CF6"/>
    <w:rsid w:val="138957E6"/>
    <w:rsid w:val="13C217FE"/>
    <w:rsid w:val="14707DDE"/>
    <w:rsid w:val="15B958B9"/>
    <w:rsid w:val="16247FD8"/>
    <w:rsid w:val="162946A8"/>
    <w:rsid w:val="16557C91"/>
    <w:rsid w:val="18160751"/>
    <w:rsid w:val="18AE3D7F"/>
    <w:rsid w:val="18FD7E3B"/>
    <w:rsid w:val="193D07FC"/>
    <w:rsid w:val="19946B70"/>
    <w:rsid w:val="1A7C0AD8"/>
    <w:rsid w:val="1B1D7BAB"/>
    <w:rsid w:val="1B9765DF"/>
    <w:rsid w:val="1C186E60"/>
    <w:rsid w:val="1C4D2C81"/>
    <w:rsid w:val="1C5714B8"/>
    <w:rsid w:val="1C642DB6"/>
    <w:rsid w:val="1CA03EAD"/>
    <w:rsid w:val="1CF30A2B"/>
    <w:rsid w:val="1D1017C3"/>
    <w:rsid w:val="1D2032FE"/>
    <w:rsid w:val="1D223957"/>
    <w:rsid w:val="1D874D30"/>
    <w:rsid w:val="1D9F5F79"/>
    <w:rsid w:val="1E015123"/>
    <w:rsid w:val="1E1E4ECA"/>
    <w:rsid w:val="1F0967DD"/>
    <w:rsid w:val="1F5C4C5A"/>
    <w:rsid w:val="1F9011AD"/>
    <w:rsid w:val="210247C7"/>
    <w:rsid w:val="211A4715"/>
    <w:rsid w:val="22B5044F"/>
    <w:rsid w:val="234F4195"/>
    <w:rsid w:val="24D04DDE"/>
    <w:rsid w:val="25602B1D"/>
    <w:rsid w:val="262E69DF"/>
    <w:rsid w:val="269E5E67"/>
    <w:rsid w:val="26E13B17"/>
    <w:rsid w:val="27964F48"/>
    <w:rsid w:val="27B30812"/>
    <w:rsid w:val="28836FD9"/>
    <w:rsid w:val="29BB012B"/>
    <w:rsid w:val="2A576293"/>
    <w:rsid w:val="2A9C3153"/>
    <w:rsid w:val="2B4463E0"/>
    <w:rsid w:val="2B5154D9"/>
    <w:rsid w:val="2B781D01"/>
    <w:rsid w:val="2C013A53"/>
    <w:rsid w:val="2C330F96"/>
    <w:rsid w:val="2D1915C4"/>
    <w:rsid w:val="2D583336"/>
    <w:rsid w:val="2DD3053D"/>
    <w:rsid w:val="2EA402A2"/>
    <w:rsid w:val="2F4E0DAC"/>
    <w:rsid w:val="31B5426D"/>
    <w:rsid w:val="31F774E5"/>
    <w:rsid w:val="3207337A"/>
    <w:rsid w:val="32DD2071"/>
    <w:rsid w:val="330B332F"/>
    <w:rsid w:val="339A2E0B"/>
    <w:rsid w:val="34035DE9"/>
    <w:rsid w:val="343D62E6"/>
    <w:rsid w:val="34403703"/>
    <w:rsid w:val="34760266"/>
    <w:rsid w:val="348D554A"/>
    <w:rsid w:val="34A07D0A"/>
    <w:rsid w:val="34A2123B"/>
    <w:rsid w:val="34D13A02"/>
    <w:rsid w:val="356E7597"/>
    <w:rsid w:val="35F12F84"/>
    <w:rsid w:val="36227934"/>
    <w:rsid w:val="37E93647"/>
    <w:rsid w:val="383353F2"/>
    <w:rsid w:val="39735993"/>
    <w:rsid w:val="39853F89"/>
    <w:rsid w:val="3B1215E2"/>
    <w:rsid w:val="3B503836"/>
    <w:rsid w:val="3B6B4D78"/>
    <w:rsid w:val="3BB648FE"/>
    <w:rsid w:val="3BC82330"/>
    <w:rsid w:val="3C0A4214"/>
    <w:rsid w:val="3C7C4984"/>
    <w:rsid w:val="3CA4026B"/>
    <w:rsid w:val="3D2C3BE5"/>
    <w:rsid w:val="3D825356"/>
    <w:rsid w:val="3EAB071E"/>
    <w:rsid w:val="3ED6411E"/>
    <w:rsid w:val="40623703"/>
    <w:rsid w:val="40E57331"/>
    <w:rsid w:val="41014C02"/>
    <w:rsid w:val="411C6514"/>
    <w:rsid w:val="41A74405"/>
    <w:rsid w:val="42275832"/>
    <w:rsid w:val="42404A97"/>
    <w:rsid w:val="42A5155C"/>
    <w:rsid w:val="432959BD"/>
    <w:rsid w:val="45290312"/>
    <w:rsid w:val="4692485C"/>
    <w:rsid w:val="469F67E3"/>
    <w:rsid w:val="46FC197B"/>
    <w:rsid w:val="476719B2"/>
    <w:rsid w:val="47B251A7"/>
    <w:rsid w:val="47DF28F4"/>
    <w:rsid w:val="48663BE8"/>
    <w:rsid w:val="48EC31E0"/>
    <w:rsid w:val="49292049"/>
    <w:rsid w:val="4A756FB5"/>
    <w:rsid w:val="4BED4C67"/>
    <w:rsid w:val="4C140FAA"/>
    <w:rsid w:val="4D6838B5"/>
    <w:rsid w:val="4D820170"/>
    <w:rsid w:val="4E380F3C"/>
    <w:rsid w:val="4F2A580B"/>
    <w:rsid w:val="4F3A53C5"/>
    <w:rsid w:val="50666265"/>
    <w:rsid w:val="50A37B8D"/>
    <w:rsid w:val="52EE0D60"/>
    <w:rsid w:val="530E6306"/>
    <w:rsid w:val="53836F0D"/>
    <w:rsid w:val="5462107D"/>
    <w:rsid w:val="54F7472D"/>
    <w:rsid w:val="55314125"/>
    <w:rsid w:val="554B5445"/>
    <w:rsid w:val="56240D9F"/>
    <w:rsid w:val="567B3C55"/>
    <w:rsid w:val="573D3DEC"/>
    <w:rsid w:val="579E1C24"/>
    <w:rsid w:val="57E235FB"/>
    <w:rsid w:val="592B659F"/>
    <w:rsid w:val="59335209"/>
    <w:rsid w:val="5C24140B"/>
    <w:rsid w:val="5C3E3DAB"/>
    <w:rsid w:val="5DBA21B8"/>
    <w:rsid w:val="5DE87016"/>
    <w:rsid w:val="5E0B5CA4"/>
    <w:rsid w:val="5E174C69"/>
    <w:rsid w:val="5E1C7DAF"/>
    <w:rsid w:val="6140251D"/>
    <w:rsid w:val="61B33FBF"/>
    <w:rsid w:val="61FD6029"/>
    <w:rsid w:val="62440419"/>
    <w:rsid w:val="627E51DF"/>
    <w:rsid w:val="62DD6B9E"/>
    <w:rsid w:val="63870D74"/>
    <w:rsid w:val="63DB73EA"/>
    <w:rsid w:val="640704E5"/>
    <w:rsid w:val="64DE6A55"/>
    <w:rsid w:val="64F9584A"/>
    <w:rsid w:val="65484A27"/>
    <w:rsid w:val="6862129D"/>
    <w:rsid w:val="68A12386"/>
    <w:rsid w:val="68EF464F"/>
    <w:rsid w:val="697B6995"/>
    <w:rsid w:val="69DB4E04"/>
    <w:rsid w:val="6A115A9C"/>
    <w:rsid w:val="6A3C1B7E"/>
    <w:rsid w:val="6AC76342"/>
    <w:rsid w:val="6B8F72A1"/>
    <w:rsid w:val="6C0A2BB1"/>
    <w:rsid w:val="6CC867A4"/>
    <w:rsid w:val="6D2E73DA"/>
    <w:rsid w:val="6D3F63ED"/>
    <w:rsid w:val="6D4E22CB"/>
    <w:rsid w:val="6D535020"/>
    <w:rsid w:val="6D691963"/>
    <w:rsid w:val="6DC64E6F"/>
    <w:rsid w:val="6E2121C4"/>
    <w:rsid w:val="6ECF693E"/>
    <w:rsid w:val="6FAE7FB0"/>
    <w:rsid w:val="6FF46E61"/>
    <w:rsid w:val="704D778E"/>
    <w:rsid w:val="707E2927"/>
    <w:rsid w:val="71CC093C"/>
    <w:rsid w:val="71FF2608"/>
    <w:rsid w:val="72223EAA"/>
    <w:rsid w:val="7230470E"/>
    <w:rsid w:val="724E5978"/>
    <w:rsid w:val="72DA1407"/>
    <w:rsid w:val="74B17615"/>
    <w:rsid w:val="75D63276"/>
    <w:rsid w:val="761F1814"/>
    <w:rsid w:val="763C12ED"/>
    <w:rsid w:val="76463FC2"/>
    <w:rsid w:val="765D41DE"/>
    <w:rsid w:val="767624CA"/>
    <w:rsid w:val="76896BCE"/>
    <w:rsid w:val="77450A71"/>
    <w:rsid w:val="77BB6144"/>
    <w:rsid w:val="783327EA"/>
    <w:rsid w:val="7A1B6795"/>
    <w:rsid w:val="7A6A596F"/>
    <w:rsid w:val="7AD6576C"/>
    <w:rsid w:val="7B820191"/>
    <w:rsid w:val="7C0C51F7"/>
    <w:rsid w:val="7C6C08E0"/>
    <w:rsid w:val="7E5356EF"/>
    <w:rsid w:val="7E6634A2"/>
    <w:rsid w:val="7E7E067D"/>
    <w:rsid w:val="7E820A14"/>
    <w:rsid w:val="7E9C13F3"/>
    <w:rsid w:val="7EBB571A"/>
    <w:rsid w:val="7EEA4204"/>
    <w:rsid w:val="7F35584B"/>
    <w:rsid w:val="7F551622"/>
    <w:rsid w:val="7F723D86"/>
    <w:rsid w:val="7F8C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B2"/>
    <w:pPr>
      <w:widowControl w:val="0"/>
      <w:jc w:val="both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61B2"/>
    <w:pPr>
      <w:keepNext/>
      <w:keepLines/>
      <w:spacing w:line="416" w:lineRule="auto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61B2"/>
    <w:rPr>
      <w:rFonts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FD61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61B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61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61B2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FD61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31</TotalTime>
  <Pages>8</Pages>
  <Words>610</Words>
  <Characters>3477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</cp:lastModifiedBy>
  <cp:revision>28</cp:revision>
  <cp:lastPrinted>2018-11-09T08:49:00Z</cp:lastPrinted>
  <dcterms:created xsi:type="dcterms:W3CDTF">2018-10-08T02:31:00Z</dcterms:created>
  <dcterms:modified xsi:type="dcterms:W3CDTF">2018-11-13T06:53:00Z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