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i w:val="0"/>
          <w:caps w:val="0"/>
          <w:color w:val="000000"/>
          <w:spacing w:val="0"/>
          <w:sz w:val="44"/>
          <w:szCs w:val="44"/>
          <w:lang w:eastAsia="zh-CN"/>
        </w:rPr>
      </w:pPr>
      <w:r>
        <w:rPr>
          <w:rFonts w:hint="eastAsia" w:ascii="方正小标宋简体" w:hAnsi="方正小标宋简体" w:eastAsia="方正小标宋简体" w:cs="方正小标宋简体"/>
          <w:b w:val="0"/>
          <w:bCs/>
          <w:i w:val="0"/>
          <w:caps w:val="0"/>
          <w:color w:val="000000"/>
          <w:spacing w:val="0"/>
          <w:sz w:val="44"/>
          <w:szCs w:val="44"/>
          <w:lang w:val="en-US" w:eastAsia="zh-CN"/>
        </w:rPr>
        <w:t>沂源县</w:t>
      </w:r>
      <w:r>
        <w:rPr>
          <w:rFonts w:hint="eastAsia" w:ascii="方正小标宋简体" w:hAnsi="方正小标宋简体" w:eastAsia="方正小标宋简体" w:cs="方正小标宋简体"/>
          <w:b w:val="0"/>
          <w:bCs/>
          <w:i w:val="0"/>
          <w:caps w:val="0"/>
          <w:color w:val="000000"/>
          <w:spacing w:val="0"/>
          <w:sz w:val="44"/>
          <w:szCs w:val="44"/>
          <w:lang w:eastAsia="zh-CN"/>
        </w:rPr>
        <w:t>人民政府办公室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i w:val="0"/>
          <w:caps w:val="0"/>
          <w:color w:val="000000"/>
          <w:spacing w:val="0"/>
          <w:sz w:val="44"/>
          <w:szCs w:val="44"/>
        </w:rPr>
      </w:pPr>
      <w:r>
        <w:rPr>
          <w:rFonts w:hint="eastAsia" w:ascii="方正小标宋简体" w:hAnsi="方正小标宋简体" w:eastAsia="方正小标宋简体" w:cs="方正小标宋简体"/>
          <w:b w:val="0"/>
          <w:bCs/>
          <w:i w:val="0"/>
          <w:caps w:val="0"/>
          <w:color w:val="000000"/>
          <w:spacing w:val="0"/>
          <w:sz w:val="44"/>
          <w:szCs w:val="44"/>
        </w:rPr>
        <w:t>202</w:t>
      </w:r>
      <w:r>
        <w:rPr>
          <w:rFonts w:hint="eastAsia" w:ascii="方正小标宋简体" w:hAnsi="方正小标宋简体" w:eastAsia="方正小标宋简体" w:cs="方正小标宋简体"/>
          <w:b w:val="0"/>
          <w:bCs/>
          <w:i w:val="0"/>
          <w:caps w:val="0"/>
          <w:color w:val="000000"/>
          <w:spacing w:val="0"/>
          <w:sz w:val="44"/>
          <w:szCs w:val="44"/>
          <w:lang w:val="en-US" w:eastAsia="zh-CN"/>
        </w:rPr>
        <w:t>2</w:t>
      </w:r>
      <w:r>
        <w:rPr>
          <w:rFonts w:hint="eastAsia" w:ascii="方正小标宋简体" w:hAnsi="方正小标宋简体" w:eastAsia="方正小标宋简体" w:cs="方正小标宋简体"/>
          <w:b w:val="0"/>
          <w:bCs/>
          <w:i w:val="0"/>
          <w:caps w:val="0"/>
          <w:color w:val="000000"/>
          <w:spacing w:val="0"/>
          <w:sz w:val="44"/>
          <w:szCs w:val="44"/>
        </w:rPr>
        <w:t>年政府信息公开工作年度报告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kern w:val="2"/>
          <w:sz w:val="32"/>
          <w:szCs w:val="32"/>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依据《中华人民共和国政府信息公开条例》(以下简称《条例》)和《关于印发中华人民共和国政府信息公开工作年度报告格式的通知》(国办公开办函〔2021〕30号)要求，编制本报告。</w:t>
      </w:r>
      <w:r>
        <w:rPr>
          <w:rFonts w:hint="eastAsia" w:ascii="Times New Roman" w:hAnsi="Times New Roman" w:eastAsia="仿宋_GB2312" w:cs="Times New Roman"/>
          <w:b w:val="0"/>
          <w:bCs w:val="0"/>
          <w:color w:val="auto"/>
          <w:kern w:val="2"/>
          <w:sz w:val="32"/>
          <w:szCs w:val="32"/>
          <w:lang w:val="en-US" w:eastAsia="zh-CN" w:bidi="ar-SA"/>
        </w:rPr>
        <w:t>本年度报告中所列数据的统计期限自2022年1月1日起，至2022年12月31日止。</w:t>
      </w:r>
      <w:r>
        <w:rPr>
          <w:rFonts w:hint="default" w:ascii="Times New Roman" w:hAnsi="Times New Roman" w:eastAsia="仿宋_GB2312" w:cs="Times New Roman"/>
          <w:b w:val="0"/>
          <w:bCs w:val="0"/>
          <w:color w:val="auto"/>
          <w:kern w:val="2"/>
          <w:sz w:val="32"/>
          <w:szCs w:val="32"/>
          <w:lang w:val="en-US" w:eastAsia="zh-CN" w:bidi="ar-SA"/>
        </w:rPr>
        <w:t>年报电子版可从</w:t>
      </w:r>
      <w:r>
        <w:rPr>
          <w:rFonts w:hint="eastAsia" w:ascii="Times New Roman" w:hAnsi="Times New Roman" w:eastAsia="仿宋_GB2312" w:cs="Times New Roman"/>
          <w:b w:val="0"/>
          <w:bCs w:val="0"/>
          <w:color w:val="auto"/>
          <w:kern w:val="2"/>
          <w:sz w:val="32"/>
          <w:szCs w:val="32"/>
          <w:lang w:val="en-US" w:eastAsia="zh-CN" w:bidi="ar-SA"/>
        </w:rPr>
        <w:t>沂源县人民政府</w:t>
      </w:r>
      <w:r>
        <w:rPr>
          <w:rFonts w:hint="default" w:ascii="Times New Roman" w:hAnsi="Times New Roman" w:eastAsia="仿宋_GB2312" w:cs="Times New Roman"/>
          <w:b w:val="0"/>
          <w:bCs w:val="0"/>
          <w:color w:val="auto"/>
          <w:kern w:val="2"/>
          <w:sz w:val="32"/>
          <w:szCs w:val="32"/>
          <w:lang w:val="en-US" w:eastAsia="zh-CN" w:bidi="ar-SA"/>
        </w:rPr>
        <w:t xml:space="preserve">门户网站的政府信息公开年报栏目（http://www.yiyuan.gov.cn/gongkai/）下载。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如对报告内容有疑问，请与</w:t>
      </w:r>
      <w:r>
        <w:rPr>
          <w:rFonts w:hint="eastAsia" w:ascii="Times New Roman" w:hAnsi="Times New Roman" w:eastAsia="仿宋_GB2312" w:cs="Times New Roman"/>
          <w:b w:val="0"/>
          <w:bCs w:val="0"/>
          <w:color w:val="auto"/>
          <w:kern w:val="2"/>
          <w:sz w:val="32"/>
          <w:szCs w:val="32"/>
          <w:lang w:val="en-US" w:eastAsia="zh-CN" w:bidi="ar-SA"/>
        </w:rPr>
        <w:t>沂源县人民政府办公室</w:t>
      </w:r>
      <w:r>
        <w:rPr>
          <w:rFonts w:hint="default" w:ascii="Times New Roman" w:hAnsi="Times New Roman" w:eastAsia="仿宋_GB2312" w:cs="Times New Roman"/>
          <w:b w:val="0"/>
          <w:bCs w:val="0"/>
          <w:color w:val="auto"/>
          <w:kern w:val="2"/>
          <w:sz w:val="32"/>
          <w:szCs w:val="32"/>
          <w:lang w:val="en-US" w:eastAsia="zh-CN" w:bidi="ar-SA"/>
        </w:rPr>
        <w:t>联系（地址：</w:t>
      </w:r>
      <w:r>
        <w:rPr>
          <w:rFonts w:hint="eastAsia" w:ascii="Times New Roman" w:hAnsi="Times New Roman" w:eastAsia="仿宋_GB2312" w:cs="Times New Roman"/>
          <w:b w:val="0"/>
          <w:bCs w:val="0"/>
          <w:color w:val="auto"/>
          <w:kern w:val="2"/>
          <w:sz w:val="32"/>
          <w:szCs w:val="32"/>
          <w:lang w:val="en-US" w:eastAsia="zh-CN" w:bidi="ar-SA"/>
        </w:rPr>
        <w:t>山东省淄博市沂源县振兴路61号</w:t>
      </w:r>
      <w:r>
        <w:rPr>
          <w:rFonts w:hint="default" w:ascii="Times New Roman" w:hAnsi="Times New Roman" w:eastAsia="仿宋_GB2312" w:cs="Times New Roman"/>
          <w:b w:val="0"/>
          <w:bCs w:val="0"/>
          <w:color w:val="auto"/>
          <w:kern w:val="2"/>
          <w:sz w:val="32"/>
          <w:szCs w:val="32"/>
          <w:lang w:val="en-US" w:eastAsia="zh-CN" w:bidi="ar-SA"/>
        </w:rPr>
        <w:t>；邮编：</w:t>
      </w:r>
      <w:r>
        <w:rPr>
          <w:rFonts w:hint="eastAsia" w:ascii="Times New Roman" w:hAnsi="Times New Roman" w:eastAsia="仿宋_GB2312" w:cs="Times New Roman"/>
          <w:b w:val="0"/>
          <w:bCs w:val="0"/>
          <w:color w:val="auto"/>
          <w:kern w:val="2"/>
          <w:sz w:val="32"/>
          <w:szCs w:val="32"/>
          <w:lang w:val="en-US" w:eastAsia="zh-CN" w:bidi="ar-SA"/>
        </w:rPr>
        <w:t>256100</w:t>
      </w:r>
      <w:r>
        <w:rPr>
          <w:rFonts w:hint="default" w:ascii="Times New Roman" w:hAnsi="Times New Roman" w:eastAsia="仿宋_GB2312" w:cs="Times New Roman"/>
          <w:b w:val="0"/>
          <w:bCs w:val="0"/>
          <w:color w:val="auto"/>
          <w:kern w:val="2"/>
          <w:sz w:val="32"/>
          <w:szCs w:val="32"/>
          <w:lang w:val="en-US" w:eastAsia="zh-CN" w:bidi="ar-SA"/>
        </w:rPr>
        <w:t>；电话：</w:t>
      </w:r>
      <w:r>
        <w:rPr>
          <w:rFonts w:hint="eastAsia" w:ascii="Times New Roman" w:hAnsi="Times New Roman" w:eastAsia="仿宋_GB2312" w:cs="Times New Roman"/>
          <w:b w:val="0"/>
          <w:bCs w:val="0"/>
          <w:color w:val="auto"/>
          <w:kern w:val="2"/>
          <w:sz w:val="32"/>
          <w:szCs w:val="32"/>
          <w:lang w:val="en-US" w:eastAsia="zh-CN" w:bidi="ar-SA"/>
        </w:rPr>
        <w:t>0533-3228369</w:t>
      </w:r>
      <w:r>
        <w:rPr>
          <w:rFonts w:hint="default" w:ascii="Times New Roman" w:hAnsi="Times New Roman" w:eastAsia="仿宋_GB2312" w:cs="Times New Roman"/>
          <w:b w:val="0"/>
          <w:bCs w:val="0"/>
          <w:color w:val="auto"/>
          <w:kern w:val="2"/>
          <w:sz w:val="32"/>
          <w:szCs w:val="32"/>
          <w:lang w:val="en-US" w:eastAsia="zh-CN" w:bidi="ar-SA"/>
        </w:rPr>
        <w:t>；邮箱：yyxzwgk@zb.shandong.cn）。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黑体" w:hAnsi="黑体" w:eastAsia="黑体" w:cs="黑体"/>
          <w:b/>
          <w:i w:val="0"/>
          <w:caps w:val="0"/>
          <w:color w:val="auto"/>
          <w:spacing w:val="0"/>
          <w:sz w:val="32"/>
          <w:szCs w:val="32"/>
          <w:shd w:val="clear" w:color="auto" w:fill="FFFFFF"/>
        </w:rPr>
      </w:pPr>
      <w:r>
        <w:rPr>
          <w:rFonts w:hint="eastAsia" w:ascii="黑体" w:hAnsi="黑体" w:eastAsia="黑体" w:cs="黑体"/>
          <w:b w:val="0"/>
          <w:bCs/>
          <w:i w:val="0"/>
          <w:iCs w:val="0"/>
          <w:caps w:val="0"/>
          <w:color w:val="auto"/>
          <w:spacing w:val="0"/>
          <w:sz w:val="32"/>
          <w:szCs w:val="32"/>
          <w:shd w:val="clear" w:color="auto" w:fill="FFFFFF"/>
        </w:rPr>
        <w:t>一、总体情况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2022年，沂源县人民政府办公室坚持以习近平新时代中国特色社会主义思想为指导，认真贯彻落实《条例》和政府信息公开工作的有关规定和要求，紧紧围绕基层政务公开标准化规范化目标，以公开促落实、促规范、促服务，促进政府治理现代化，全面推进政府信息公开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Times New Roman" w:hAnsi="Times New Roman" w:eastAsia="仿宋_GB2312" w:cs="Times New Roman"/>
          <w:b w:val="0"/>
          <w:bCs w:val="0"/>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（一）进一步深化主动公开工作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2022年沂源县人民政府办公室共主动公开政府信息242条，其中规范性文件5件，政策文件57件，转发新闻动态类信息59</w:t>
      </w:r>
      <w:r>
        <w:rPr>
          <w:rFonts w:hint="eastAsia" w:ascii="Times New Roman" w:hAnsi="Times New Roman" w:eastAsia="仿宋_GB2312" w:cs="Times New Roman"/>
          <w:b w:val="0"/>
          <w:bCs w:val="0"/>
          <w:color w:val="auto"/>
          <w:kern w:val="2"/>
          <w:sz w:val="32"/>
          <w:szCs w:val="32"/>
          <w:highlight w:val="none"/>
          <w:lang w:val="en-US" w:eastAsia="zh-CN" w:bidi="ar-SA"/>
        </w:rPr>
        <w:t>条。</w:t>
      </w:r>
      <w:r>
        <w:rPr>
          <w:rFonts w:hint="eastAsia" w:ascii="Times New Roman" w:hAnsi="Times New Roman" w:eastAsia="仿宋_GB2312" w:cs="Times New Roman"/>
          <w:b w:val="0"/>
          <w:bCs w:val="0"/>
          <w:color w:val="auto"/>
          <w:kern w:val="2"/>
          <w:sz w:val="32"/>
          <w:szCs w:val="32"/>
          <w:lang w:val="en-US" w:eastAsia="zh-CN" w:bidi="ar-SA"/>
        </w:rPr>
        <w:t>印发《沂源县人民政府办公室关于进一步规范和加强政策解读工作的通知》，规范解读程序、明确解读范围，规范了政策执行行为，促进了政策执行落地，切实发挥了政策效应。年内对40余件政策文件进行了多形式解读</w:t>
      </w:r>
      <w:r>
        <w:rPr>
          <w:rFonts w:hint="eastAsia" w:ascii="Times New Roman" w:hAnsi="Times New Roman" w:eastAsia="仿宋_GB2312" w:cs="Times New Roman"/>
          <w:b w:val="0"/>
          <w:bCs w:val="0"/>
          <w:color w:val="auto"/>
          <w:kern w:val="2"/>
          <w:sz w:val="32"/>
          <w:szCs w:val="32"/>
          <w:highlight w:val="none"/>
          <w:lang w:val="en-US" w:eastAsia="zh-CN" w:bidi="ar-SA"/>
        </w:rPr>
        <w:t>，其中发布文稿解读40件、图文解读15件、动漫解读9件，其他类型解读15件。</w:t>
      </w:r>
      <w:r>
        <w:rPr>
          <w:rFonts w:hint="eastAsia" w:ascii="Times New Roman" w:hAnsi="Times New Roman" w:eastAsia="仿宋_GB2312" w:cs="Times New Roman"/>
          <w:b w:val="0"/>
          <w:bCs w:val="0"/>
          <w:color w:val="auto"/>
          <w:kern w:val="2"/>
          <w:sz w:val="32"/>
          <w:szCs w:val="32"/>
          <w:lang w:val="en-US" w:eastAsia="zh-CN" w:bidi="ar-SA"/>
        </w:rPr>
        <w:t>积极做好“民生连线”和“12345便民服务热线”办件办理工作，进一步加强回应关切力度。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left"/>
        <w:textAlignment w:val="auto"/>
        <w:outlineLvl w:val="9"/>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楷体_GB2312" w:cs="Times New Roman"/>
          <w:b/>
          <w:bCs/>
          <w:color w:val="auto"/>
          <w:kern w:val="2"/>
          <w:sz w:val="32"/>
          <w:szCs w:val="32"/>
          <w:lang w:val="en-US" w:eastAsia="zh-CN" w:bidi="ar-SA"/>
        </w:rPr>
        <w:t>（二）</w:t>
      </w:r>
      <w:r>
        <w:rPr>
          <w:rFonts w:hint="eastAsia" w:ascii="Times New Roman" w:hAnsi="Times New Roman" w:eastAsia="楷体_GB2312" w:cs="Times New Roman"/>
          <w:b/>
          <w:bCs/>
          <w:color w:val="auto"/>
          <w:kern w:val="2"/>
          <w:sz w:val="32"/>
          <w:szCs w:val="32"/>
          <w:lang w:val="en-US" w:eastAsia="zh-CN" w:bidi="ar-SA"/>
        </w:rPr>
        <w:t>持续推进</w:t>
      </w:r>
      <w:r>
        <w:rPr>
          <w:rFonts w:hint="default" w:ascii="Times New Roman" w:hAnsi="Times New Roman" w:eastAsia="楷体_GB2312" w:cs="Times New Roman"/>
          <w:b/>
          <w:bCs/>
          <w:color w:val="auto"/>
          <w:kern w:val="2"/>
          <w:sz w:val="32"/>
          <w:szCs w:val="32"/>
          <w:lang w:val="en-US" w:eastAsia="zh-CN" w:bidi="ar-SA"/>
        </w:rPr>
        <w:t>依申请公开</w:t>
      </w:r>
      <w:r>
        <w:rPr>
          <w:rFonts w:hint="eastAsia" w:ascii="Times New Roman" w:hAnsi="Times New Roman" w:eastAsia="楷体_GB2312" w:cs="Times New Roman"/>
          <w:b/>
          <w:bCs/>
          <w:color w:val="auto"/>
          <w:kern w:val="2"/>
          <w:sz w:val="32"/>
          <w:szCs w:val="32"/>
          <w:lang w:val="en-US" w:eastAsia="zh-CN" w:bidi="ar-SA"/>
        </w:rPr>
        <w:t>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Times New Roman" w:hAnsi="Times New Roman" w:eastAsia="仿宋_GB2312" w:cs="Times New Roman"/>
          <w:b w:val="0"/>
          <w:bCs w:val="0"/>
          <w:color w:val="auto"/>
          <w:kern w:val="2"/>
          <w:sz w:val="32"/>
          <w:szCs w:val="32"/>
          <w:lang w:val="en-US" w:eastAsia="zh-CN" w:bidi="ar-SA"/>
        </w:rPr>
      </w:pPr>
      <w:r>
        <w:rPr>
          <w:rFonts w:hint="eastAsia" w:ascii="仿宋_GB2312" w:hAnsi="仿宋_GB2312" w:eastAsia="仿宋_GB2312" w:cs="仿宋_GB2312"/>
          <w:kern w:val="2"/>
          <w:sz w:val="32"/>
          <w:szCs w:val="32"/>
          <w:lang w:val="en-US" w:eastAsia="zh-CN" w:bidi="ar-SA"/>
        </w:rPr>
        <w:t>建立健全完善依申请公开工作制度，进一步规范政府信息公开申请受理、答复、审查等环节，严格落实《沂源县依申请公开备案制度》，对所有申请件实行“一案一档”管理。</w:t>
      </w:r>
      <w:r>
        <w:rPr>
          <w:rFonts w:hint="default" w:ascii="Times New Roman" w:hAnsi="Times New Roman" w:eastAsia="仿宋_GB2312" w:cs="Times New Roman"/>
          <w:b w:val="0"/>
          <w:bCs w:val="0"/>
          <w:color w:val="auto"/>
          <w:kern w:val="2"/>
          <w:sz w:val="32"/>
          <w:szCs w:val="32"/>
          <w:lang w:val="en-US" w:eastAsia="zh-CN" w:bidi="ar-SA"/>
        </w:rPr>
        <w:t>2022年</w:t>
      </w:r>
      <w:r>
        <w:rPr>
          <w:rFonts w:hint="eastAsia" w:ascii="Times New Roman" w:hAnsi="Times New Roman" w:eastAsia="仿宋_GB2312" w:cs="Times New Roman"/>
          <w:b w:val="0"/>
          <w:bCs w:val="0"/>
          <w:color w:val="auto"/>
          <w:kern w:val="2"/>
          <w:sz w:val="32"/>
          <w:szCs w:val="32"/>
          <w:lang w:val="en-US" w:eastAsia="zh-CN" w:bidi="ar-SA"/>
        </w:rPr>
        <w:t>，县</w:t>
      </w:r>
      <w:r>
        <w:rPr>
          <w:rFonts w:hint="default" w:ascii="Times New Roman" w:hAnsi="Times New Roman" w:eastAsia="仿宋_GB2312" w:cs="Times New Roman"/>
          <w:b w:val="0"/>
          <w:bCs w:val="0"/>
          <w:color w:val="auto"/>
          <w:kern w:val="2"/>
          <w:sz w:val="32"/>
          <w:szCs w:val="32"/>
          <w:lang w:val="en-US" w:eastAsia="zh-CN" w:bidi="ar-SA"/>
        </w:rPr>
        <w:t>政府办公室共</w:t>
      </w:r>
      <w:r>
        <w:rPr>
          <w:rFonts w:hint="eastAsia" w:ascii="Times New Roman" w:hAnsi="Times New Roman" w:eastAsia="仿宋_GB2312" w:cs="Times New Roman"/>
          <w:b w:val="0"/>
          <w:bCs w:val="0"/>
          <w:color w:val="auto"/>
          <w:kern w:val="2"/>
          <w:sz w:val="32"/>
          <w:szCs w:val="32"/>
          <w:lang w:val="en-US" w:eastAsia="zh-CN" w:bidi="ar-SA"/>
        </w:rPr>
        <w:t>收到和办理</w:t>
      </w:r>
      <w:r>
        <w:rPr>
          <w:rFonts w:hint="default" w:ascii="Times New Roman" w:hAnsi="Times New Roman" w:eastAsia="仿宋_GB2312" w:cs="Times New Roman"/>
          <w:b w:val="0"/>
          <w:bCs w:val="0"/>
          <w:color w:val="auto"/>
          <w:kern w:val="2"/>
          <w:sz w:val="32"/>
          <w:szCs w:val="32"/>
          <w:lang w:val="en-US" w:eastAsia="zh-CN" w:bidi="ar-SA"/>
        </w:rPr>
        <w:t>政府信息公开申请</w:t>
      </w:r>
      <w:r>
        <w:rPr>
          <w:rFonts w:hint="eastAsia" w:ascii="Times New Roman" w:hAnsi="Times New Roman" w:eastAsia="仿宋_GB2312" w:cs="Times New Roman"/>
          <w:b w:val="0"/>
          <w:bCs w:val="0"/>
          <w:color w:val="auto"/>
          <w:kern w:val="2"/>
          <w:sz w:val="32"/>
          <w:szCs w:val="32"/>
          <w:lang w:val="en-US" w:eastAsia="zh-CN" w:bidi="ar-SA"/>
        </w:rPr>
        <w:t>24</w:t>
      </w:r>
      <w:r>
        <w:rPr>
          <w:rFonts w:hint="default" w:ascii="Times New Roman" w:hAnsi="Times New Roman" w:eastAsia="仿宋_GB2312" w:cs="Times New Roman"/>
          <w:b w:val="0"/>
          <w:bCs w:val="0"/>
          <w:color w:val="auto"/>
          <w:kern w:val="2"/>
          <w:sz w:val="32"/>
          <w:szCs w:val="32"/>
          <w:lang w:val="en-US" w:eastAsia="zh-CN" w:bidi="ar-SA"/>
        </w:rPr>
        <w:t>件，</w:t>
      </w:r>
      <w:r>
        <w:rPr>
          <w:rFonts w:hint="eastAsia" w:ascii="Times New Roman" w:hAnsi="Times New Roman" w:eastAsia="仿宋_GB2312" w:cs="Times New Roman"/>
          <w:b w:val="0"/>
          <w:bCs w:val="0"/>
          <w:color w:val="auto"/>
          <w:kern w:val="2"/>
          <w:sz w:val="32"/>
          <w:szCs w:val="32"/>
          <w:lang w:val="en-US" w:eastAsia="zh-CN" w:bidi="ar-SA"/>
        </w:rPr>
        <w:t>较去年增长1件，内容主要涉及土地征收和补偿安置等方面，所有办件均依法依规按期答复。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overflowPunct/>
        <w:topLinePunct w:val="0"/>
        <w:autoSpaceDE/>
        <w:autoSpaceDN/>
        <w:bidi w:val="0"/>
        <w:adjustRightInd/>
        <w:snapToGrid/>
        <w:spacing w:before="0" w:beforeAutospacing="0" w:after="0" w:afterAutospacing="0" w:line="240" w:lineRule="auto"/>
        <w:ind w:left="0" w:leftChars="0" w:right="0" w:rightChars="0" w:firstLine="643" w:firstLineChars="200"/>
        <w:jc w:val="both"/>
        <w:textAlignment w:val="auto"/>
        <w:outlineLvl w:val="9"/>
        <w:rPr>
          <w:rFonts w:hint="default" w:ascii="Times New Roman" w:hAnsi="Times New Roman" w:eastAsia="楷体_GB2312" w:cs="Times New Roman"/>
          <w:b/>
          <w:bCs/>
          <w:color w:val="auto"/>
          <w:kern w:val="2"/>
          <w:sz w:val="32"/>
          <w:szCs w:val="32"/>
          <w:lang w:val="en-US" w:eastAsia="zh-CN" w:bidi="ar-SA"/>
        </w:rPr>
      </w:pPr>
      <w:bookmarkStart w:id="0" w:name="_GoBack"/>
      <w:r>
        <w:rPr>
          <w:rFonts w:hint="default" w:ascii="Times New Roman" w:hAnsi="Times New Roman" w:eastAsia="楷体_GB2312" w:cs="Times New Roman"/>
          <w:b/>
          <w:bCs/>
          <w:color w:val="auto"/>
          <w:kern w:val="2"/>
          <w:sz w:val="32"/>
          <w:szCs w:val="32"/>
          <w:lang w:val="en-US" w:eastAsia="zh-CN" w:bidi="ar-SA"/>
        </w:rPr>
        <w:drawing>
          <wp:inline distT="0" distB="0" distL="114300" distR="114300">
            <wp:extent cx="4552950" cy="2809875"/>
            <wp:effectExtent l="0" t="0" r="0" b="9525"/>
            <wp:docPr id="3" name="图片 3" descr="依申请公开办理数量（柱状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依申请公开办理数量（柱状图）"/>
                    <pic:cNvPicPr>
                      <a:picLocks noChangeAspect="1"/>
                    </pic:cNvPicPr>
                  </pic:nvPicPr>
                  <pic:blipFill>
                    <a:blip r:embed="rId4"/>
                    <a:stretch>
                      <a:fillRect/>
                    </a:stretch>
                  </pic:blipFill>
                  <pic:spPr>
                    <a:xfrm>
                      <a:off x="0" y="0"/>
                      <a:ext cx="4552950" cy="2809875"/>
                    </a:xfrm>
                    <a:prstGeom prst="rect">
                      <a:avLst/>
                    </a:prstGeom>
                  </pic:spPr>
                </pic:pic>
              </a:graphicData>
            </a:graphic>
          </wp:inline>
        </w:drawing>
      </w:r>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楷体_GB2312" w:cs="Times New Roman"/>
          <w:b/>
          <w:bCs/>
          <w:color w:val="auto"/>
          <w:kern w:val="2"/>
          <w:sz w:val="32"/>
          <w:szCs w:val="32"/>
          <w:lang w:val="en-US" w:eastAsia="zh-CN" w:bidi="ar-SA"/>
        </w:rPr>
      </w:pPr>
      <w:r>
        <w:rPr>
          <w:rFonts w:hint="default" w:ascii="Times New Roman" w:hAnsi="Times New Roman" w:eastAsia="楷体_GB2312" w:cs="Times New Roman"/>
          <w:b/>
          <w:bCs/>
          <w:color w:val="auto"/>
          <w:kern w:val="2"/>
          <w:sz w:val="32"/>
          <w:szCs w:val="32"/>
          <w:lang w:val="en-US" w:eastAsia="zh-CN" w:bidi="ar-SA"/>
        </w:rPr>
        <w:t>（三）政府信息管理方面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一是按照省、市、县政务公开工作要点的部署安排，动态更新</w:t>
      </w:r>
      <w:r>
        <w:rPr>
          <w:rFonts w:hint="default" w:ascii="Times New Roman" w:hAnsi="Times New Roman" w:eastAsia="仿宋_GB2312" w:cs="Times New Roman"/>
          <w:b w:val="0"/>
          <w:bCs w:val="0"/>
          <w:color w:val="auto"/>
          <w:kern w:val="2"/>
          <w:sz w:val="32"/>
          <w:szCs w:val="32"/>
          <w:lang w:val="en-US" w:eastAsia="zh-CN" w:bidi="ar-SA"/>
        </w:rPr>
        <w:t>主动公开基本目录</w:t>
      </w:r>
      <w:r>
        <w:rPr>
          <w:rFonts w:hint="eastAsia" w:ascii="Times New Roman" w:hAnsi="Times New Roman" w:eastAsia="仿宋_GB2312" w:cs="Times New Roman"/>
          <w:b w:val="0"/>
          <w:bCs w:val="0"/>
          <w:color w:val="auto"/>
          <w:kern w:val="2"/>
          <w:sz w:val="32"/>
          <w:szCs w:val="32"/>
          <w:lang w:val="en-US" w:eastAsia="zh-CN" w:bidi="ar-SA"/>
        </w:rPr>
        <w:t>内容。二是</w:t>
      </w:r>
      <w:r>
        <w:rPr>
          <w:rFonts w:hint="default" w:ascii="Times New Roman" w:hAnsi="Times New Roman" w:eastAsia="仿宋_GB2312" w:cs="Times New Roman"/>
          <w:b w:val="0"/>
          <w:bCs w:val="0"/>
          <w:color w:val="auto"/>
          <w:kern w:val="2"/>
          <w:sz w:val="32"/>
          <w:szCs w:val="32"/>
          <w:lang w:val="en-US" w:eastAsia="zh-CN" w:bidi="ar-SA"/>
        </w:rPr>
        <w:t>建立健全信息公开</w:t>
      </w:r>
      <w:r>
        <w:rPr>
          <w:rFonts w:hint="eastAsia" w:ascii="Times New Roman" w:hAnsi="Times New Roman" w:eastAsia="仿宋_GB2312" w:cs="Times New Roman"/>
          <w:b w:val="0"/>
          <w:bCs w:val="0"/>
          <w:color w:val="auto"/>
          <w:kern w:val="2"/>
          <w:sz w:val="32"/>
          <w:szCs w:val="32"/>
          <w:lang w:val="en-US" w:eastAsia="zh-CN" w:bidi="ar-SA"/>
        </w:rPr>
        <w:t>保密</w:t>
      </w:r>
      <w:r>
        <w:rPr>
          <w:rFonts w:hint="default" w:ascii="Times New Roman" w:hAnsi="Times New Roman" w:eastAsia="仿宋_GB2312" w:cs="Times New Roman"/>
          <w:b w:val="0"/>
          <w:bCs w:val="0"/>
          <w:color w:val="auto"/>
          <w:kern w:val="2"/>
          <w:sz w:val="32"/>
          <w:szCs w:val="32"/>
          <w:lang w:val="en-US" w:eastAsia="zh-CN" w:bidi="ar-SA"/>
        </w:rPr>
        <w:t>审查制度，加强信息公开保密审查，</w:t>
      </w:r>
      <w:r>
        <w:rPr>
          <w:rFonts w:hint="eastAsia" w:ascii="Times New Roman" w:hAnsi="Times New Roman" w:eastAsia="仿宋_GB2312" w:cs="Times New Roman"/>
          <w:b w:val="0"/>
          <w:bCs w:val="0"/>
          <w:color w:val="auto"/>
          <w:kern w:val="2"/>
          <w:sz w:val="32"/>
          <w:szCs w:val="32"/>
          <w:lang w:val="en-US" w:eastAsia="zh-CN" w:bidi="ar-SA"/>
        </w:rPr>
        <w:t>严肃对待</w:t>
      </w:r>
      <w:r>
        <w:rPr>
          <w:rFonts w:hint="default" w:ascii="Times New Roman" w:hAnsi="Times New Roman" w:eastAsia="仿宋_GB2312" w:cs="Times New Roman"/>
          <w:b w:val="0"/>
          <w:bCs w:val="0"/>
          <w:color w:val="auto"/>
          <w:kern w:val="2"/>
          <w:sz w:val="32"/>
          <w:szCs w:val="32"/>
          <w:lang w:val="en-US" w:eastAsia="zh-CN" w:bidi="ar-SA"/>
        </w:rPr>
        <w:t>政府信息对外发布工作。</w:t>
      </w:r>
      <w:r>
        <w:rPr>
          <w:rFonts w:hint="eastAsia" w:ascii="Times New Roman" w:hAnsi="Times New Roman" w:eastAsia="仿宋_GB2312" w:cs="Times New Roman"/>
          <w:b w:val="0"/>
          <w:bCs w:val="0"/>
          <w:color w:val="auto"/>
          <w:kern w:val="2"/>
          <w:sz w:val="32"/>
          <w:szCs w:val="32"/>
          <w:lang w:val="en-US" w:eastAsia="zh-CN" w:bidi="ar-SA"/>
        </w:rPr>
        <w:t>三是完善政策文件属性源头确定工作机制，年内完成2016年至2022年政策文件的公开属性梳理、主题分类划分、规范发布格式等工作。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楷体_GB2312" w:cs="Times New Roman"/>
          <w:b/>
          <w:bCs/>
          <w:color w:val="auto"/>
          <w:kern w:val="2"/>
          <w:sz w:val="32"/>
          <w:szCs w:val="32"/>
          <w:lang w:val="en-US" w:eastAsia="zh-CN" w:bidi="ar-SA"/>
        </w:rPr>
      </w:pPr>
      <w:r>
        <w:rPr>
          <w:rFonts w:hint="default" w:ascii="Times New Roman" w:hAnsi="Times New Roman" w:eastAsia="楷体_GB2312" w:cs="Times New Roman"/>
          <w:b/>
          <w:bCs/>
          <w:color w:val="auto"/>
          <w:kern w:val="2"/>
          <w:sz w:val="32"/>
          <w:szCs w:val="32"/>
          <w:lang w:val="en-US" w:eastAsia="zh-CN" w:bidi="ar-SA"/>
        </w:rPr>
        <w:t>（四）政府信息公开平台建设</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sz w:val="32"/>
          <w:szCs w:val="32"/>
          <w:lang w:val="en-US" w:eastAsia="zh-CN"/>
        </w:rPr>
        <w:t xml:space="preserve">  </w:t>
      </w:r>
      <w:r>
        <w:rPr>
          <w:rFonts w:hint="eastAsia"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 xml:space="preserve"> </w:t>
      </w:r>
      <w:r>
        <w:rPr>
          <w:rFonts w:hint="eastAsia" w:ascii="Times New Roman" w:hAnsi="Times New Roman" w:eastAsia="仿宋_GB2312" w:cs="Times New Roman"/>
          <w:b w:val="0"/>
          <w:bCs w:val="0"/>
          <w:color w:val="auto"/>
          <w:sz w:val="32"/>
          <w:szCs w:val="32"/>
          <w:lang w:val="en-US" w:eastAsia="zh-CN"/>
        </w:rPr>
        <w:t>一是进一步加强网站集约化建设，统一开设“政策文件集中发布平台”、“养老服务”、“食品药品监管”等专题专栏，集中发布相关政策、服务、进展及成效信息。</w:t>
      </w:r>
      <w:r>
        <w:rPr>
          <w:rFonts w:hint="eastAsia" w:ascii="Times New Roman" w:hAnsi="Times New Roman" w:eastAsia="仿宋_GB2312" w:cs="Times New Roman"/>
          <w:b w:val="0"/>
          <w:bCs w:val="0"/>
          <w:color w:val="auto"/>
          <w:kern w:val="2"/>
          <w:sz w:val="32"/>
          <w:szCs w:val="32"/>
          <w:lang w:val="en-US" w:eastAsia="zh-CN" w:bidi="ar-SA"/>
        </w:rPr>
        <w:t>二是持续推动基层政务公开专区建设，在各镇便民服务中心设立政务公开专区配置一体机的基础上，开发上线政务公开一体机专用查询系统，进一步提高群众办事的便利度。三是深化政务新媒体建设</w:t>
      </w:r>
      <w:r>
        <w:rPr>
          <w:rFonts w:hint="default" w:ascii="Times New Roman" w:hAnsi="Times New Roman" w:eastAsia="仿宋_GB2312" w:cs="Times New Roman"/>
          <w:b w:val="0"/>
          <w:bCs w:val="0"/>
          <w:color w:val="auto"/>
          <w:kern w:val="2"/>
          <w:sz w:val="32"/>
          <w:szCs w:val="32"/>
          <w:lang w:val="en-US" w:eastAsia="zh-CN" w:bidi="ar-SA"/>
        </w:rPr>
        <w:t>，</w:t>
      </w:r>
      <w:r>
        <w:rPr>
          <w:rFonts w:hint="eastAsia" w:ascii="Times New Roman" w:hAnsi="Times New Roman" w:eastAsia="仿宋_GB2312" w:cs="Times New Roman"/>
          <w:b w:val="0"/>
          <w:bCs w:val="0"/>
          <w:color w:val="auto"/>
          <w:kern w:val="2"/>
          <w:sz w:val="32"/>
          <w:szCs w:val="32"/>
          <w:lang w:val="en-US" w:eastAsia="zh-CN" w:bidi="ar-SA"/>
        </w:rPr>
        <w:t>为“沂源县人民政府办公室”微信公众号开设办事服务、便民查询、政府网站、互动交流等模块，在提高政务公开知晓度的同时，不断加强回应关切力度</w:t>
      </w:r>
      <w:r>
        <w:rPr>
          <w:rFonts w:hint="default" w:ascii="Times New Roman" w:hAnsi="Times New Roman" w:eastAsia="仿宋_GB2312" w:cs="Times New Roman"/>
          <w:b w:val="0"/>
          <w:bCs w:val="0"/>
          <w:color w:val="auto"/>
          <w:kern w:val="2"/>
          <w:sz w:val="32"/>
          <w:szCs w:val="32"/>
          <w:lang w:val="en-US" w:eastAsia="zh-CN" w:bidi="ar-SA"/>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楷体_GB2312" w:cs="Times New Roman"/>
          <w:b/>
          <w:bCs/>
          <w:color w:val="auto"/>
          <w:kern w:val="2"/>
          <w:sz w:val="32"/>
          <w:szCs w:val="32"/>
          <w:lang w:val="en-US" w:eastAsia="zh-CN" w:bidi="ar-SA"/>
        </w:rPr>
      </w:pPr>
      <w:r>
        <w:rPr>
          <w:rFonts w:hint="default" w:ascii="Times New Roman" w:hAnsi="Times New Roman" w:eastAsia="楷体_GB2312" w:cs="Times New Roman"/>
          <w:b/>
          <w:bCs/>
          <w:color w:val="auto"/>
          <w:kern w:val="2"/>
          <w:sz w:val="32"/>
          <w:szCs w:val="32"/>
          <w:lang w:val="en-US" w:eastAsia="zh-CN" w:bidi="ar-SA"/>
        </w:rPr>
        <w:t>（五）监督保障方面</w:t>
      </w:r>
    </w:p>
    <w:p>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一是完善工作考核和责任追究制。加大政务公开通报力度，对存在问题的单位点对点下发提醒，督促限期整改。二是配齐配强工作力量。配备3人负责全县和办公室的政务公开工作，印发了《县政府办公室政务公开工作制度》，在办公室内部形成了大数据中心牵头，各科室协调配合的工作格局。三是加大政务公开培训力度。2022年</w:t>
      </w:r>
      <w:r>
        <w:rPr>
          <w:rFonts w:hint="eastAsia" w:ascii="Times New Roman" w:hAnsi="Times New Roman" w:eastAsia="仿宋_GB2312" w:cs="Times New Roman"/>
          <w:b w:val="0"/>
          <w:bCs w:val="0"/>
          <w:color w:val="auto"/>
          <w:kern w:val="2"/>
          <w:sz w:val="32"/>
          <w:szCs w:val="32"/>
          <w:highlight w:val="none"/>
          <w:lang w:val="en-US" w:eastAsia="zh-CN" w:bidi="ar-SA"/>
        </w:rPr>
        <w:t>办公室共开展政务公开培训2次，累计培训人次40余人</w:t>
      </w:r>
      <w:r>
        <w:rPr>
          <w:rFonts w:hint="eastAsia" w:ascii="Times New Roman" w:hAnsi="Times New Roman" w:eastAsia="仿宋_GB2312" w:cs="Times New Roman"/>
          <w:b w:val="0"/>
          <w:bCs w:val="0"/>
          <w:color w:val="auto"/>
          <w:kern w:val="2"/>
          <w:sz w:val="32"/>
          <w:szCs w:val="32"/>
          <w:lang w:val="en-US" w:eastAsia="zh-CN" w:bidi="ar-SA"/>
        </w:rPr>
        <w:t>，进一步提升工作人员业务素质和工作水平，</w:t>
      </w:r>
      <w:r>
        <w:rPr>
          <w:rFonts w:hint="default" w:ascii="Times New Roman" w:hAnsi="Times New Roman" w:eastAsia="仿宋_GB2312" w:cs="Times New Roman"/>
          <w:b w:val="0"/>
          <w:bCs w:val="0"/>
          <w:color w:val="auto"/>
          <w:kern w:val="2"/>
          <w:sz w:val="32"/>
          <w:szCs w:val="32"/>
          <w:lang w:val="en-US" w:eastAsia="zh-CN" w:bidi="ar-SA"/>
        </w:rPr>
        <w:t>不断增强</w:t>
      </w:r>
      <w:r>
        <w:rPr>
          <w:rFonts w:hint="eastAsia" w:ascii="Times New Roman" w:hAnsi="Times New Roman" w:eastAsia="仿宋_GB2312" w:cs="Times New Roman"/>
          <w:b w:val="0"/>
          <w:bCs w:val="0"/>
          <w:color w:val="auto"/>
          <w:kern w:val="2"/>
          <w:sz w:val="32"/>
          <w:szCs w:val="32"/>
          <w:lang w:val="en-US" w:eastAsia="zh-CN" w:bidi="ar-SA"/>
        </w:rPr>
        <w:t>政府</w:t>
      </w:r>
      <w:r>
        <w:rPr>
          <w:rFonts w:hint="default" w:ascii="Times New Roman" w:hAnsi="Times New Roman" w:eastAsia="仿宋_GB2312" w:cs="Times New Roman"/>
          <w:b w:val="0"/>
          <w:bCs w:val="0"/>
          <w:color w:val="auto"/>
          <w:kern w:val="2"/>
          <w:sz w:val="32"/>
          <w:szCs w:val="32"/>
          <w:lang w:val="en-US" w:eastAsia="zh-CN" w:bidi="ar-SA"/>
        </w:rPr>
        <w:t>工作人员法治意识、公开意识、服务意识。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宋体" w:hAnsi="宋体" w:eastAsia="宋体" w:cs="宋体"/>
          <w:i w:val="0"/>
          <w:caps w:val="0"/>
          <w:color w:val="auto"/>
          <w:spacing w:val="0"/>
          <w:sz w:val="24"/>
          <w:szCs w:val="24"/>
        </w:rPr>
      </w:pPr>
      <w:r>
        <w:rPr>
          <w:rFonts w:hint="eastAsia" w:ascii="黑体" w:hAnsi="黑体" w:eastAsia="黑体" w:cs="黑体"/>
          <w:b w:val="0"/>
          <w:bCs/>
          <w:i w:val="0"/>
          <w:iCs w:val="0"/>
          <w:caps w:val="0"/>
          <w:color w:val="auto"/>
          <w:spacing w:val="0"/>
          <w:sz w:val="32"/>
          <w:szCs w:val="32"/>
          <w:shd w:val="clear" w:color="auto" w:fill="FFFFFF"/>
        </w:rPr>
        <w:t>二、主动公开政府信息情况</w:t>
      </w:r>
    </w:p>
    <w:tbl>
      <w:tblPr>
        <w:tblStyle w:val="5"/>
        <w:tblW w:w="9740" w:type="dxa"/>
        <w:jc w:val="center"/>
        <w:tblLayout w:type="fixed"/>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现行有效件数</w:t>
            </w:r>
          </w:p>
        </w:tc>
      </w:tr>
      <w:tr>
        <w:tblPrEx>
          <w:tblCellMar>
            <w:top w:w="0" w:type="dxa"/>
            <w:left w:w="0" w:type="dxa"/>
            <w:bottom w:w="0" w:type="dxa"/>
            <w:right w:w="0" w:type="dxa"/>
          </w:tblCellMar>
        </w:tblPrEx>
        <w:trPr>
          <w:trHeight w:val="30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left"/>
              <w:textAlignment w:val="auto"/>
              <w:rPr>
                <w:color w:val="auto"/>
              </w:rPr>
            </w:pPr>
            <w:r>
              <w:rPr>
                <w:rFonts w:hint="eastAsia" w:ascii="宋体" w:hAnsi="宋体" w:eastAsia="宋体" w:cs="宋体"/>
                <w:color w:val="auto"/>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color w:val="auto"/>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color w:val="auto"/>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color w:val="auto"/>
              </w:rPr>
            </w:pPr>
            <w:r>
              <w:rPr>
                <w:rFonts w:hint="eastAsia" w:cs="Calibri"/>
                <w:kern w:val="0"/>
                <w:sz w:val="21"/>
                <w:szCs w:val="21"/>
                <w:lang w:val="en-US" w:eastAsia="zh-CN" w:bidi="ar"/>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left"/>
              <w:textAlignment w:val="auto"/>
              <w:rPr>
                <w:color w:val="auto"/>
              </w:rPr>
            </w:pPr>
            <w:r>
              <w:rPr>
                <w:rFonts w:hint="eastAsia" w:ascii="宋体" w:hAnsi="宋体" w:eastAsia="宋体" w:cs="宋体"/>
                <w:color w:val="auto"/>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eastAsia="宋体"/>
                <w:color w:val="auto"/>
                <w:lang w:val="en-US" w:eastAsia="zh-CN"/>
              </w:rPr>
            </w:pPr>
            <w:r>
              <w:rPr>
                <w:rFonts w:hint="eastAsia"/>
                <w:color w:val="auto"/>
                <w:lang w:val="en-US" w:eastAsia="zh-CN"/>
              </w:rPr>
              <w:t>5</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eastAsia="宋体"/>
                <w:color w:val="auto"/>
                <w:lang w:val="en-US" w:eastAsia="zh-CN"/>
              </w:rPr>
            </w:pPr>
            <w:r>
              <w:rPr>
                <w:rFonts w:hint="eastAsia"/>
                <w:color w:val="auto"/>
                <w:lang w:val="en-US" w:eastAsia="zh-CN"/>
              </w:rPr>
              <w:t>7</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eastAsia="宋体"/>
                <w:color w:val="auto"/>
                <w:lang w:val="en-US" w:eastAsia="zh-CN"/>
              </w:rPr>
            </w:pPr>
            <w:r>
              <w:rPr>
                <w:rFonts w:hint="eastAsia"/>
                <w:color w:val="auto"/>
                <w:lang w:val="en-US" w:eastAsia="zh-CN"/>
              </w:rPr>
              <w:t>56</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left"/>
              <w:textAlignment w:val="auto"/>
              <w:rPr>
                <w:color w:val="auto"/>
              </w:rPr>
            </w:pPr>
            <w:r>
              <w:rPr>
                <w:rFonts w:hint="eastAsia" w:ascii="宋体" w:hAnsi="宋体" w:eastAsia="宋体" w:cs="宋体"/>
                <w:color w:val="auto"/>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center"/>
              <w:textAlignment w:val="auto"/>
              <w:rPr>
                <w:color w:val="auto"/>
              </w:rPr>
            </w:pPr>
            <w:r>
              <w:rPr>
                <w:rFonts w:hint="eastAsia" w:cs="Calibri"/>
                <w:color w:val="auto"/>
                <w:kern w:val="0"/>
                <w:sz w:val="21"/>
                <w:szCs w:val="21"/>
                <w:lang w:val="en-US" w:eastAsia="zh-CN"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left"/>
              <w:textAlignment w:val="auto"/>
              <w:rPr>
                <w:color w:val="auto"/>
              </w:rPr>
            </w:pPr>
            <w:r>
              <w:rPr>
                <w:rFonts w:hint="eastAsia" w:ascii="宋体" w:hAnsi="宋体" w:eastAsia="宋体" w:cs="宋体"/>
                <w:color w:val="auto"/>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cs="Calibri"/>
                <w:color w:val="auto"/>
                <w:kern w:val="0"/>
                <w:sz w:val="21"/>
                <w:szCs w:val="21"/>
                <w:lang w:val="en-US" w:eastAsia="zh-CN" w:bidi="ar"/>
              </w:rPr>
            </w:pPr>
            <w:r>
              <w:rPr>
                <w:rFonts w:hint="eastAsia" w:cs="Calibri"/>
                <w:color w:val="auto"/>
                <w:kern w:val="0"/>
                <w:sz w:val="21"/>
                <w:szCs w:val="21"/>
                <w:lang w:val="en-US" w:eastAsia="zh-CN" w:bidi="ar"/>
              </w:rPr>
              <w:t>　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left"/>
              <w:textAlignment w:val="auto"/>
              <w:rPr>
                <w:color w:val="auto"/>
              </w:rPr>
            </w:pPr>
            <w:r>
              <w:rPr>
                <w:rFonts w:hint="eastAsia" w:ascii="宋体" w:hAnsi="宋体" w:eastAsia="宋体" w:cs="宋体"/>
                <w:color w:val="auto"/>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cs="Calibri"/>
                <w:color w:val="auto"/>
                <w:kern w:val="0"/>
                <w:sz w:val="21"/>
                <w:szCs w:val="21"/>
                <w:lang w:val="en-US" w:eastAsia="zh-CN" w:bidi="ar"/>
              </w:rPr>
            </w:pPr>
            <w:r>
              <w:rPr>
                <w:rFonts w:hint="eastAsia" w:cs="Calibri"/>
                <w:color w:val="auto"/>
                <w:kern w:val="0"/>
                <w:sz w:val="21"/>
                <w:szCs w:val="21"/>
                <w:lang w:val="en-US" w:eastAsia="zh-CN" w:bidi="ar"/>
              </w:rPr>
              <w:t>　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left"/>
              <w:textAlignment w:val="auto"/>
              <w:rPr>
                <w:color w:val="auto"/>
              </w:rPr>
            </w:pPr>
            <w:r>
              <w:rPr>
                <w:rFonts w:hint="eastAsia" w:ascii="宋体" w:hAnsi="宋体" w:eastAsia="宋体" w:cs="宋体"/>
                <w:color w:val="auto"/>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pageBreakBefore w:val="0"/>
              <w:overflowPunct/>
              <w:topLinePunct w:val="0"/>
              <w:autoSpaceDE/>
              <w:autoSpaceDN/>
              <w:bidi w:val="0"/>
              <w:adjustRightInd/>
              <w:snapToGrid/>
              <w:spacing w:line="560" w:lineRule="exact"/>
              <w:jc w:val="center"/>
              <w:textAlignment w:val="auto"/>
              <w:rPr>
                <w:rFonts w:hint="eastAsia" w:ascii="宋体" w:eastAsia="宋体"/>
                <w:color w:val="auto"/>
                <w:sz w:val="24"/>
                <w:szCs w:val="24"/>
                <w:lang w:val="en-US" w:eastAsia="zh-CN"/>
              </w:rPr>
            </w:pPr>
            <w:r>
              <w:rPr>
                <w:rFonts w:hint="eastAsia" w:cs="Calibri"/>
                <w:color w:val="auto"/>
                <w:kern w:val="0"/>
                <w:sz w:val="21"/>
                <w:szCs w:val="21"/>
                <w:lang w:val="en-US" w:eastAsia="zh-CN" w:bidi="ar"/>
              </w:rPr>
              <w:t>0</w:t>
            </w:r>
          </w:p>
        </w:tc>
      </w:tr>
    </w:tbl>
    <w:p>
      <w:pPr>
        <w:keepNext w:val="0"/>
        <w:keepLines w:val="0"/>
        <w:pageBreakBefore w:val="0"/>
        <w:widowControl/>
        <w:suppressLineNumbers w:val="0"/>
        <w:overflowPunct/>
        <w:topLinePunct w:val="0"/>
        <w:autoSpaceDE/>
        <w:autoSpaceDN/>
        <w:bidi w:val="0"/>
        <w:adjustRightInd/>
        <w:snapToGrid/>
        <w:spacing w:line="560" w:lineRule="exact"/>
        <w:jc w:val="left"/>
        <w:textAlignment w:val="auto"/>
        <w:rPr>
          <w:color w:val="auto"/>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i w:val="0"/>
          <w:iCs w:val="0"/>
          <w:caps w:val="0"/>
          <w:color w:val="auto"/>
          <w:spacing w:val="0"/>
          <w:sz w:val="32"/>
          <w:szCs w:val="32"/>
          <w:shd w:val="clear" w:color="auto" w:fill="FFFFFF"/>
        </w:rPr>
      </w:pPr>
      <w:r>
        <w:rPr>
          <w:rFonts w:hint="eastAsia" w:ascii="黑体" w:hAnsi="黑体" w:eastAsia="黑体" w:cs="黑体"/>
          <w:b w:val="0"/>
          <w:bCs/>
          <w:i w:val="0"/>
          <w:iCs w:val="0"/>
          <w:caps w:val="0"/>
          <w:color w:val="auto"/>
          <w:spacing w:val="0"/>
          <w:sz w:val="32"/>
          <w:szCs w:val="32"/>
          <w:shd w:val="clear" w:color="auto" w:fill="FFFFFF"/>
        </w:rPr>
        <w:t>三、收到和处理政府信息公开申请情况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caps w:val="0"/>
          <w:color w:val="auto"/>
          <w:spacing w:val="0"/>
          <w:sz w:val="24"/>
          <w:szCs w:val="24"/>
        </w:rPr>
      </w:pPr>
    </w:p>
    <w:tbl>
      <w:tblPr>
        <w:tblStyle w:val="5"/>
        <w:tblW w:w="974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7"/>
        <w:gridCol w:w="943"/>
        <w:gridCol w:w="3219"/>
        <w:gridCol w:w="688"/>
        <w:gridCol w:w="688"/>
        <w:gridCol w:w="688"/>
        <w:gridCol w:w="688"/>
        <w:gridCol w:w="688"/>
        <w:gridCol w:w="688"/>
        <w:gridCol w:w="68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left"/>
              <w:textAlignment w:val="auto"/>
              <w:rPr>
                <w:color w:val="auto"/>
              </w:rPr>
            </w:pPr>
            <w:r>
              <w:rPr>
                <w:rFonts w:hint="eastAsia" w:ascii="楷体" w:hAnsi="楷体" w:eastAsia="楷体" w:cs="楷体"/>
                <w:color w:val="auto"/>
                <w:kern w:val="0"/>
                <w:sz w:val="20"/>
                <w:szCs w:val="20"/>
                <w:lang w:val="en-US" w:eastAsia="zh-CN" w:bidi="ar"/>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pageBreakBefore w:val="0"/>
              <w:overflowPunct/>
              <w:topLinePunct w:val="0"/>
              <w:autoSpaceDE/>
              <w:autoSpaceDN/>
              <w:bidi w:val="0"/>
              <w:adjustRightInd/>
              <w:snapToGrid/>
              <w:spacing w:line="560" w:lineRule="exact"/>
              <w:textAlignment w:val="auto"/>
              <w:rPr>
                <w:rFonts w:hint="eastAsia" w:ascii="宋体"/>
                <w:color w:val="auto"/>
                <w:sz w:val="24"/>
                <w:szCs w:val="24"/>
              </w:rPr>
            </w:pPr>
          </w:p>
        </w:tc>
        <w:tc>
          <w:tcPr>
            <w:tcW w:w="688" w:type="dxa"/>
            <w:vMerge w:val="restar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法人或其他组织</w:t>
            </w:r>
          </w:p>
        </w:tc>
        <w:tc>
          <w:tcPr>
            <w:tcW w:w="688"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pageBreakBefore w:val="0"/>
              <w:overflowPunct/>
              <w:topLinePunct w:val="0"/>
              <w:autoSpaceDE/>
              <w:autoSpaceDN/>
              <w:bidi w:val="0"/>
              <w:adjustRightInd/>
              <w:snapToGrid/>
              <w:spacing w:line="560" w:lineRule="exact"/>
              <w:textAlignment w:val="auto"/>
              <w:rPr>
                <w:rFonts w:hint="eastAsia" w:ascii="宋体"/>
                <w:color w:val="auto"/>
                <w:sz w:val="24"/>
                <w:szCs w:val="24"/>
              </w:rPr>
            </w:pPr>
          </w:p>
        </w:tc>
        <w:tc>
          <w:tcPr>
            <w:tcW w:w="688" w:type="dxa"/>
            <w:vMerge w:val="continue"/>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overflowPunct/>
              <w:topLinePunct w:val="0"/>
              <w:autoSpaceDE/>
              <w:autoSpaceDN/>
              <w:bidi w:val="0"/>
              <w:adjustRightInd/>
              <w:snapToGrid/>
              <w:spacing w:line="560" w:lineRule="exact"/>
              <w:textAlignment w:val="auto"/>
              <w:rPr>
                <w:rFonts w:hint="eastAsia" w:ascii="宋体"/>
                <w:color w:val="auto"/>
                <w:sz w:val="24"/>
                <w:szCs w:val="24"/>
              </w:rPr>
            </w:pP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企业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其他</w:t>
            </w:r>
          </w:p>
        </w:tc>
        <w:tc>
          <w:tcPr>
            <w:tcW w:w="688"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overflowPunct/>
              <w:topLinePunct w:val="0"/>
              <w:autoSpaceDE/>
              <w:autoSpaceDN/>
              <w:bidi w:val="0"/>
              <w:adjustRightInd/>
              <w:snapToGrid/>
              <w:spacing w:line="560" w:lineRule="exact"/>
              <w:textAlignment w:val="auto"/>
              <w:rPr>
                <w:rFonts w:hint="eastAsia" w:ascii="宋体"/>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left"/>
              <w:textAlignment w:val="auto"/>
              <w:rPr>
                <w:color w:val="auto"/>
              </w:rPr>
            </w:pPr>
            <w:r>
              <w:rPr>
                <w:rFonts w:hint="eastAsia" w:ascii="宋体" w:hAnsi="宋体" w:eastAsia="宋体" w:cs="宋体"/>
                <w:color w:val="auto"/>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default" w:cs="Calibri"/>
                <w:color w:val="auto"/>
                <w:kern w:val="0"/>
                <w:sz w:val="20"/>
                <w:szCs w:val="20"/>
                <w:lang w:val="en-US" w:eastAsia="zh-CN" w:bidi="ar"/>
              </w:rPr>
            </w:pPr>
            <w:r>
              <w:rPr>
                <w:rFonts w:hint="eastAsia" w:cs="Calibri"/>
                <w:color w:val="auto"/>
                <w:kern w:val="0"/>
                <w:sz w:val="20"/>
                <w:szCs w:val="20"/>
                <w:lang w:val="en-US" w:eastAsia="zh-CN" w:bidi="ar"/>
              </w:rPr>
              <w:t>24</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default" w:cs="Calibri"/>
                <w:color w:val="auto"/>
                <w:kern w:val="0"/>
                <w:sz w:val="20"/>
                <w:szCs w:val="20"/>
                <w:lang w:val="en-US" w:eastAsia="zh-CN" w:bidi="ar"/>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cs="Calibri"/>
                <w:color w:val="auto"/>
                <w:kern w:val="0"/>
                <w:sz w:val="20"/>
                <w:szCs w:val="20"/>
                <w:lang w:val="en-US" w:eastAsia="zh-CN" w:bidi="ar"/>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cs="Calibri"/>
                <w:color w:val="auto"/>
                <w:kern w:val="0"/>
                <w:sz w:val="20"/>
                <w:szCs w:val="20"/>
                <w:lang w:val="en-US" w:eastAsia="zh-CN" w:bidi="ar"/>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cs="Calibri"/>
                <w:color w:val="auto"/>
                <w:kern w:val="0"/>
                <w:sz w:val="20"/>
                <w:szCs w:val="20"/>
                <w:lang w:val="en-US" w:eastAsia="zh-CN" w:bidi="ar"/>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cs="Calibri"/>
                <w:color w:val="auto"/>
                <w:kern w:val="0"/>
                <w:sz w:val="20"/>
                <w:szCs w:val="20"/>
                <w:lang w:val="en-US" w:eastAsia="zh-CN" w:bidi="ar"/>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default" w:cs="Calibri"/>
                <w:color w:val="auto"/>
                <w:kern w:val="0"/>
                <w:sz w:val="20"/>
                <w:szCs w:val="20"/>
                <w:lang w:val="en-US" w:eastAsia="zh-CN" w:bidi="ar"/>
              </w:rPr>
            </w:pPr>
            <w:r>
              <w:rPr>
                <w:rFonts w:hint="eastAsia" w:cs="Calibri"/>
                <w:color w:val="auto"/>
                <w:kern w:val="0"/>
                <w:sz w:val="20"/>
                <w:szCs w:val="20"/>
                <w:lang w:val="en-US" w:eastAsia="zh-CN" w:bidi="ar"/>
              </w:rPr>
              <w:t>24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left"/>
              <w:textAlignment w:val="auto"/>
              <w:rPr>
                <w:color w:val="auto"/>
              </w:rPr>
            </w:pPr>
            <w:r>
              <w:rPr>
                <w:rFonts w:hint="eastAsia" w:ascii="宋体" w:hAnsi="宋体" w:eastAsia="宋体" w:cs="宋体"/>
                <w:color w:val="auto"/>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default" w:cs="Calibri"/>
                <w:color w:val="auto"/>
                <w:kern w:val="0"/>
                <w:sz w:val="20"/>
                <w:szCs w:val="20"/>
                <w:lang w:val="en-US" w:eastAsia="zh-CN" w:bidi="ar"/>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cs="Calibri"/>
                <w:color w:val="auto"/>
                <w:kern w:val="0"/>
                <w:sz w:val="20"/>
                <w:szCs w:val="20"/>
                <w:lang w:val="en-US" w:eastAsia="zh-CN" w:bidi="ar"/>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cs="Calibri"/>
                <w:color w:val="auto"/>
                <w:kern w:val="0"/>
                <w:sz w:val="20"/>
                <w:szCs w:val="20"/>
                <w:lang w:val="en-US" w:eastAsia="zh-CN" w:bidi="ar"/>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cs="Calibri"/>
                <w:color w:val="auto"/>
                <w:kern w:val="0"/>
                <w:sz w:val="20"/>
                <w:szCs w:val="20"/>
                <w:lang w:val="en-US" w:eastAsia="zh-CN" w:bidi="ar"/>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cs="Calibri"/>
                <w:color w:val="auto"/>
                <w:kern w:val="0"/>
                <w:sz w:val="20"/>
                <w:szCs w:val="20"/>
                <w:lang w:val="en-US" w:eastAsia="zh-CN" w:bidi="ar"/>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cs="Calibri"/>
                <w:color w:val="auto"/>
                <w:kern w:val="0"/>
                <w:sz w:val="20"/>
                <w:szCs w:val="20"/>
                <w:lang w:val="en-US" w:eastAsia="zh-CN" w:bidi="ar"/>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default" w:cs="Calibri"/>
                <w:color w:val="auto"/>
                <w:kern w:val="0"/>
                <w:sz w:val="20"/>
                <w:szCs w:val="20"/>
                <w:lang w:val="en-US" w:eastAsia="zh-CN" w:bidi="ar"/>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left"/>
              <w:textAlignment w:val="auto"/>
              <w:rPr>
                <w:color w:val="auto"/>
              </w:rPr>
            </w:pPr>
            <w:r>
              <w:rPr>
                <w:rFonts w:hint="eastAsia" w:ascii="宋体" w:hAnsi="宋体" w:eastAsia="宋体" w:cs="宋体"/>
                <w:color w:val="auto"/>
                <w:kern w:val="0"/>
                <w:sz w:val="20"/>
                <w:szCs w:val="20"/>
                <w:lang w:val="en-US" w:eastAsia="zh-CN" w:bidi="ar"/>
              </w:rPr>
              <w:t>三、本年度办理结果</w:t>
            </w:r>
          </w:p>
        </w:tc>
        <w:tc>
          <w:tcPr>
            <w:tcW w:w="4162"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left"/>
              <w:textAlignment w:val="auto"/>
              <w:rPr>
                <w:color w:val="auto"/>
              </w:rPr>
            </w:pPr>
            <w:r>
              <w:rPr>
                <w:rFonts w:hint="eastAsia" w:ascii="宋体" w:hAnsi="宋体" w:eastAsia="宋体" w:cs="宋体"/>
                <w:color w:val="auto"/>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eastAsia="宋体"/>
                <w:color w:val="auto"/>
                <w:lang w:val="en-US" w:eastAsia="zh-CN"/>
              </w:rPr>
            </w:pPr>
            <w:r>
              <w:rPr>
                <w:rFonts w:hint="eastAsia"/>
                <w:color w:val="auto"/>
                <w:lang w:val="en-US" w:eastAsia="zh-CN"/>
              </w:rPr>
              <w:t>24</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eastAsia="宋体"/>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eastAsia="宋体"/>
                <w:color w:val="auto"/>
                <w:lang w:val="en-US" w:eastAsia="zh-CN"/>
              </w:rPr>
            </w:pPr>
            <w:r>
              <w:rPr>
                <w:rFonts w:hint="eastAsia"/>
                <w:color w:val="auto"/>
                <w:lang w:val="en-US" w:eastAsia="zh-CN"/>
              </w:rPr>
              <w:t>24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overflowPunct/>
              <w:topLinePunct w:val="0"/>
              <w:autoSpaceDE/>
              <w:autoSpaceDN/>
              <w:bidi w:val="0"/>
              <w:adjustRightInd/>
              <w:snapToGrid/>
              <w:spacing w:line="560" w:lineRule="exact"/>
              <w:textAlignment w:val="auto"/>
              <w:rPr>
                <w:rFonts w:hint="eastAsia" w:ascii="宋体"/>
                <w:color w:val="auto"/>
                <w:sz w:val="24"/>
                <w:szCs w:val="24"/>
              </w:rPr>
            </w:pPr>
          </w:p>
        </w:tc>
        <w:tc>
          <w:tcPr>
            <w:tcW w:w="4162"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left"/>
              <w:textAlignment w:val="auto"/>
              <w:rPr>
                <w:color w:val="auto"/>
              </w:rPr>
            </w:pPr>
            <w:r>
              <w:rPr>
                <w:rFonts w:hint="eastAsia" w:ascii="宋体" w:hAnsi="宋体" w:eastAsia="宋体" w:cs="宋体"/>
                <w:color w:val="auto"/>
                <w:kern w:val="0"/>
                <w:sz w:val="20"/>
                <w:szCs w:val="20"/>
                <w:lang w:val="en-US" w:eastAsia="zh-CN" w:bidi="ar"/>
              </w:rPr>
              <w:t>（二）部分公开</w:t>
            </w:r>
            <w:r>
              <w:rPr>
                <w:rFonts w:hint="eastAsia" w:ascii="楷体" w:hAnsi="楷体" w:eastAsia="楷体" w:cs="楷体"/>
                <w:color w:val="auto"/>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color w:val="auto"/>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eastAsia="宋体"/>
                <w:color w:val="auto"/>
                <w:lang w:val="en-US" w:eastAsia="zh-CN"/>
              </w:rP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overflowPunct/>
              <w:topLinePunct w:val="0"/>
              <w:autoSpaceDE/>
              <w:autoSpaceDN/>
              <w:bidi w:val="0"/>
              <w:adjustRightInd/>
              <w:snapToGrid/>
              <w:spacing w:line="560" w:lineRule="exact"/>
              <w:textAlignment w:val="auto"/>
              <w:rPr>
                <w:rFonts w:hint="eastAsia" w:ascii="宋体"/>
                <w:color w:val="auto"/>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left"/>
              <w:textAlignment w:val="auto"/>
              <w:rPr>
                <w:color w:val="auto"/>
              </w:rPr>
            </w:pPr>
            <w:r>
              <w:rPr>
                <w:rFonts w:hint="eastAsia" w:ascii="宋体" w:hAnsi="宋体" w:eastAsia="宋体" w:cs="宋体"/>
                <w:color w:val="auto"/>
                <w:kern w:val="0"/>
                <w:sz w:val="20"/>
                <w:szCs w:val="20"/>
                <w:lang w:val="en-US" w:eastAsia="zh-CN" w:bidi="ar"/>
              </w:rPr>
              <w:t>（三）不予公开</w:t>
            </w: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left"/>
              <w:textAlignment w:val="auto"/>
              <w:rPr>
                <w:color w:val="auto"/>
              </w:rPr>
            </w:pPr>
            <w:r>
              <w:rPr>
                <w:rFonts w:hint="eastAsia" w:ascii="宋体" w:hAnsi="宋体" w:eastAsia="宋体" w:cs="宋体"/>
                <w:color w:val="auto"/>
                <w:kern w:val="0"/>
                <w:sz w:val="20"/>
                <w:szCs w:val="20"/>
                <w:lang w:val="en-US" w:eastAsia="zh-CN"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color w:val="auto"/>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color w:val="auto"/>
              </w:rP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overflowPunct/>
              <w:topLinePunct w:val="0"/>
              <w:autoSpaceDE/>
              <w:autoSpaceDN/>
              <w:bidi w:val="0"/>
              <w:adjustRightInd/>
              <w:snapToGrid/>
              <w:spacing w:line="560" w:lineRule="exact"/>
              <w:textAlignment w:val="auto"/>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overflowPunct/>
              <w:topLinePunct w:val="0"/>
              <w:autoSpaceDE/>
              <w:autoSpaceDN/>
              <w:bidi w:val="0"/>
              <w:adjustRightInd/>
              <w:snapToGrid/>
              <w:spacing w:line="560" w:lineRule="exact"/>
              <w:textAlignment w:val="auto"/>
              <w:rPr>
                <w:rFonts w:hint="eastAsia" w:ascii="宋体"/>
                <w:color w:val="auto"/>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left"/>
              <w:textAlignment w:val="auto"/>
              <w:rPr>
                <w:color w:val="auto"/>
              </w:rPr>
            </w:pPr>
            <w:r>
              <w:rPr>
                <w:rFonts w:hint="eastAsia" w:ascii="宋体" w:hAnsi="宋体" w:eastAsia="宋体" w:cs="宋体"/>
                <w:color w:val="auto"/>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color w:val="auto"/>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color w:val="auto"/>
              </w:rP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overflowPunct/>
              <w:topLinePunct w:val="0"/>
              <w:autoSpaceDE/>
              <w:autoSpaceDN/>
              <w:bidi w:val="0"/>
              <w:adjustRightInd/>
              <w:snapToGrid/>
              <w:spacing w:line="560" w:lineRule="exact"/>
              <w:textAlignment w:val="auto"/>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overflowPunct/>
              <w:topLinePunct w:val="0"/>
              <w:autoSpaceDE/>
              <w:autoSpaceDN/>
              <w:bidi w:val="0"/>
              <w:adjustRightInd/>
              <w:snapToGrid/>
              <w:spacing w:line="560" w:lineRule="exact"/>
              <w:textAlignment w:val="auto"/>
              <w:rPr>
                <w:rFonts w:hint="eastAsia" w:ascii="宋体"/>
                <w:color w:val="auto"/>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left"/>
              <w:textAlignment w:val="auto"/>
              <w:rPr>
                <w:color w:val="auto"/>
              </w:rPr>
            </w:pPr>
            <w:r>
              <w:rPr>
                <w:rFonts w:hint="eastAsia" w:ascii="宋体" w:hAnsi="宋体" w:eastAsia="宋体" w:cs="宋体"/>
                <w:color w:val="auto"/>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color w:val="auto"/>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color w:val="auto"/>
              </w:rP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overflowPunct/>
              <w:topLinePunct w:val="0"/>
              <w:autoSpaceDE/>
              <w:autoSpaceDN/>
              <w:bidi w:val="0"/>
              <w:adjustRightInd/>
              <w:snapToGrid/>
              <w:spacing w:line="560" w:lineRule="exact"/>
              <w:textAlignment w:val="auto"/>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overflowPunct/>
              <w:topLinePunct w:val="0"/>
              <w:autoSpaceDE/>
              <w:autoSpaceDN/>
              <w:bidi w:val="0"/>
              <w:adjustRightInd/>
              <w:snapToGrid/>
              <w:spacing w:line="560" w:lineRule="exact"/>
              <w:textAlignment w:val="auto"/>
              <w:rPr>
                <w:rFonts w:hint="eastAsia" w:ascii="宋体"/>
                <w:color w:val="auto"/>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left"/>
              <w:textAlignment w:val="auto"/>
              <w:rPr>
                <w:color w:val="auto"/>
              </w:rPr>
            </w:pPr>
            <w:r>
              <w:rPr>
                <w:rFonts w:hint="eastAsia" w:ascii="宋体" w:hAnsi="宋体" w:eastAsia="宋体" w:cs="宋体"/>
                <w:color w:val="auto"/>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color w:val="auto"/>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color w:val="auto"/>
              </w:rP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overflowPunct/>
              <w:topLinePunct w:val="0"/>
              <w:autoSpaceDE/>
              <w:autoSpaceDN/>
              <w:bidi w:val="0"/>
              <w:adjustRightInd/>
              <w:snapToGrid/>
              <w:spacing w:line="560" w:lineRule="exact"/>
              <w:textAlignment w:val="auto"/>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overflowPunct/>
              <w:topLinePunct w:val="0"/>
              <w:autoSpaceDE/>
              <w:autoSpaceDN/>
              <w:bidi w:val="0"/>
              <w:adjustRightInd/>
              <w:snapToGrid/>
              <w:spacing w:line="560" w:lineRule="exact"/>
              <w:textAlignment w:val="auto"/>
              <w:rPr>
                <w:rFonts w:hint="eastAsia" w:ascii="宋体"/>
                <w:color w:val="auto"/>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left"/>
              <w:textAlignment w:val="auto"/>
              <w:rPr>
                <w:color w:val="auto"/>
              </w:rPr>
            </w:pPr>
            <w:r>
              <w:rPr>
                <w:rFonts w:hint="eastAsia" w:ascii="宋体" w:hAnsi="宋体" w:eastAsia="宋体" w:cs="宋体"/>
                <w:color w:val="auto"/>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color w:val="auto"/>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color w:val="auto"/>
              </w:rP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overflowPunct/>
              <w:topLinePunct w:val="0"/>
              <w:autoSpaceDE/>
              <w:autoSpaceDN/>
              <w:bidi w:val="0"/>
              <w:adjustRightInd/>
              <w:snapToGrid/>
              <w:spacing w:line="560" w:lineRule="exact"/>
              <w:textAlignment w:val="auto"/>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overflowPunct/>
              <w:topLinePunct w:val="0"/>
              <w:autoSpaceDE/>
              <w:autoSpaceDN/>
              <w:bidi w:val="0"/>
              <w:adjustRightInd/>
              <w:snapToGrid/>
              <w:spacing w:line="560" w:lineRule="exact"/>
              <w:textAlignment w:val="auto"/>
              <w:rPr>
                <w:rFonts w:hint="eastAsia" w:ascii="宋体"/>
                <w:color w:val="auto"/>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left"/>
              <w:textAlignment w:val="auto"/>
              <w:rPr>
                <w:color w:val="auto"/>
              </w:rPr>
            </w:pPr>
            <w:r>
              <w:rPr>
                <w:rFonts w:hint="eastAsia" w:ascii="宋体" w:hAnsi="宋体" w:eastAsia="宋体" w:cs="宋体"/>
                <w:color w:val="auto"/>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eastAsia="宋体"/>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color w:val="auto"/>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eastAsia="宋体"/>
                <w:color w:val="auto"/>
                <w:lang w:val="en-US" w:eastAsia="zh-CN"/>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overflowPunct/>
              <w:topLinePunct w:val="0"/>
              <w:autoSpaceDE/>
              <w:autoSpaceDN/>
              <w:bidi w:val="0"/>
              <w:adjustRightInd/>
              <w:snapToGrid/>
              <w:spacing w:line="560" w:lineRule="exact"/>
              <w:textAlignment w:val="auto"/>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overflowPunct/>
              <w:topLinePunct w:val="0"/>
              <w:autoSpaceDE/>
              <w:autoSpaceDN/>
              <w:bidi w:val="0"/>
              <w:adjustRightInd/>
              <w:snapToGrid/>
              <w:spacing w:line="560" w:lineRule="exact"/>
              <w:textAlignment w:val="auto"/>
              <w:rPr>
                <w:rFonts w:hint="eastAsia" w:ascii="宋体"/>
                <w:color w:val="auto"/>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left"/>
              <w:textAlignment w:val="auto"/>
              <w:rPr>
                <w:color w:val="auto"/>
              </w:rPr>
            </w:pPr>
            <w:r>
              <w:rPr>
                <w:rFonts w:hint="eastAsia" w:ascii="宋体" w:hAnsi="宋体" w:eastAsia="宋体" w:cs="宋体"/>
                <w:color w:val="auto"/>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color w:val="auto"/>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color w:val="auto"/>
              </w:rP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overflowPunct/>
              <w:topLinePunct w:val="0"/>
              <w:autoSpaceDE/>
              <w:autoSpaceDN/>
              <w:bidi w:val="0"/>
              <w:adjustRightInd/>
              <w:snapToGrid/>
              <w:spacing w:line="560" w:lineRule="exact"/>
              <w:textAlignment w:val="auto"/>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overflowPunct/>
              <w:topLinePunct w:val="0"/>
              <w:autoSpaceDE/>
              <w:autoSpaceDN/>
              <w:bidi w:val="0"/>
              <w:adjustRightInd/>
              <w:snapToGrid/>
              <w:spacing w:line="560" w:lineRule="exact"/>
              <w:textAlignment w:val="auto"/>
              <w:rPr>
                <w:rFonts w:hint="eastAsia" w:ascii="宋体"/>
                <w:color w:val="auto"/>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left"/>
              <w:textAlignment w:val="auto"/>
              <w:rPr>
                <w:color w:val="auto"/>
              </w:rPr>
            </w:pPr>
            <w:r>
              <w:rPr>
                <w:rFonts w:hint="eastAsia" w:ascii="宋体" w:hAnsi="宋体" w:eastAsia="宋体" w:cs="宋体"/>
                <w:color w:val="auto"/>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color w:val="auto"/>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color w:val="auto"/>
              </w:rP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overflowPunct/>
              <w:topLinePunct w:val="0"/>
              <w:autoSpaceDE/>
              <w:autoSpaceDN/>
              <w:bidi w:val="0"/>
              <w:adjustRightInd/>
              <w:snapToGrid/>
              <w:spacing w:line="560" w:lineRule="exact"/>
              <w:textAlignment w:val="auto"/>
              <w:rPr>
                <w:rFonts w:hint="eastAsia" w:ascii="宋体"/>
                <w:color w:val="auto"/>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left"/>
              <w:textAlignment w:val="auto"/>
              <w:rPr>
                <w:color w:val="auto"/>
              </w:rPr>
            </w:pPr>
            <w:r>
              <w:rPr>
                <w:rFonts w:hint="eastAsia" w:ascii="宋体" w:hAnsi="宋体" w:eastAsia="宋体" w:cs="宋体"/>
                <w:color w:val="auto"/>
                <w:kern w:val="0"/>
                <w:sz w:val="20"/>
                <w:szCs w:val="20"/>
                <w:lang w:val="en-US" w:eastAsia="zh-CN" w:bidi="ar"/>
              </w:rPr>
              <w:t>（四）无法提供</w:t>
            </w: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left"/>
              <w:textAlignment w:val="auto"/>
              <w:rPr>
                <w:color w:val="auto"/>
              </w:rPr>
            </w:pPr>
            <w:r>
              <w:rPr>
                <w:rFonts w:hint="eastAsia" w:ascii="宋体" w:hAnsi="宋体" w:eastAsia="宋体" w:cs="宋体"/>
                <w:color w:val="auto"/>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eastAsia="宋体"/>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eastAsia="宋体"/>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eastAsia="宋体"/>
                <w:color w:val="auto"/>
                <w:lang w:val="en-US" w:eastAsia="zh-CN"/>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overflowPunct/>
              <w:topLinePunct w:val="0"/>
              <w:autoSpaceDE/>
              <w:autoSpaceDN/>
              <w:bidi w:val="0"/>
              <w:adjustRightInd/>
              <w:snapToGrid/>
              <w:spacing w:line="560" w:lineRule="exact"/>
              <w:textAlignment w:val="auto"/>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overflowPunct/>
              <w:topLinePunct w:val="0"/>
              <w:autoSpaceDE/>
              <w:autoSpaceDN/>
              <w:bidi w:val="0"/>
              <w:adjustRightInd/>
              <w:snapToGrid/>
              <w:spacing w:line="560" w:lineRule="exact"/>
              <w:textAlignment w:val="auto"/>
              <w:rPr>
                <w:rFonts w:hint="eastAsia" w:ascii="宋体"/>
                <w:color w:val="auto"/>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left"/>
              <w:textAlignment w:val="auto"/>
              <w:rPr>
                <w:color w:val="auto"/>
              </w:rPr>
            </w:pPr>
            <w:r>
              <w:rPr>
                <w:rFonts w:hint="eastAsia" w:ascii="宋体" w:hAnsi="宋体" w:eastAsia="宋体" w:cs="宋体"/>
                <w:color w:val="auto"/>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color w:val="auto"/>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color w:val="auto"/>
              </w:rP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overflowPunct/>
              <w:topLinePunct w:val="0"/>
              <w:autoSpaceDE/>
              <w:autoSpaceDN/>
              <w:bidi w:val="0"/>
              <w:adjustRightInd/>
              <w:snapToGrid/>
              <w:spacing w:line="560" w:lineRule="exact"/>
              <w:textAlignment w:val="auto"/>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overflowPunct/>
              <w:topLinePunct w:val="0"/>
              <w:autoSpaceDE/>
              <w:autoSpaceDN/>
              <w:bidi w:val="0"/>
              <w:adjustRightInd/>
              <w:snapToGrid/>
              <w:spacing w:line="560" w:lineRule="exact"/>
              <w:textAlignment w:val="auto"/>
              <w:rPr>
                <w:rFonts w:hint="eastAsia" w:ascii="宋体"/>
                <w:color w:val="auto"/>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left"/>
              <w:textAlignment w:val="auto"/>
              <w:rPr>
                <w:color w:val="auto"/>
              </w:rPr>
            </w:pPr>
            <w:r>
              <w:rPr>
                <w:rFonts w:hint="eastAsia" w:ascii="宋体" w:hAnsi="宋体" w:eastAsia="宋体" w:cs="宋体"/>
                <w:color w:val="auto"/>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color w:val="auto"/>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color w:val="auto"/>
              </w:rP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overflowPunct/>
              <w:topLinePunct w:val="0"/>
              <w:autoSpaceDE/>
              <w:autoSpaceDN/>
              <w:bidi w:val="0"/>
              <w:adjustRightInd/>
              <w:snapToGrid/>
              <w:spacing w:line="560" w:lineRule="exact"/>
              <w:textAlignment w:val="auto"/>
              <w:rPr>
                <w:rFonts w:hint="eastAsia" w:ascii="宋体"/>
                <w:color w:val="auto"/>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left"/>
              <w:textAlignment w:val="auto"/>
              <w:rPr>
                <w:color w:val="auto"/>
              </w:rPr>
            </w:pPr>
            <w:r>
              <w:rPr>
                <w:rFonts w:hint="eastAsia" w:ascii="宋体" w:hAnsi="宋体" w:eastAsia="宋体" w:cs="宋体"/>
                <w:color w:val="auto"/>
                <w:kern w:val="0"/>
                <w:sz w:val="20"/>
                <w:szCs w:val="20"/>
                <w:lang w:val="en-US" w:eastAsia="zh-CN" w:bidi="ar"/>
              </w:rPr>
              <w:t>（五）不予处理</w:t>
            </w: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left"/>
              <w:textAlignment w:val="auto"/>
              <w:rPr>
                <w:color w:val="auto"/>
              </w:rPr>
            </w:pPr>
            <w:r>
              <w:rPr>
                <w:rFonts w:hint="eastAsia" w:ascii="宋体" w:hAnsi="宋体" w:eastAsia="宋体" w:cs="宋体"/>
                <w:color w:val="auto"/>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eastAsia="宋体"/>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eastAsia="宋体"/>
                <w:color w:val="auto"/>
                <w:lang w:val="en-US" w:eastAsia="zh-CN"/>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overflowPunct/>
              <w:topLinePunct w:val="0"/>
              <w:autoSpaceDE/>
              <w:autoSpaceDN/>
              <w:bidi w:val="0"/>
              <w:adjustRightInd/>
              <w:snapToGrid/>
              <w:spacing w:line="560" w:lineRule="exact"/>
              <w:textAlignment w:val="auto"/>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overflowPunct/>
              <w:topLinePunct w:val="0"/>
              <w:autoSpaceDE/>
              <w:autoSpaceDN/>
              <w:bidi w:val="0"/>
              <w:adjustRightInd/>
              <w:snapToGrid/>
              <w:spacing w:line="560" w:lineRule="exact"/>
              <w:textAlignment w:val="auto"/>
              <w:rPr>
                <w:rFonts w:hint="eastAsia" w:ascii="宋体"/>
                <w:color w:val="auto"/>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left"/>
              <w:textAlignment w:val="auto"/>
              <w:rPr>
                <w:color w:val="auto"/>
              </w:rPr>
            </w:pPr>
            <w:r>
              <w:rPr>
                <w:rFonts w:hint="eastAsia" w:ascii="宋体" w:hAnsi="宋体" w:eastAsia="宋体" w:cs="宋体"/>
                <w:color w:val="auto"/>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eastAsia="宋体"/>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eastAsia="宋体"/>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color w:val="auto"/>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color w:val="auto"/>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color w:val="auto"/>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color w:val="auto"/>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eastAsia="宋体"/>
                <w:color w:val="auto"/>
                <w:lang w:val="en-US" w:eastAsia="zh-CN"/>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overflowPunct/>
              <w:topLinePunct w:val="0"/>
              <w:autoSpaceDE/>
              <w:autoSpaceDN/>
              <w:bidi w:val="0"/>
              <w:adjustRightInd/>
              <w:snapToGrid/>
              <w:spacing w:line="560" w:lineRule="exact"/>
              <w:textAlignment w:val="auto"/>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overflowPunct/>
              <w:topLinePunct w:val="0"/>
              <w:autoSpaceDE/>
              <w:autoSpaceDN/>
              <w:bidi w:val="0"/>
              <w:adjustRightInd/>
              <w:snapToGrid/>
              <w:spacing w:line="560" w:lineRule="exact"/>
              <w:textAlignment w:val="auto"/>
              <w:rPr>
                <w:rFonts w:hint="eastAsia" w:ascii="宋体"/>
                <w:color w:val="auto"/>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left"/>
              <w:textAlignment w:val="auto"/>
              <w:rPr>
                <w:color w:val="auto"/>
              </w:rPr>
            </w:pPr>
            <w:r>
              <w:rPr>
                <w:rFonts w:hint="eastAsia" w:ascii="宋体" w:hAnsi="宋体" w:eastAsia="宋体" w:cs="宋体"/>
                <w:color w:val="auto"/>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color w:val="auto"/>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color w:val="auto"/>
              </w:rP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overflowPunct/>
              <w:topLinePunct w:val="0"/>
              <w:autoSpaceDE/>
              <w:autoSpaceDN/>
              <w:bidi w:val="0"/>
              <w:adjustRightInd/>
              <w:snapToGrid/>
              <w:spacing w:line="560" w:lineRule="exact"/>
              <w:textAlignment w:val="auto"/>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overflowPunct/>
              <w:topLinePunct w:val="0"/>
              <w:autoSpaceDE/>
              <w:autoSpaceDN/>
              <w:bidi w:val="0"/>
              <w:adjustRightInd/>
              <w:snapToGrid/>
              <w:spacing w:line="560" w:lineRule="exact"/>
              <w:textAlignment w:val="auto"/>
              <w:rPr>
                <w:rFonts w:hint="eastAsia" w:ascii="宋体"/>
                <w:color w:val="auto"/>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left"/>
              <w:textAlignment w:val="auto"/>
              <w:rPr>
                <w:color w:val="auto"/>
              </w:rPr>
            </w:pPr>
            <w:r>
              <w:rPr>
                <w:rFonts w:hint="eastAsia" w:ascii="宋体" w:hAnsi="宋体" w:eastAsia="宋体" w:cs="宋体"/>
                <w:color w:val="auto"/>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color w:val="auto"/>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color w:val="auto"/>
              </w:rP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overflowPunct/>
              <w:topLinePunct w:val="0"/>
              <w:autoSpaceDE/>
              <w:autoSpaceDN/>
              <w:bidi w:val="0"/>
              <w:adjustRightInd/>
              <w:snapToGrid/>
              <w:spacing w:line="560" w:lineRule="exact"/>
              <w:textAlignment w:val="auto"/>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overflowPunct/>
              <w:topLinePunct w:val="0"/>
              <w:autoSpaceDE/>
              <w:autoSpaceDN/>
              <w:bidi w:val="0"/>
              <w:adjustRightInd/>
              <w:snapToGrid/>
              <w:spacing w:line="560" w:lineRule="exact"/>
              <w:textAlignment w:val="auto"/>
              <w:rPr>
                <w:rFonts w:hint="eastAsia" w:ascii="宋体"/>
                <w:color w:val="auto"/>
                <w:sz w:val="24"/>
                <w:szCs w:val="24"/>
              </w:rPr>
            </w:pPr>
          </w:p>
        </w:tc>
        <w:tc>
          <w:tcPr>
            <w:tcW w:w="3219"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both"/>
              <w:textAlignment w:val="auto"/>
              <w:rPr>
                <w:color w:val="auto"/>
              </w:rPr>
            </w:pPr>
            <w:r>
              <w:rPr>
                <w:rFonts w:hint="eastAsia" w:ascii="宋体" w:hAnsi="宋体" w:eastAsia="宋体" w:cs="宋体"/>
                <w:color w:val="auto"/>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color w:val="auto"/>
              </w:rPr>
            </w:pPr>
            <w:r>
              <w:rPr>
                <w:rFonts w:hint="eastAsia"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color w:val="auto"/>
              </w:rP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overflowPunct/>
              <w:topLinePunct w:val="0"/>
              <w:autoSpaceDE/>
              <w:autoSpaceDN/>
              <w:bidi w:val="0"/>
              <w:adjustRightInd/>
              <w:snapToGrid/>
              <w:spacing w:line="560" w:lineRule="exact"/>
              <w:textAlignment w:val="auto"/>
              <w:rPr>
                <w:rFonts w:hint="eastAsia" w:ascii="宋体"/>
                <w:color w:val="auto"/>
                <w:sz w:val="24"/>
                <w:szCs w:val="24"/>
              </w:rPr>
            </w:pPr>
          </w:p>
        </w:tc>
        <w:tc>
          <w:tcPr>
            <w:tcW w:w="943"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left"/>
              <w:textAlignment w:val="auto"/>
              <w:rPr>
                <w:color w:val="auto"/>
              </w:rPr>
            </w:pPr>
            <w:r>
              <w:rPr>
                <w:rFonts w:hint="eastAsia" w:ascii="宋体" w:hAnsi="宋体" w:eastAsia="宋体" w:cs="宋体"/>
                <w:color w:val="auto"/>
                <w:kern w:val="0"/>
                <w:sz w:val="20"/>
                <w:szCs w:val="20"/>
                <w:lang w:val="en-US" w:eastAsia="zh-CN" w:bidi="ar"/>
              </w:rPr>
              <w:t>（六）其他处理</w:t>
            </w:r>
          </w:p>
        </w:tc>
        <w:tc>
          <w:tcPr>
            <w:tcW w:w="321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both"/>
              <w:textAlignment w:val="auto"/>
              <w:rPr>
                <w:color w:val="auto"/>
              </w:rPr>
            </w:pPr>
            <w:r>
              <w:rPr>
                <w:rFonts w:hint="eastAsia" w:ascii="宋体" w:hAnsi="宋体" w:eastAsia="宋体" w:cs="宋体"/>
                <w:color w:val="auto"/>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color w:val="auto"/>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eastAsia="宋体"/>
                <w:color w:val="auto"/>
                <w:lang w:val="en-US" w:eastAsia="zh-CN"/>
              </w:rPr>
            </w:pPr>
            <w:r>
              <w:rPr>
                <w:rFonts w:hint="eastAsia"/>
                <w:color w:val="auto"/>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color w:val="auto"/>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color w:val="auto"/>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color w:val="auto"/>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color w:val="auto"/>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eastAsia="宋体"/>
                <w:color w:val="auto"/>
                <w:lang w:val="en-US" w:eastAsia="zh-CN"/>
              </w:rPr>
            </w:pPr>
            <w:r>
              <w:rPr>
                <w:rFonts w:hint="eastAsia"/>
                <w:color w:val="auto"/>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overflowPunct/>
              <w:topLinePunct w:val="0"/>
              <w:autoSpaceDE/>
              <w:autoSpaceDN/>
              <w:bidi w:val="0"/>
              <w:adjustRightInd/>
              <w:snapToGrid/>
              <w:spacing w:line="560" w:lineRule="exact"/>
              <w:textAlignment w:val="auto"/>
              <w:rPr>
                <w:rFonts w:hint="eastAsia" w:ascii="宋体"/>
                <w:color w:val="auto"/>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overflowPunct/>
              <w:topLinePunct w:val="0"/>
              <w:autoSpaceDE/>
              <w:autoSpaceDN/>
              <w:bidi w:val="0"/>
              <w:adjustRightInd/>
              <w:snapToGrid/>
              <w:spacing w:line="560" w:lineRule="exact"/>
              <w:textAlignment w:val="auto"/>
              <w:rPr>
                <w:rFonts w:hint="eastAsia" w:ascii="宋体"/>
                <w:color w:val="auto"/>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both"/>
              <w:textAlignment w:val="auto"/>
              <w:rPr>
                <w:color w:val="auto"/>
              </w:rPr>
            </w:pPr>
            <w:r>
              <w:rPr>
                <w:rFonts w:hint="eastAsia" w:ascii="宋体" w:hAnsi="宋体" w:eastAsia="宋体" w:cs="宋体"/>
                <w:color w:val="auto"/>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color w:val="auto"/>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color w:val="auto"/>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color w:val="auto"/>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color w:val="auto"/>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color w:val="auto"/>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color w:val="auto"/>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color w:val="auto"/>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overflowPunct/>
              <w:topLinePunct w:val="0"/>
              <w:autoSpaceDE/>
              <w:autoSpaceDN/>
              <w:bidi w:val="0"/>
              <w:adjustRightInd/>
              <w:snapToGrid/>
              <w:spacing w:line="560" w:lineRule="exact"/>
              <w:textAlignment w:val="auto"/>
              <w:rPr>
                <w:rFonts w:hint="eastAsia" w:ascii="宋体"/>
                <w:color w:val="auto"/>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overflowPunct/>
              <w:topLinePunct w:val="0"/>
              <w:autoSpaceDE/>
              <w:autoSpaceDN/>
              <w:bidi w:val="0"/>
              <w:adjustRightInd/>
              <w:snapToGrid/>
              <w:spacing w:line="560" w:lineRule="exact"/>
              <w:textAlignment w:val="auto"/>
              <w:rPr>
                <w:rFonts w:hint="eastAsia" w:ascii="宋体"/>
                <w:color w:val="auto"/>
                <w:sz w:val="24"/>
                <w:szCs w:val="24"/>
              </w:rPr>
            </w:pPr>
          </w:p>
        </w:tc>
        <w:tc>
          <w:tcPr>
            <w:tcW w:w="321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left"/>
              <w:textAlignment w:val="auto"/>
              <w:rPr>
                <w:color w:val="auto"/>
              </w:rPr>
            </w:pPr>
            <w:r>
              <w:rPr>
                <w:rFonts w:hint="eastAsia" w:ascii="宋体" w:hAnsi="宋体" w:eastAsia="宋体" w:cs="宋体"/>
                <w:color w:val="auto"/>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cs="Calibri"/>
                <w:color w:val="auto"/>
                <w:kern w:val="0"/>
                <w:sz w:val="20"/>
                <w:szCs w:val="20"/>
                <w:lang w:val="en-US" w:eastAsia="zh-CN" w:bidi="ar"/>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cs="Calibri"/>
                <w:color w:val="auto"/>
                <w:kern w:val="0"/>
                <w:sz w:val="20"/>
                <w:szCs w:val="20"/>
                <w:lang w:val="en-US" w:eastAsia="zh-CN" w:bidi="ar"/>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cs="Calibri"/>
                <w:color w:val="auto"/>
                <w:kern w:val="0"/>
                <w:sz w:val="20"/>
                <w:szCs w:val="20"/>
                <w:lang w:val="en-US" w:eastAsia="zh-CN" w:bidi="ar"/>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cs="Calibri"/>
                <w:color w:val="auto"/>
                <w:kern w:val="0"/>
                <w:sz w:val="20"/>
                <w:szCs w:val="20"/>
                <w:lang w:val="en-US" w:eastAsia="zh-CN" w:bidi="ar"/>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cs="Calibri"/>
                <w:color w:val="auto"/>
                <w:kern w:val="0"/>
                <w:sz w:val="20"/>
                <w:szCs w:val="20"/>
                <w:lang w:val="en-US" w:eastAsia="zh-CN" w:bidi="ar"/>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cs="Calibri"/>
                <w:color w:val="auto"/>
                <w:kern w:val="0"/>
                <w:sz w:val="20"/>
                <w:szCs w:val="20"/>
                <w:lang w:val="en-US" w:eastAsia="zh-CN" w:bidi="ar"/>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cs="Calibri"/>
                <w:color w:val="auto"/>
                <w:kern w:val="0"/>
                <w:sz w:val="20"/>
                <w:szCs w:val="20"/>
                <w:lang w:val="en-US" w:eastAsia="zh-CN" w:bidi="ar"/>
              </w:rPr>
            </w:pPr>
            <w:r>
              <w:rPr>
                <w:rFonts w:hint="eastAsia"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overflowPunct/>
              <w:topLinePunct w:val="0"/>
              <w:autoSpaceDE/>
              <w:autoSpaceDN/>
              <w:bidi w:val="0"/>
              <w:adjustRightInd/>
              <w:snapToGrid/>
              <w:spacing w:line="560" w:lineRule="exact"/>
              <w:textAlignment w:val="auto"/>
              <w:rPr>
                <w:rFonts w:hint="eastAsia" w:ascii="宋体"/>
                <w:color w:val="auto"/>
                <w:sz w:val="24"/>
                <w:szCs w:val="24"/>
              </w:rPr>
            </w:pPr>
          </w:p>
        </w:tc>
        <w:tc>
          <w:tcPr>
            <w:tcW w:w="4162"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left"/>
              <w:textAlignment w:val="auto"/>
              <w:rPr>
                <w:color w:val="auto"/>
              </w:rPr>
            </w:pPr>
            <w:r>
              <w:rPr>
                <w:rFonts w:hint="eastAsia" w:ascii="宋体" w:hAnsi="宋体" w:eastAsia="宋体" w:cs="宋体"/>
                <w:color w:val="auto"/>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cs="Calibri"/>
                <w:color w:val="auto"/>
                <w:kern w:val="0"/>
                <w:sz w:val="20"/>
                <w:szCs w:val="20"/>
                <w:lang w:val="en-US" w:eastAsia="zh-CN" w:bidi="ar"/>
              </w:rPr>
            </w:pPr>
            <w:r>
              <w:rPr>
                <w:rFonts w:hint="eastAsia" w:cs="Calibri"/>
                <w:color w:val="auto"/>
                <w:kern w:val="0"/>
                <w:sz w:val="20"/>
                <w:szCs w:val="20"/>
                <w:lang w:val="en-US" w:eastAsia="zh-CN" w:bidi="ar"/>
              </w:rPr>
              <w:t>24</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cs="Calibri"/>
                <w:color w:val="auto"/>
                <w:kern w:val="0"/>
                <w:sz w:val="20"/>
                <w:szCs w:val="20"/>
                <w:lang w:val="en-US" w:eastAsia="zh-CN" w:bidi="ar"/>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cs="Calibri"/>
                <w:color w:val="auto"/>
                <w:kern w:val="0"/>
                <w:sz w:val="20"/>
                <w:szCs w:val="20"/>
                <w:lang w:val="en-US" w:eastAsia="zh-CN" w:bidi="ar"/>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cs="Calibri"/>
                <w:color w:val="auto"/>
                <w:kern w:val="0"/>
                <w:sz w:val="20"/>
                <w:szCs w:val="20"/>
                <w:lang w:val="en-US" w:eastAsia="zh-CN" w:bidi="ar"/>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cs="Calibri"/>
                <w:color w:val="auto"/>
                <w:kern w:val="0"/>
                <w:sz w:val="20"/>
                <w:szCs w:val="20"/>
                <w:lang w:val="en-US" w:eastAsia="zh-CN" w:bidi="ar"/>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cs="Calibri"/>
                <w:color w:val="auto"/>
                <w:kern w:val="0"/>
                <w:sz w:val="20"/>
                <w:szCs w:val="20"/>
                <w:lang w:val="en-US" w:eastAsia="zh-CN" w:bidi="ar"/>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cs="Calibri"/>
                <w:color w:val="auto"/>
                <w:kern w:val="0"/>
                <w:sz w:val="20"/>
                <w:szCs w:val="20"/>
                <w:lang w:val="en-US" w:eastAsia="zh-CN" w:bidi="ar"/>
              </w:rPr>
            </w:pPr>
            <w:r>
              <w:rPr>
                <w:rFonts w:hint="eastAsia" w:cs="Calibri"/>
                <w:color w:val="auto"/>
                <w:kern w:val="0"/>
                <w:sz w:val="20"/>
                <w:szCs w:val="20"/>
                <w:lang w:val="en-US" w:eastAsia="zh-CN" w:bidi="ar"/>
              </w:rPr>
              <w:t>24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left"/>
              <w:textAlignment w:val="auto"/>
              <w:rPr>
                <w:color w:val="auto"/>
              </w:rPr>
            </w:pPr>
            <w:r>
              <w:rPr>
                <w:rFonts w:hint="eastAsia" w:ascii="宋体" w:hAnsi="宋体" w:eastAsia="宋体" w:cs="宋体"/>
                <w:color w:val="auto"/>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cs="Calibri"/>
                <w:color w:val="auto"/>
                <w:kern w:val="0"/>
                <w:sz w:val="20"/>
                <w:szCs w:val="20"/>
                <w:lang w:val="en-US" w:eastAsia="zh-CN" w:bidi="ar"/>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cs="Calibri"/>
                <w:color w:val="auto"/>
                <w:kern w:val="0"/>
                <w:sz w:val="20"/>
                <w:szCs w:val="20"/>
                <w:lang w:val="en-US" w:eastAsia="zh-CN" w:bidi="ar"/>
              </w:rPr>
            </w:pPr>
            <w:r>
              <w:rPr>
                <w:rFonts w:hint="eastAsia"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cs="Calibri"/>
                <w:color w:val="auto"/>
                <w:kern w:val="0"/>
                <w:sz w:val="20"/>
                <w:szCs w:val="20"/>
                <w:lang w:val="en-US" w:eastAsia="zh-CN" w:bidi="ar"/>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cs="Calibri"/>
                <w:color w:val="auto"/>
                <w:kern w:val="0"/>
                <w:sz w:val="20"/>
                <w:szCs w:val="20"/>
                <w:lang w:val="en-US" w:eastAsia="zh-CN" w:bidi="ar"/>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cs="Calibri"/>
                <w:color w:val="auto"/>
                <w:kern w:val="0"/>
                <w:sz w:val="20"/>
                <w:szCs w:val="20"/>
                <w:lang w:val="en-US" w:eastAsia="zh-CN" w:bidi="ar"/>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cs="Calibri"/>
                <w:color w:val="auto"/>
                <w:kern w:val="0"/>
                <w:sz w:val="20"/>
                <w:szCs w:val="20"/>
                <w:lang w:val="en-US" w:eastAsia="zh-CN" w:bidi="ar"/>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200" w:firstLineChars="100"/>
              <w:jc w:val="both"/>
              <w:textAlignment w:val="auto"/>
              <w:rPr>
                <w:rFonts w:hint="default" w:cs="Calibri"/>
                <w:color w:val="auto"/>
                <w:kern w:val="0"/>
                <w:sz w:val="20"/>
                <w:szCs w:val="20"/>
                <w:lang w:val="en-US" w:eastAsia="zh-CN" w:bidi="ar"/>
              </w:rPr>
            </w:pPr>
            <w:r>
              <w:rPr>
                <w:rFonts w:hint="eastAsia" w:cs="Calibri"/>
                <w:color w:val="auto"/>
                <w:kern w:val="0"/>
                <w:sz w:val="20"/>
                <w:szCs w:val="20"/>
                <w:lang w:val="en-US" w:eastAsia="zh-CN" w:bidi="ar"/>
              </w:rPr>
              <w:t>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caps w:val="0"/>
          <w:color w:val="auto"/>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i w:val="0"/>
          <w:iCs w:val="0"/>
          <w:caps w:val="0"/>
          <w:color w:val="auto"/>
          <w:spacing w:val="0"/>
          <w:sz w:val="32"/>
          <w:szCs w:val="32"/>
          <w:shd w:val="clear" w:color="auto" w:fill="FFFFFF"/>
        </w:rPr>
      </w:pPr>
      <w:r>
        <w:rPr>
          <w:rFonts w:hint="eastAsia" w:ascii="黑体" w:hAnsi="黑体" w:eastAsia="黑体" w:cs="黑体"/>
          <w:b w:val="0"/>
          <w:bCs/>
          <w:i w:val="0"/>
          <w:iCs w:val="0"/>
          <w:caps w:val="0"/>
          <w:color w:val="auto"/>
          <w:spacing w:val="0"/>
          <w:sz w:val="32"/>
          <w:szCs w:val="32"/>
          <w:shd w:val="clear" w:color="auto" w:fill="FFFFFF"/>
        </w:rPr>
        <w:t>四、政府信息公开行政复议、行政诉讼情况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caps w:val="0"/>
          <w:color w:val="auto"/>
          <w:spacing w:val="0"/>
          <w:sz w:val="24"/>
          <w:szCs w:val="24"/>
        </w:rPr>
      </w:pPr>
    </w:p>
    <w:tbl>
      <w:tblPr>
        <w:tblStyle w:val="5"/>
        <w:tblW w:w="974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行政复议</w:t>
            </w:r>
          </w:p>
        </w:tc>
        <w:tc>
          <w:tcPr>
            <w:tcW w:w="6498"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overflowPunct/>
              <w:topLinePunct w:val="0"/>
              <w:autoSpaceDE/>
              <w:autoSpaceDN/>
              <w:bidi w:val="0"/>
              <w:adjustRightInd/>
              <w:snapToGrid/>
              <w:spacing w:line="560" w:lineRule="exact"/>
              <w:textAlignment w:val="auto"/>
              <w:rPr>
                <w:rFonts w:hint="eastAsia" w:ascii="宋体"/>
                <w:color w:val="auto"/>
                <w:sz w:val="24"/>
                <w:szCs w:val="24"/>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overflowPunct/>
              <w:topLinePunct w:val="0"/>
              <w:autoSpaceDE/>
              <w:autoSpaceDN/>
              <w:bidi w:val="0"/>
              <w:adjustRightInd/>
              <w:snapToGrid/>
              <w:spacing w:line="560" w:lineRule="exact"/>
              <w:textAlignment w:val="auto"/>
              <w:rPr>
                <w:rFonts w:hint="eastAsia" w:ascii="宋体"/>
                <w:color w:val="auto"/>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overflowPunct/>
              <w:topLinePunct w:val="0"/>
              <w:autoSpaceDE/>
              <w:autoSpaceDN/>
              <w:bidi w:val="0"/>
              <w:adjustRightInd/>
              <w:snapToGrid/>
              <w:spacing w:line="560" w:lineRule="exact"/>
              <w:textAlignment w:val="auto"/>
              <w:rPr>
                <w:rFonts w:hint="eastAsia" w:ascii="宋体"/>
                <w:color w:val="auto"/>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overflowPunct/>
              <w:topLinePunct w:val="0"/>
              <w:autoSpaceDE/>
              <w:autoSpaceDN/>
              <w:bidi w:val="0"/>
              <w:adjustRightInd/>
              <w:snapToGrid/>
              <w:spacing w:line="560" w:lineRule="exact"/>
              <w:textAlignment w:val="auto"/>
              <w:rPr>
                <w:rFonts w:hint="eastAsia" w:ascii="宋体"/>
                <w:color w:val="auto"/>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overflowPunct/>
              <w:topLinePunct w:val="0"/>
              <w:autoSpaceDE/>
              <w:autoSpaceDN/>
              <w:bidi w:val="0"/>
              <w:adjustRightInd/>
              <w:snapToGrid/>
              <w:spacing w:line="560" w:lineRule="exact"/>
              <w:textAlignment w:val="auto"/>
              <w:rPr>
                <w:rFonts w:hint="eastAsia" w:ascii="宋体"/>
                <w:color w:val="auto"/>
                <w:sz w:val="24"/>
                <w:szCs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right="0" w:firstLine="0"/>
              <w:jc w:val="center"/>
              <w:textAlignment w:val="auto"/>
              <w:rPr>
                <w:color w:val="auto"/>
              </w:rPr>
            </w:pPr>
            <w:r>
              <w:rPr>
                <w:rFonts w:hint="eastAsia" w:ascii="宋体" w:hAnsi="宋体" w:eastAsia="宋体" w:cs="宋体"/>
                <w:color w:val="auto"/>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color w:val="auto"/>
              </w:rP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黑体" w:hAnsi="宋体" w:eastAsia="黑体" w:cs="黑体"/>
                <w:color w:val="auto"/>
                <w:kern w:val="0"/>
                <w:sz w:val="20"/>
                <w:szCs w:val="20"/>
                <w:lang w:val="en-US" w:eastAsia="zh-CN" w:bidi="ar"/>
              </w:rP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黑体" w:hAnsi="宋体" w:eastAsia="黑体" w:cs="黑体"/>
                <w:color w:val="auto"/>
                <w:kern w:val="0"/>
                <w:sz w:val="20"/>
                <w:szCs w:val="20"/>
                <w:lang w:val="en-US" w:eastAsia="zh-CN" w:bidi="ar"/>
              </w:rP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黑体" w:hAnsi="宋体" w:eastAsia="黑体" w:cs="黑体"/>
                <w:color w:val="auto"/>
                <w:kern w:val="0"/>
                <w:sz w:val="20"/>
                <w:szCs w:val="20"/>
                <w:lang w:val="en-US" w:eastAsia="zh-CN" w:bidi="ar"/>
              </w:rP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黑体" w:hAnsi="宋体" w:eastAsia="黑体" w:cs="黑体"/>
                <w:color w:val="auto"/>
                <w:kern w:val="0"/>
                <w:sz w:val="20"/>
                <w:szCs w:val="20"/>
                <w:lang w:val="en-US" w:eastAsia="zh-CN" w:bidi="ar"/>
              </w:rP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黑体" w:hAnsi="宋体" w:eastAsia="黑体" w:cs="黑体"/>
                <w:color w:val="auto"/>
                <w:kern w:val="0"/>
                <w:sz w:val="20"/>
                <w:szCs w:val="20"/>
                <w:lang w:val="en-US" w:eastAsia="zh-CN" w:bidi="ar"/>
              </w:rP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黑体" w:hAnsi="宋体" w:eastAsia="黑体" w:cs="黑体"/>
                <w:color w:val="auto"/>
                <w:kern w:val="0"/>
                <w:sz w:val="20"/>
                <w:szCs w:val="20"/>
                <w:lang w:val="en-US" w:eastAsia="zh-CN" w:bidi="ar"/>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黑体" w:hAnsi="宋体" w:eastAsia="黑体" w:cs="黑体"/>
                <w:color w:val="auto"/>
                <w:kern w:val="0"/>
                <w:sz w:val="20"/>
                <w:szCs w:val="20"/>
                <w:lang w:val="en-US" w:eastAsia="zh-CN" w:bidi="ar"/>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黑体" w:hAnsi="宋体" w:eastAsia="黑体" w:cs="黑体"/>
                <w:color w:val="auto"/>
                <w:kern w:val="0"/>
                <w:sz w:val="20"/>
                <w:szCs w:val="20"/>
                <w:lang w:val="en-US" w:eastAsia="zh-CN" w:bidi="ar"/>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黑体" w:hAnsi="宋体" w:eastAsia="黑体" w:cs="黑体"/>
                <w:color w:val="auto"/>
                <w:kern w:val="0"/>
                <w:sz w:val="20"/>
                <w:szCs w:val="20"/>
                <w:lang w:val="en-US" w:eastAsia="zh-CN" w:bidi="ar"/>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黑体" w:hAnsi="宋体" w:eastAsia="黑体" w:cs="黑体"/>
                <w:color w:val="auto"/>
                <w:kern w:val="0"/>
                <w:sz w:val="20"/>
                <w:szCs w:val="20"/>
                <w:lang w:val="en-US" w:eastAsia="zh-CN" w:bidi="ar"/>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黑体" w:hAnsi="宋体" w:eastAsia="黑体" w:cs="黑体"/>
                <w:color w:val="auto"/>
                <w:kern w:val="0"/>
                <w:sz w:val="20"/>
                <w:szCs w:val="20"/>
                <w:lang w:val="en-US" w:eastAsia="zh-CN" w:bidi="ar"/>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黑体" w:hAnsi="宋体" w:eastAsia="黑体" w:cs="黑体"/>
                <w:color w:val="auto"/>
                <w:kern w:val="0"/>
                <w:sz w:val="20"/>
                <w:szCs w:val="20"/>
                <w:lang w:val="en-US" w:eastAsia="zh-CN" w:bidi="ar"/>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黑体" w:hAnsi="宋体" w:eastAsia="黑体" w:cs="黑体"/>
                <w:color w:val="auto"/>
                <w:kern w:val="0"/>
                <w:sz w:val="20"/>
                <w:szCs w:val="20"/>
                <w:lang w:val="en-US" w:eastAsia="zh-CN" w:bidi="ar"/>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黑体" w:hAnsi="宋体" w:eastAsia="黑体" w:cs="黑体"/>
                <w:color w:val="auto"/>
                <w:kern w:val="0"/>
                <w:sz w:val="20"/>
                <w:szCs w:val="20"/>
                <w:lang w:val="en-US" w:eastAsia="zh-CN" w:bidi="ar"/>
              </w:rPr>
            </w:pPr>
            <w:r>
              <w:rPr>
                <w:rFonts w:hint="eastAsia" w:ascii="黑体" w:hAnsi="宋体" w:eastAsia="黑体" w:cs="黑体"/>
                <w:kern w:val="0"/>
                <w:sz w:val="20"/>
                <w:szCs w:val="20"/>
                <w:lang w:val="en-US" w:eastAsia="zh-CN" w:bidi="ar"/>
              </w:rPr>
              <w:t>0</w:t>
            </w:r>
          </w:p>
        </w:tc>
      </w:tr>
    </w:tbl>
    <w:p>
      <w:pPr>
        <w:keepNext w:val="0"/>
        <w:keepLines w:val="0"/>
        <w:pageBreakBefore w:val="0"/>
        <w:widowControl/>
        <w:suppressLineNumbers w:val="0"/>
        <w:overflowPunct/>
        <w:topLinePunct w:val="0"/>
        <w:autoSpaceDE/>
        <w:autoSpaceDN/>
        <w:bidi w:val="0"/>
        <w:adjustRightInd/>
        <w:snapToGrid/>
        <w:spacing w:line="560" w:lineRule="exact"/>
        <w:jc w:val="left"/>
        <w:textAlignment w:val="auto"/>
        <w:rPr>
          <w:color w:val="auto"/>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黑体" w:hAnsi="黑体" w:eastAsia="黑体" w:cs="黑体"/>
          <w:b w:val="0"/>
          <w:bCs/>
          <w:i w:val="0"/>
          <w:iCs w:val="0"/>
          <w:caps w:val="0"/>
          <w:color w:val="auto"/>
          <w:spacing w:val="0"/>
          <w:sz w:val="32"/>
          <w:szCs w:val="32"/>
          <w:shd w:val="clear" w:color="auto" w:fill="FFFFFF"/>
        </w:rPr>
      </w:pPr>
      <w:r>
        <w:rPr>
          <w:rFonts w:hint="eastAsia" w:ascii="黑体" w:hAnsi="黑体" w:eastAsia="黑体" w:cs="黑体"/>
          <w:b w:val="0"/>
          <w:bCs/>
          <w:i w:val="0"/>
          <w:iCs w:val="0"/>
          <w:caps w:val="0"/>
          <w:color w:val="auto"/>
          <w:spacing w:val="0"/>
          <w:sz w:val="32"/>
          <w:szCs w:val="32"/>
          <w:shd w:val="clear" w:color="auto" w:fill="FFFFFF"/>
        </w:rPr>
        <w:t>五、存在的主要问题及改进情况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outlineLvl w:val="9"/>
        <w:rPr>
          <w:rFonts w:hint="eastAsia" w:ascii="楷体_GB2312" w:hAnsi="楷体_GB2312" w:eastAsia="楷体_GB2312" w:cs="楷体_GB2312"/>
          <w:b/>
          <w:bCs/>
          <w:i w:val="0"/>
          <w:caps w:val="0"/>
          <w:color w:val="auto"/>
          <w:spacing w:val="0"/>
          <w:sz w:val="32"/>
          <w:szCs w:val="32"/>
          <w:shd w:val="clear" w:color="auto" w:fill="FFFFFF"/>
        </w:rPr>
      </w:pPr>
      <w:r>
        <w:rPr>
          <w:rFonts w:hint="eastAsia" w:ascii="楷体_GB2312" w:hAnsi="楷体_GB2312" w:eastAsia="楷体_GB2312" w:cs="楷体_GB2312"/>
          <w:b/>
          <w:bCs/>
          <w:i w:val="0"/>
          <w:caps w:val="0"/>
          <w:color w:val="auto"/>
          <w:spacing w:val="0"/>
          <w:sz w:val="32"/>
          <w:szCs w:val="32"/>
          <w:shd w:val="clear" w:color="auto" w:fill="FFFFFF"/>
        </w:rPr>
        <w:t>（一）存在问题</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202</w:t>
      </w:r>
      <w:r>
        <w:rPr>
          <w:rFonts w:hint="eastAsia" w:ascii="Times New Roman" w:hAnsi="Times New Roman" w:eastAsia="仿宋_GB2312" w:cs="Times New Roman"/>
          <w:color w:val="auto"/>
          <w:kern w:val="0"/>
          <w:sz w:val="32"/>
          <w:szCs w:val="32"/>
          <w:lang w:val="en-US" w:eastAsia="zh-CN" w:bidi="ar"/>
        </w:rPr>
        <w:t>2</w:t>
      </w:r>
      <w:r>
        <w:rPr>
          <w:rFonts w:hint="default" w:ascii="Times New Roman" w:hAnsi="Times New Roman" w:eastAsia="仿宋_GB2312" w:cs="Times New Roman"/>
          <w:color w:val="auto"/>
          <w:kern w:val="0"/>
          <w:sz w:val="32"/>
          <w:szCs w:val="32"/>
          <w:lang w:val="en-US" w:eastAsia="zh-CN" w:bidi="ar"/>
        </w:rPr>
        <w:t>年，</w:t>
      </w:r>
      <w:r>
        <w:rPr>
          <w:rFonts w:hint="eastAsia" w:ascii="Times New Roman" w:hAnsi="Times New Roman" w:eastAsia="仿宋_GB2312" w:cs="Times New Roman"/>
          <w:color w:val="auto"/>
          <w:kern w:val="0"/>
          <w:sz w:val="32"/>
          <w:szCs w:val="32"/>
          <w:lang w:val="en-US" w:eastAsia="zh-CN" w:bidi="ar"/>
        </w:rPr>
        <w:t>沂源县人民政府办公室的政务</w:t>
      </w:r>
      <w:r>
        <w:rPr>
          <w:rFonts w:hint="default" w:ascii="Times New Roman" w:hAnsi="Times New Roman" w:eastAsia="仿宋_GB2312" w:cs="Times New Roman"/>
          <w:color w:val="auto"/>
          <w:kern w:val="0"/>
          <w:sz w:val="32"/>
          <w:szCs w:val="32"/>
          <w:lang w:val="en-US" w:eastAsia="zh-CN" w:bidi="ar"/>
        </w:rPr>
        <w:t>公开工作取得</w:t>
      </w:r>
      <w:r>
        <w:rPr>
          <w:rFonts w:hint="eastAsia" w:ascii="Times New Roman" w:hAnsi="Times New Roman" w:eastAsia="仿宋_GB2312" w:cs="Times New Roman"/>
          <w:color w:val="auto"/>
          <w:kern w:val="0"/>
          <w:sz w:val="32"/>
          <w:szCs w:val="32"/>
          <w:lang w:val="en-US" w:eastAsia="zh-CN" w:bidi="ar"/>
        </w:rPr>
        <w:t>了一些</w:t>
      </w:r>
      <w:r>
        <w:rPr>
          <w:rFonts w:hint="default" w:ascii="Times New Roman" w:hAnsi="Times New Roman" w:eastAsia="仿宋_GB2312" w:cs="Times New Roman"/>
          <w:color w:val="auto"/>
          <w:kern w:val="0"/>
          <w:sz w:val="32"/>
          <w:szCs w:val="32"/>
          <w:lang w:val="en-US" w:eastAsia="zh-CN" w:bidi="ar"/>
        </w:rPr>
        <w:t>成效，但</w:t>
      </w:r>
      <w:r>
        <w:rPr>
          <w:rFonts w:hint="eastAsia" w:ascii="Times New Roman" w:hAnsi="Times New Roman" w:eastAsia="仿宋_GB2312" w:cs="Times New Roman"/>
          <w:color w:val="auto"/>
          <w:kern w:val="0"/>
          <w:sz w:val="32"/>
          <w:szCs w:val="32"/>
          <w:lang w:val="en-US" w:eastAsia="zh-CN" w:bidi="ar"/>
        </w:rPr>
        <w:t>对照新时代政务公开要求</w:t>
      </w:r>
      <w:r>
        <w:rPr>
          <w:rFonts w:hint="default" w:ascii="Times New Roman" w:hAnsi="Times New Roman" w:eastAsia="仿宋_GB2312" w:cs="Times New Roman"/>
          <w:color w:val="auto"/>
          <w:kern w:val="0"/>
          <w:sz w:val="32"/>
          <w:szCs w:val="32"/>
          <w:lang w:val="en-US" w:eastAsia="zh-CN" w:bidi="ar"/>
        </w:rPr>
        <w:t>仍存在一些不足，主要表现在：一是</w:t>
      </w:r>
      <w:r>
        <w:rPr>
          <w:rFonts w:hint="eastAsia" w:ascii="Times New Roman" w:hAnsi="Times New Roman" w:eastAsia="仿宋_GB2312" w:cs="Times New Roman"/>
          <w:color w:val="auto"/>
          <w:kern w:val="0"/>
          <w:sz w:val="32"/>
          <w:szCs w:val="32"/>
          <w:lang w:val="en-US" w:eastAsia="zh-CN" w:bidi="ar"/>
        </w:rPr>
        <w:t>政策文件检索和展示还不够完善</w:t>
      </w:r>
      <w:r>
        <w:rPr>
          <w:rFonts w:hint="default" w:ascii="Times New Roman" w:hAnsi="Times New Roman" w:eastAsia="仿宋_GB2312" w:cs="Times New Roman"/>
          <w:color w:val="auto"/>
          <w:kern w:val="0"/>
          <w:sz w:val="32"/>
          <w:szCs w:val="32"/>
          <w:lang w:val="en-US" w:eastAsia="zh-CN" w:bidi="ar"/>
        </w:rPr>
        <w:t>；</w:t>
      </w:r>
      <w:r>
        <w:rPr>
          <w:rFonts w:hint="eastAsia" w:ascii="Times New Roman" w:hAnsi="Times New Roman" w:eastAsia="仿宋_GB2312" w:cs="Times New Roman"/>
          <w:color w:val="auto"/>
          <w:kern w:val="0"/>
          <w:sz w:val="32"/>
          <w:szCs w:val="32"/>
          <w:lang w:val="en-US" w:eastAsia="zh-CN" w:bidi="ar"/>
        </w:rPr>
        <w:t>二是政策解读形式比较单一；三是政府信息依申请公开工作机制还不够健全</w:t>
      </w:r>
      <w:r>
        <w:rPr>
          <w:rFonts w:hint="default" w:ascii="Times New Roman" w:hAnsi="Times New Roman" w:eastAsia="仿宋_GB2312" w:cs="Times New Roman"/>
          <w:color w:val="auto"/>
          <w:kern w:val="0"/>
          <w:sz w:val="32"/>
          <w:szCs w:val="32"/>
          <w:lang w:val="en-US" w:eastAsia="zh-CN" w:bidi="ar"/>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eastAsia" w:ascii="楷体_GB2312" w:hAnsi="楷体_GB2312" w:eastAsia="楷体_GB2312" w:cs="楷体_GB2312"/>
          <w:b/>
          <w:bCs/>
          <w:i w:val="0"/>
          <w:caps w:val="0"/>
          <w:color w:val="auto"/>
          <w:spacing w:val="0"/>
          <w:sz w:val="32"/>
          <w:szCs w:val="32"/>
          <w:shd w:val="clear" w:color="auto" w:fill="FFFFFF"/>
        </w:rPr>
      </w:pPr>
      <w:r>
        <w:rPr>
          <w:rFonts w:hint="eastAsia" w:ascii="楷体_GB2312" w:hAnsi="楷体_GB2312" w:eastAsia="楷体_GB2312" w:cs="楷体_GB2312"/>
          <w:b/>
          <w:bCs/>
          <w:i w:val="0"/>
          <w:caps w:val="0"/>
          <w:color w:val="auto"/>
          <w:spacing w:val="0"/>
          <w:sz w:val="32"/>
          <w:szCs w:val="32"/>
          <w:shd w:val="clear" w:color="auto" w:fill="FFFFFF"/>
        </w:rPr>
        <w:t>（二）改进情况</w:t>
      </w:r>
    </w:p>
    <w:p>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kern w:val="2"/>
          <w:sz w:val="32"/>
          <w:szCs w:val="32"/>
          <w:highlight w:val="none"/>
          <w:lang w:val="en-US" w:eastAsia="zh-CN" w:bidi="ar-SA"/>
        </w:rPr>
        <w:t>一是创新政策文件展示形式。开设“沂源县政策文件集中发布平台”，对所有文件进行梳理分类，按照多种要素对政策文件进行划分展示，不断优化政策文件检索功能，实现智能推荐，提高了人民群众查询政策文件便利性。</w:t>
      </w:r>
    </w:p>
    <w:p>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二是提高政策解读质量。加大对县政府常务会议、县政府及县政府办公室文件的解读力度，在采用文稿、图片、动漫等多样化解读的基础上，拓展简明问答、政策吹风会等解读形式，让人民群众看得懂、好理解、能明白。</w:t>
      </w:r>
    </w:p>
    <w:p>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三是建立健全依申请公开会商制度。针对人民群众的急难盼愁的问题，组织召开专题会议，积极协调相关部门单位做好依申请公开的答复工作，推动社会关注度高和涉及人民群众利益的热点政府信息公开申请向主动公开转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黑体" w:hAnsi="黑体" w:eastAsia="黑体" w:cs="黑体"/>
          <w:b w:val="0"/>
          <w:bCs/>
          <w:i w:val="0"/>
          <w:iCs w:val="0"/>
          <w:caps w:val="0"/>
          <w:color w:val="auto"/>
          <w:spacing w:val="0"/>
          <w:sz w:val="32"/>
          <w:szCs w:val="32"/>
          <w:shd w:val="clear" w:color="auto" w:fill="FFFFFF"/>
        </w:rPr>
      </w:pPr>
      <w:r>
        <w:rPr>
          <w:rFonts w:hint="eastAsia" w:ascii="黑体" w:hAnsi="黑体" w:eastAsia="黑体" w:cs="黑体"/>
          <w:b w:val="0"/>
          <w:bCs/>
          <w:i w:val="0"/>
          <w:iCs w:val="0"/>
          <w:caps w:val="0"/>
          <w:color w:val="auto"/>
          <w:spacing w:val="0"/>
          <w:sz w:val="32"/>
          <w:szCs w:val="32"/>
          <w:shd w:val="clear" w:color="auto" w:fill="FFFFFF"/>
        </w:rPr>
        <w:t>六、其他需要报告的事项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1</w:t>
      </w:r>
      <w:r>
        <w:rPr>
          <w:rFonts w:hint="eastAsia" w:ascii="Times New Roman" w:hAnsi="Times New Roman" w:eastAsia="仿宋_GB2312" w:cs="Times New Roman"/>
          <w:b w:val="0"/>
          <w:bCs w:val="0"/>
          <w:color w:val="auto"/>
          <w:kern w:val="2"/>
          <w:sz w:val="32"/>
          <w:szCs w:val="32"/>
          <w:lang w:val="en-US" w:eastAsia="zh-CN" w:bidi="ar-SA"/>
        </w:rPr>
        <w:t>、</w:t>
      </w:r>
      <w:r>
        <w:rPr>
          <w:rFonts w:hint="eastAsia" w:ascii="楷体_GB2312" w:hAnsi="楷体_GB2312" w:eastAsia="楷体_GB2312" w:cs="楷体_GB2312"/>
          <w:b w:val="0"/>
          <w:bCs w:val="0"/>
          <w:color w:val="auto"/>
          <w:kern w:val="2"/>
          <w:sz w:val="32"/>
          <w:szCs w:val="32"/>
          <w:lang w:val="en-US" w:eastAsia="zh-CN" w:bidi="ar-SA"/>
        </w:rPr>
        <w:t>信息处理费收费情况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根据《国务院办公厅关于印发〈政府信息公开信息处理费管理办法〉的通知》（国办函〔2020〕109号）规定，本年度未收取任何政府信息公开信息处理费。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2、</w:t>
      </w:r>
      <w:r>
        <w:rPr>
          <w:rFonts w:hint="eastAsia" w:ascii="楷体_GB2312" w:hAnsi="楷体_GB2312" w:eastAsia="楷体_GB2312" w:cs="楷体_GB2312"/>
          <w:b w:val="0"/>
          <w:bCs w:val="0"/>
          <w:color w:val="auto"/>
          <w:kern w:val="2"/>
          <w:sz w:val="32"/>
          <w:szCs w:val="32"/>
          <w:lang w:val="en-US" w:eastAsia="zh-CN" w:bidi="ar-SA"/>
        </w:rPr>
        <w:t>本年度建议提案办理情况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202</w:t>
      </w:r>
      <w:r>
        <w:rPr>
          <w:rFonts w:hint="eastAsia" w:ascii="Times New Roman" w:hAnsi="Times New Roman" w:eastAsia="仿宋_GB2312" w:cs="Times New Roman"/>
          <w:b w:val="0"/>
          <w:bCs w:val="0"/>
          <w:color w:val="auto"/>
          <w:kern w:val="2"/>
          <w:sz w:val="32"/>
          <w:szCs w:val="32"/>
          <w:lang w:val="en-US" w:eastAsia="zh-CN" w:bidi="ar-SA"/>
        </w:rPr>
        <w:t>2</w:t>
      </w:r>
      <w:r>
        <w:rPr>
          <w:rFonts w:hint="default" w:ascii="Times New Roman" w:hAnsi="Times New Roman" w:eastAsia="仿宋_GB2312" w:cs="Times New Roman"/>
          <w:b w:val="0"/>
          <w:bCs w:val="0"/>
          <w:color w:val="auto"/>
          <w:kern w:val="2"/>
          <w:sz w:val="32"/>
          <w:szCs w:val="32"/>
          <w:lang w:val="en-US" w:eastAsia="zh-CN" w:bidi="ar-SA"/>
        </w:rPr>
        <w:t>年沂源县人民政府办公室</w:t>
      </w:r>
      <w:r>
        <w:rPr>
          <w:rFonts w:hint="eastAsia" w:ascii="Times New Roman" w:hAnsi="Times New Roman" w:eastAsia="仿宋_GB2312" w:cs="Times New Roman"/>
          <w:b w:val="0"/>
          <w:bCs w:val="0"/>
          <w:color w:val="auto"/>
          <w:kern w:val="2"/>
          <w:sz w:val="32"/>
          <w:szCs w:val="32"/>
          <w:lang w:val="en-US" w:eastAsia="zh-CN" w:bidi="ar-SA"/>
        </w:rPr>
        <w:t>收到人大建议1件，政协提案1件</w:t>
      </w:r>
      <w:r>
        <w:rPr>
          <w:rFonts w:hint="default" w:ascii="Times New Roman" w:hAnsi="Times New Roman" w:eastAsia="仿宋_GB2312" w:cs="Times New Roman"/>
          <w:b w:val="0"/>
          <w:bCs w:val="0"/>
          <w:color w:val="auto"/>
          <w:kern w:val="2"/>
          <w:sz w:val="32"/>
          <w:szCs w:val="32"/>
          <w:lang w:val="en-US" w:eastAsia="zh-CN" w:bidi="ar-SA"/>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楷体_GB2312" w:hAnsi="楷体_GB2312" w:eastAsia="楷体_GB2312" w:cs="楷体_GB2312"/>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3、</w:t>
      </w:r>
      <w:r>
        <w:rPr>
          <w:rFonts w:hint="eastAsia" w:ascii="楷体_GB2312" w:hAnsi="楷体_GB2312" w:eastAsia="楷体_GB2312" w:cs="楷体_GB2312"/>
          <w:b w:val="0"/>
          <w:bCs w:val="0"/>
          <w:color w:val="auto"/>
          <w:kern w:val="2"/>
          <w:sz w:val="32"/>
          <w:szCs w:val="32"/>
          <w:lang w:val="en-US" w:eastAsia="zh-CN" w:bidi="ar-SA"/>
        </w:rPr>
        <w:t>创新实践情况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一是创新政策文件归集展示方式，上线政策文件集中发布平台专栏，将政策文件按主题、年份、文种等不同形式进行分类公开，探索实施政策精准推送服务，推动“政策找人”发展。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二是</w:t>
      </w:r>
      <w:r>
        <w:rPr>
          <w:rFonts w:hint="eastAsia" w:ascii="仿宋_GB2312" w:hAnsi="仿宋_GB2312" w:eastAsia="仿宋_GB2312" w:cs="仿宋_GB2312"/>
          <w:b w:val="0"/>
          <w:bCs w:val="0"/>
          <w:color w:val="auto"/>
          <w:kern w:val="2"/>
          <w:sz w:val="32"/>
          <w:szCs w:val="32"/>
          <w:lang w:val="en-US" w:eastAsia="zh-CN" w:bidi="ar-SA"/>
        </w:rPr>
        <w:t>规范建设“公开+服务”制度标准，不断拓宽“线上+线下”公开渠道，创新建设“政务+服务”公开平台，打造具有沂源特色的政务公开专区。做好政务公开智能化查阅系统建设，上线政务公开触摸查询系统，内嵌政务公开自助查询、政策文件、政府公报、办事服务、民生连线、三务公开、便民服务等模块。“掌上媒介”与公开专区深度融合，进一步提升了信息传播效率，让群众感受到一站式、个性化的政务</w:t>
      </w:r>
      <w:r>
        <w:rPr>
          <w:rFonts w:hint="default" w:ascii="Times New Roman" w:hAnsi="Times New Roman" w:eastAsia="仿宋_GB2312" w:cs="Times New Roman"/>
          <w:b w:val="0"/>
          <w:bCs w:val="0"/>
          <w:color w:val="auto"/>
          <w:kern w:val="2"/>
          <w:sz w:val="32"/>
          <w:szCs w:val="32"/>
          <w:lang w:val="en-US" w:eastAsia="zh-CN" w:bidi="ar-SA"/>
        </w:rPr>
        <w:t>公开与服务，切实提升政务公开获得感。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楷体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4、</w:t>
      </w:r>
      <w:r>
        <w:rPr>
          <w:rFonts w:hint="default" w:ascii="Times New Roman" w:hAnsi="Times New Roman" w:eastAsia="楷体_GB2312" w:cs="Times New Roman"/>
          <w:b w:val="0"/>
          <w:bCs w:val="0"/>
          <w:color w:val="auto"/>
          <w:kern w:val="2"/>
          <w:sz w:val="32"/>
          <w:szCs w:val="32"/>
          <w:lang w:val="en-US" w:eastAsia="zh-CN" w:bidi="ar-SA"/>
        </w:rPr>
        <w:t>落实上级工作情况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2022年，沂源县人民政府办公室按照《</w:t>
      </w:r>
      <w:r>
        <w:rPr>
          <w:rStyle w:val="7"/>
          <w:rFonts w:hint="default" w:ascii="Times New Roman" w:hAnsi="Times New Roman" w:eastAsia="仿宋_GB2312" w:cs="Times New Roman"/>
          <w:b w:val="0"/>
          <w:bCs w:val="0"/>
          <w:i w:val="0"/>
          <w:iCs w:val="0"/>
          <w:caps w:val="0"/>
          <w:color w:val="000000"/>
          <w:spacing w:val="0"/>
          <w:sz w:val="32"/>
          <w:szCs w:val="32"/>
          <w:shd w:val="clear" w:fill="FFFFFF"/>
        </w:rPr>
        <w:t>2022年沂源县政务公开工作方案</w:t>
      </w:r>
      <w:r>
        <w:rPr>
          <w:rFonts w:hint="default" w:ascii="Times New Roman" w:hAnsi="Times New Roman" w:eastAsia="仿宋_GB2312" w:cs="Times New Roman"/>
          <w:b w:val="0"/>
          <w:bCs w:val="0"/>
          <w:sz w:val="32"/>
          <w:szCs w:val="32"/>
          <w:lang w:val="en-US" w:eastAsia="zh-CN"/>
        </w:rPr>
        <w:t>》（源政办字〔2022〕20号）相关要求</w:t>
      </w:r>
      <w:r>
        <w:rPr>
          <w:rFonts w:hint="eastAsia" w:ascii="Times New Roman" w:hAnsi="Times New Roman" w:eastAsia="仿宋_GB2312" w:cs="Times New Roman"/>
          <w:b w:val="0"/>
          <w:bCs w:val="0"/>
          <w:sz w:val="32"/>
          <w:szCs w:val="32"/>
          <w:lang w:val="en-US" w:eastAsia="zh-CN"/>
        </w:rPr>
        <w:t>，开展政策精细化解读，推进决策公开透明，高质量做好2022年政务公开工作，进一步提升政务公开实效，更好发挥以公开促落实、促规范、促服务作用，切实增强人民群众满意度、获得感。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b w:val="0"/>
          <w:bCs w:val="0"/>
          <w:sz w:val="32"/>
          <w:szCs w:val="32"/>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b w:val="0"/>
          <w:bCs w:val="0"/>
          <w:sz w:val="32"/>
          <w:szCs w:val="32"/>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2023年1月28日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default" w:ascii="Times New Roman" w:hAnsi="Times New Roman" w:eastAsia="仿宋_GB2312" w:cs="Times New Roman"/>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mZTZlZTA2ODdiNWMwZWQ3NzE1YzM4YzljOTg4ZTMifQ=="/>
  </w:docVars>
  <w:rsids>
    <w:rsidRoot w:val="3C1D1C3E"/>
    <w:rsid w:val="00A16BE5"/>
    <w:rsid w:val="01483505"/>
    <w:rsid w:val="052027CE"/>
    <w:rsid w:val="0A51342A"/>
    <w:rsid w:val="0C346B5F"/>
    <w:rsid w:val="0D18022F"/>
    <w:rsid w:val="0DE545B5"/>
    <w:rsid w:val="0E415563"/>
    <w:rsid w:val="0EE279DC"/>
    <w:rsid w:val="153656F6"/>
    <w:rsid w:val="15CD1049"/>
    <w:rsid w:val="1811244B"/>
    <w:rsid w:val="21327F18"/>
    <w:rsid w:val="21AE4866"/>
    <w:rsid w:val="235C7EDA"/>
    <w:rsid w:val="26C8461C"/>
    <w:rsid w:val="2769195B"/>
    <w:rsid w:val="27D05536"/>
    <w:rsid w:val="27E72880"/>
    <w:rsid w:val="28EF5E90"/>
    <w:rsid w:val="292875F4"/>
    <w:rsid w:val="29CB4750"/>
    <w:rsid w:val="2B2838DB"/>
    <w:rsid w:val="2B305A68"/>
    <w:rsid w:val="2B69017C"/>
    <w:rsid w:val="2D8017AD"/>
    <w:rsid w:val="2EB45CA3"/>
    <w:rsid w:val="2F3A598B"/>
    <w:rsid w:val="30AF4C33"/>
    <w:rsid w:val="32BB5035"/>
    <w:rsid w:val="35386E11"/>
    <w:rsid w:val="35A5622E"/>
    <w:rsid w:val="35BC359E"/>
    <w:rsid w:val="360B1E2F"/>
    <w:rsid w:val="38A02D03"/>
    <w:rsid w:val="3A742699"/>
    <w:rsid w:val="3B181276"/>
    <w:rsid w:val="3C1D1C3E"/>
    <w:rsid w:val="3C487939"/>
    <w:rsid w:val="3D8B21D4"/>
    <w:rsid w:val="449A71A0"/>
    <w:rsid w:val="45AD6A5F"/>
    <w:rsid w:val="47095F17"/>
    <w:rsid w:val="4D1A5F29"/>
    <w:rsid w:val="4D8C33FE"/>
    <w:rsid w:val="51907961"/>
    <w:rsid w:val="557E3F74"/>
    <w:rsid w:val="56890E23"/>
    <w:rsid w:val="569F41A2"/>
    <w:rsid w:val="58095D77"/>
    <w:rsid w:val="5AB3403C"/>
    <w:rsid w:val="5B5639C9"/>
    <w:rsid w:val="5C6A7000"/>
    <w:rsid w:val="631A52DC"/>
    <w:rsid w:val="633345F0"/>
    <w:rsid w:val="64BE01BC"/>
    <w:rsid w:val="64D4770D"/>
    <w:rsid w:val="6533428D"/>
    <w:rsid w:val="68CC52CB"/>
    <w:rsid w:val="6F6A3147"/>
    <w:rsid w:val="71175551"/>
    <w:rsid w:val="71ED251E"/>
    <w:rsid w:val="73504D4A"/>
    <w:rsid w:val="74F6547D"/>
    <w:rsid w:val="77147E3D"/>
    <w:rsid w:val="7B082233"/>
    <w:rsid w:val="7C1903CF"/>
    <w:rsid w:val="7CD82038"/>
    <w:rsid w:val="7E212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99"/>
    <w:rPr>
      <w:rFonts w:ascii="Times New Roman" w:hAnsi="Times New Roman"/>
      <w:sz w:val="28"/>
      <w:szCs w:val="24"/>
    </w:rPr>
  </w:style>
  <w:style w:type="paragraph" w:styleId="4">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3248</Words>
  <Characters>3419</Characters>
  <Lines>0</Lines>
  <Paragraphs>0</Paragraphs>
  <TotalTime>1016</TotalTime>
  <ScaleCrop>false</ScaleCrop>
  <LinksUpToDate>false</LinksUpToDate>
  <CharactersWithSpaces>3426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2023-01-18T06:50:00Z</dcterms:created>
  <dc:creator>白白白白</dc:creator>
  <cp:lastModifiedBy>白白白白</cp:lastModifiedBy>
  <cp:lastPrinted>2023-01-30T06:06:00Z</cp:lastPrinted>
  <dcterms:modified xsi:type="dcterms:W3CDTF">2023-01-31T00:39:55Z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D60F0150CD3C4C528CC9608E27B40641</vt:lpwstr>
  </property>
</Properties>
</file>