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沂源县人民政府</w:t>
      </w:r>
      <w:r>
        <w:rPr>
          <w:rFonts w:hint="default" w:ascii="Times New Roman" w:hAnsi="Times New Roman" w:eastAsia="方正小标宋简体" w:cs="Times New Roman"/>
          <w:sz w:val="44"/>
          <w:szCs w:val="44"/>
          <w:lang w:val="en-US" w:eastAsia="zh-CN"/>
        </w:rPr>
        <w:t>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2023年政府信息公开工作年度报告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rPr>
        <w:t>依据《中华人民共和国政府信息公开条例》(以下简称《条例》)和《关于印发中华人民共和国政府信息公开工作年度报告格式的通知》(国办公开办函〔2021〕30号)要求，编制本报告。</w:t>
      </w:r>
      <w:r>
        <w:rPr>
          <w:rFonts w:hint="default" w:ascii="Times New Roman" w:hAnsi="Times New Roman" w:eastAsia="仿宋_GB2312" w:cs="Times New Roman"/>
          <w:sz w:val="32"/>
          <w:szCs w:val="32"/>
          <w:highlight w:val="none"/>
        </w:rPr>
        <w:t>本报告其中所列数据统计期限从2023年1月1日到12月31日止，年报电子版可从</w:t>
      </w:r>
      <w:r>
        <w:rPr>
          <w:rFonts w:hint="default" w:ascii="Times New Roman" w:hAnsi="Times New Roman" w:eastAsia="仿宋_GB2312" w:cs="Times New Roman"/>
          <w:sz w:val="32"/>
          <w:szCs w:val="32"/>
          <w:highlight w:val="none"/>
          <w:lang w:val="en-US" w:eastAsia="zh-CN"/>
        </w:rPr>
        <w:t>沂源县</w:t>
      </w:r>
      <w:r>
        <w:rPr>
          <w:rFonts w:hint="default" w:ascii="Times New Roman" w:hAnsi="Times New Roman" w:eastAsia="仿宋_GB2312" w:cs="Times New Roman"/>
          <w:sz w:val="32"/>
          <w:szCs w:val="32"/>
          <w:highlight w:val="none"/>
        </w:rPr>
        <w:t>政府门户网站的政府信息公开年报栏目下载。</w:t>
      </w:r>
      <w:r>
        <w:rPr>
          <w:rFonts w:ascii="仿宋_GB2312" w:hAnsi="宋体" w:eastAsia="仿宋_GB2312" w:cs="仿宋_GB2312"/>
          <w:color w:val="000000"/>
          <w:kern w:val="0"/>
          <w:sz w:val="31"/>
          <w:szCs w:val="31"/>
          <w:highlight w:val="none"/>
          <w:lang w:val="en-US" w:eastAsia="zh-CN" w:bidi="ar"/>
        </w:rPr>
        <w:t>如对报告</w:t>
      </w:r>
      <w:r>
        <w:rPr>
          <w:rFonts w:hint="eastAsia" w:ascii="仿宋_GB2312" w:hAnsi="宋体" w:eastAsia="仿宋_GB2312" w:cs="仿宋_GB2312"/>
          <w:color w:val="000000"/>
          <w:kern w:val="0"/>
          <w:sz w:val="31"/>
          <w:szCs w:val="31"/>
          <w:highlight w:val="none"/>
          <w:lang w:val="en-US" w:eastAsia="zh-CN" w:bidi="ar"/>
        </w:rPr>
        <w:t>内容有疑问，请与沂源县人民政府办公室联系（地址：</w:t>
      </w:r>
      <w:bookmarkStart w:id="0" w:name="_GoBack"/>
      <w:bookmarkEnd w:id="0"/>
      <w:r>
        <w:rPr>
          <w:rFonts w:hint="eastAsia" w:ascii="仿宋_GB2312" w:hAnsi="宋体" w:eastAsia="仿宋_GB2312" w:cs="仿宋_GB2312"/>
          <w:color w:val="000000"/>
          <w:kern w:val="0"/>
          <w:sz w:val="31"/>
          <w:szCs w:val="31"/>
          <w:highlight w:val="none"/>
          <w:lang w:val="en-US" w:eastAsia="zh-CN" w:bidi="ar"/>
        </w:rPr>
        <w:t>淄博市沂源县振兴路61号；邮编：256100；电话：0533-3228369；电子邮箱：yyxdsjzx@zb.shandong.cn）。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w:t>
      </w:r>
      <w:r>
        <w:rPr>
          <w:rFonts w:hint="default" w:ascii="Times New Roman" w:hAnsi="Times New Roman" w:eastAsia="仿宋_GB2312" w:cs="Times New Roman"/>
          <w:sz w:val="32"/>
          <w:szCs w:val="32"/>
          <w:lang w:val="en-US" w:eastAsia="zh-CN"/>
        </w:rPr>
        <w:t>沂源县</w:t>
      </w:r>
      <w:r>
        <w:rPr>
          <w:rFonts w:hint="default" w:ascii="Times New Roman" w:hAnsi="Times New Roman" w:eastAsia="仿宋_GB2312" w:cs="Times New Roman"/>
          <w:sz w:val="32"/>
          <w:szCs w:val="32"/>
        </w:rPr>
        <w:t>人民政府办公室</w:t>
      </w:r>
      <w:r>
        <w:rPr>
          <w:rFonts w:hint="default" w:ascii="Times New Roman" w:hAnsi="Times New Roman" w:eastAsia="仿宋_GB2312" w:cs="Times New Roman"/>
          <w:sz w:val="32"/>
          <w:szCs w:val="32"/>
          <w:lang w:val="en-US" w:eastAsia="zh-CN"/>
        </w:rPr>
        <w:t>坚持</w:t>
      </w:r>
      <w:r>
        <w:rPr>
          <w:rFonts w:hint="default" w:ascii="Times New Roman" w:hAnsi="Times New Roman" w:eastAsia="仿宋_GB2312" w:cs="Times New Roman"/>
          <w:sz w:val="32"/>
          <w:szCs w:val="32"/>
        </w:rPr>
        <w:t>以习近平新时代中国特色社会主义思想为指导，</w:t>
      </w:r>
      <w:r>
        <w:rPr>
          <w:rFonts w:hint="default" w:ascii="Times New Roman" w:hAnsi="Times New Roman" w:eastAsia="仿宋_GB2312" w:cs="Times New Roman"/>
          <w:sz w:val="32"/>
          <w:szCs w:val="32"/>
          <w:lang w:val="en-US" w:eastAsia="zh-CN"/>
        </w:rPr>
        <w:t>全面贯彻落实党的二十大精神，</w:t>
      </w:r>
      <w:r>
        <w:rPr>
          <w:rFonts w:hint="default" w:ascii="Times New Roman" w:hAnsi="Times New Roman" w:eastAsia="仿宋_GB2312" w:cs="Times New Roman"/>
          <w:sz w:val="32"/>
          <w:szCs w:val="32"/>
        </w:rPr>
        <w:t>按照新时代政务公开新形势、新要求，紧紧围绕</w:t>
      </w:r>
      <w:r>
        <w:rPr>
          <w:rFonts w:hint="default" w:ascii="Times New Roman" w:hAnsi="Times New Roman" w:eastAsia="仿宋_GB2312" w:cs="Times New Roman"/>
          <w:sz w:val="32"/>
          <w:szCs w:val="32"/>
          <w:lang w:val="en-US" w:eastAsia="zh-CN"/>
        </w:rPr>
        <w:t>县委县政府</w:t>
      </w:r>
      <w:r>
        <w:rPr>
          <w:rFonts w:hint="default" w:ascii="Times New Roman" w:hAnsi="Times New Roman" w:eastAsia="仿宋_GB2312" w:cs="Times New Roman"/>
          <w:sz w:val="32"/>
          <w:szCs w:val="32"/>
        </w:rPr>
        <w:t>决策部署，以高质量政务公开促落实、助监督、强监管、防风险，为</w:t>
      </w:r>
      <w:r>
        <w:rPr>
          <w:rFonts w:hint="default" w:ascii="Times New Roman" w:hAnsi="Times New Roman" w:eastAsia="仿宋_GB2312" w:cs="Times New Roman"/>
          <w:sz w:val="32"/>
          <w:szCs w:val="32"/>
          <w:lang w:val="en-US" w:eastAsia="zh-CN"/>
        </w:rPr>
        <w:t>沂源绿色低碳高质量发展</w:t>
      </w:r>
      <w:r>
        <w:rPr>
          <w:rFonts w:hint="default" w:ascii="Times New Roman" w:hAnsi="Times New Roman" w:eastAsia="仿宋_GB2312" w:cs="Times New Roman"/>
          <w:sz w:val="32"/>
          <w:szCs w:val="32"/>
        </w:rPr>
        <w:t>贡献力量。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（一）主动公开方面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认真履行</w:t>
      </w:r>
      <w:r>
        <w:rPr>
          <w:rFonts w:hint="default" w:ascii="Times New Roman" w:hAnsi="Times New Roman" w:eastAsia="仿宋_GB2312" w:cs="Times New Roman"/>
          <w:sz w:val="32"/>
          <w:szCs w:val="32"/>
          <w:highlight w:val="none"/>
        </w:rPr>
        <w:t>全</w:t>
      </w:r>
      <w:r>
        <w:rPr>
          <w:rFonts w:hint="eastAsia" w:ascii="Times New Roman" w:hAnsi="Times New Roman" w:eastAsia="仿宋_GB2312" w:cs="Times New Roman"/>
          <w:sz w:val="32"/>
          <w:szCs w:val="32"/>
          <w:highlight w:val="none"/>
          <w:lang w:eastAsia="zh-CN"/>
        </w:rPr>
        <w:t>县</w:t>
      </w:r>
      <w:r>
        <w:rPr>
          <w:rFonts w:hint="default" w:ascii="Times New Roman" w:hAnsi="Times New Roman" w:eastAsia="仿宋_GB2312" w:cs="Times New Roman"/>
          <w:sz w:val="32"/>
          <w:szCs w:val="32"/>
        </w:rPr>
        <w:t>政府信息公开工作主管部门职责，紧扣</w:t>
      </w:r>
      <w:r>
        <w:rPr>
          <w:rFonts w:hint="default" w:ascii="Times New Roman" w:hAnsi="Times New Roman" w:eastAsia="仿宋_GB2312" w:cs="Times New Roman"/>
          <w:sz w:val="32"/>
          <w:szCs w:val="32"/>
          <w:lang w:val="en-US" w:eastAsia="zh-CN"/>
        </w:rPr>
        <w:t>绿色低碳</w:t>
      </w:r>
      <w:r>
        <w:rPr>
          <w:rFonts w:hint="default" w:ascii="Times New Roman" w:hAnsi="Times New Roman" w:eastAsia="仿宋_GB2312" w:cs="Times New Roman"/>
          <w:sz w:val="32"/>
          <w:szCs w:val="32"/>
        </w:rPr>
        <w:t>高质量发展、优化营商环境，不断拓展公开范围，持续深化公开内容。常态化发布</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政府</w:t>
      </w:r>
      <w:r>
        <w:rPr>
          <w:rFonts w:hint="default" w:ascii="Times New Roman" w:hAnsi="Times New Roman" w:eastAsia="仿宋_GB2312" w:cs="Times New Roman"/>
          <w:sz w:val="32"/>
          <w:szCs w:val="32"/>
          <w:lang w:val="en-US" w:eastAsia="zh-CN"/>
        </w:rPr>
        <w:t>重要会议召开情况</w:t>
      </w:r>
      <w:r>
        <w:rPr>
          <w:rFonts w:hint="default" w:ascii="Times New Roman" w:hAnsi="Times New Roman" w:eastAsia="仿宋_GB2312" w:cs="Times New Roman"/>
          <w:sz w:val="32"/>
          <w:szCs w:val="32"/>
        </w:rPr>
        <w:t>，方便公众深入了解</w:t>
      </w:r>
      <w:r>
        <w:rPr>
          <w:rFonts w:hint="default" w:ascii="Times New Roman" w:hAnsi="Times New Roman" w:eastAsia="仿宋_GB2312" w:cs="Times New Roman"/>
          <w:sz w:val="32"/>
          <w:szCs w:val="32"/>
          <w:lang w:val="en-US" w:eastAsia="zh-CN"/>
        </w:rPr>
        <w:t>部门</w:t>
      </w:r>
      <w:r>
        <w:rPr>
          <w:rFonts w:hint="default" w:ascii="Times New Roman" w:hAnsi="Times New Roman" w:eastAsia="仿宋_GB2312" w:cs="Times New Roman"/>
          <w:sz w:val="32"/>
          <w:szCs w:val="32"/>
        </w:rPr>
        <w:t>工作。持续建设完善</w:t>
      </w:r>
      <w:r>
        <w:rPr>
          <w:rFonts w:hint="default" w:ascii="Times New Roman" w:hAnsi="Times New Roman" w:eastAsia="仿宋_GB2312" w:cs="Times New Roman"/>
          <w:sz w:val="32"/>
          <w:szCs w:val="32"/>
          <w:lang w:val="en-US" w:eastAsia="zh-CN"/>
        </w:rPr>
        <w:t>政策文件集中发布平台</w:t>
      </w:r>
      <w:r>
        <w:rPr>
          <w:rFonts w:hint="default" w:ascii="Times New Roman" w:hAnsi="Times New Roman" w:eastAsia="仿宋_GB2312" w:cs="Times New Roman"/>
          <w:sz w:val="32"/>
          <w:szCs w:val="32"/>
        </w:rPr>
        <w:t>，为公众提供在线查询、检索、下载等服务。全年通过</w:t>
      </w:r>
      <w:r>
        <w:rPr>
          <w:rFonts w:hint="default" w:ascii="Times New Roman" w:hAnsi="Times New Roman" w:eastAsia="仿宋_GB2312" w:cs="Times New Roman"/>
          <w:sz w:val="32"/>
          <w:szCs w:val="32"/>
          <w:lang w:val="en-US" w:eastAsia="zh-CN"/>
        </w:rPr>
        <w:t>沂源县政府</w:t>
      </w:r>
      <w:r>
        <w:rPr>
          <w:rFonts w:hint="default" w:ascii="Times New Roman" w:hAnsi="Times New Roman" w:eastAsia="仿宋_GB2312" w:cs="Times New Roman"/>
          <w:sz w:val="32"/>
          <w:szCs w:val="32"/>
        </w:rPr>
        <w:t>门户网站依法公开各类政府信息</w:t>
      </w:r>
      <w:r>
        <w:rPr>
          <w:rFonts w:hint="default" w:ascii="Times New Roman" w:hAnsi="Times New Roman" w:eastAsia="仿宋_GB2312" w:cs="Times New Roman"/>
          <w:sz w:val="32"/>
          <w:szCs w:val="32"/>
          <w:lang w:val="en-US" w:eastAsia="zh-CN"/>
        </w:rPr>
        <w:t>377</w:t>
      </w:r>
      <w:r>
        <w:rPr>
          <w:rFonts w:hint="default" w:ascii="Times New Roman" w:hAnsi="Times New Roman" w:eastAsia="仿宋_GB2312" w:cs="Times New Roman"/>
          <w:sz w:val="32"/>
          <w:szCs w:val="32"/>
        </w:rPr>
        <w:t>条，其中规范性文件</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县政府文件20条，县府办文件20条，</w:t>
      </w:r>
      <w:r>
        <w:rPr>
          <w:rFonts w:hint="default" w:ascii="Times New Roman" w:hAnsi="Times New Roman" w:eastAsia="仿宋_GB2312" w:cs="Times New Roman"/>
          <w:sz w:val="32"/>
          <w:szCs w:val="32"/>
        </w:rPr>
        <w:t>政策解读</w:t>
      </w:r>
      <w:r>
        <w:rPr>
          <w:rFonts w:hint="default" w:ascii="Times New Roman" w:hAnsi="Times New Roman" w:eastAsia="仿宋_GB2312" w:cs="Times New Roman"/>
          <w:sz w:val="32"/>
          <w:szCs w:val="32"/>
          <w:lang w:val="en-US" w:eastAsia="zh-CN"/>
        </w:rPr>
        <w:t>111</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政府常务会议</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条，其他各类信息</w:t>
      </w:r>
      <w:r>
        <w:rPr>
          <w:rFonts w:hint="default" w:ascii="Times New Roman" w:hAnsi="Times New Roman" w:eastAsia="仿宋_GB2312" w:cs="Times New Roman"/>
          <w:sz w:val="32"/>
          <w:szCs w:val="32"/>
          <w:lang w:val="en-US" w:eastAsia="zh-CN"/>
        </w:rPr>
        <w:t>211</w:t>
      </w:r>
      <w:r>
        <w:rPr>
          <w:rFonts w:hint="default" w:ascii="Times New Roman" w:hAnsi="Times New Roman" w:eastAsia="仿宋_GB2312" w:cs="Times New Roman"/>
          <w:sz w:val="32"/>
          <w:szCs w:val="32"/>
        </w:rPr>
        <w:t>条。</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drawing>
          <wp:inline distT="0" distB="0" distL="114300" distR="114300">
            <wp:extent cx="4838700" cy="2543175"/>
            <wp:effectExtent l="0" t="0" r="0" b="9525"/>
            <wp:docPr id="2" name="图片 2" descr="微信图片_20240129150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129150814"/>
                    <pic:cNvPicPr>
                      <a:picLocks noChangeAspect="1"/>
                    </pic:cNvPicPr>
                  </pic:nvPicPr>
                  <pic:blipFill>
                    <a:blip r:embed="rId4"/>
                    <a:stretch>
                      <a:fillRect/>
                    </a:stretch>
                  </pic:blipFill>
                  <pic:spPr>
                    <a:xfrm>
                      <a:off x="0" y="0"/>
                      <a:ext cx="4838700" cy="254317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（二）依申请公开方面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强化政府信息公开服务功能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规范政府信息公开申请办理工作，完善依申请公开办理工作流程，建立多部门联合会商机制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积极化解矛盾争议。2023年</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政府办公室共受理政府信息公开申请件</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件，</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件已按规定在法定期限内予以办结，</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件结转下年答复。</w:t>
      </w:r>
      <w:r>
        <w:rPr>
          <w:rFonts w:hint="default" w:ascii="Times New Roman" w:hAnsi="Times New Roman" w:eastAsia="仿宋_GB2312" w:cs="Times New Roman"/>
          <w:sz w:val="32"/>
          <w:szCs w:val="32"/>
          <w:lang w:val="en-US" w:eastAsia="zh-CN"/>
        </w:rPr>
        <w:t>全年未发生因政府信息公开工作被申请行政复议或提起行政诉讼的情况。</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drawing>
          <wp:inline distT="0" distB="0" distL="114300" distR="114300">
            <wp:extent cx="4838700" cy="2581275"/>
            <wp:effectExtent l="0" t="0" r="0" b="9525"/>
            <wp:docPr id="1" name="图片 1" descr="微信图片_20240129150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129150143"/>
                    <pic:cNvPicPr>
                      <a:picLocks noChangeAspect="1"/>
                    </pic:cNvPicPr>
                  </pic:nvPicPr>
                  <pic:blipFill>
                    <a:blip r:embed="rId5"/>
                    <a:stretch>
                      <a:fillRect/>
                    </a:stretch>
                  </pic:blipFill>
                  <pic:spPr>
                    <a:xfrm>
                      <a:off x="0" y="0"/>
                      <a:ext cx="4838700" cy="258127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（三）政府信息管理方面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深入推进政务公开标准化规范化建设，持续完善各项政务公开制度，优化信息发布、解读回应、依申请公开、公众参与、监督考核等工作流程。严把信息发布审核关，坚持谁公开谁审查、事前审查、依法审查的原则，加强个人信息保护力度，确保敏感个人信息和数据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（四）政府信息公开平台建设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线上</w:t>
      </w:r>
      <w:r>
        <w:rPr>
          <w:rFonts w:hint="default" w:ascii="Times New Roman" w:hAnsi="Times New Roman" w:eastAsia="仿宋_GB2312" w:cs="Times New Roman"/>
          <w:sz w:val="32"/>
          <w:szCs w:val="32"/>
          <w:lang w:val="en-US" w:eastAsia="zh-CN"/>
        </w:rPr>
        <w:t>继续</w:t>
      </w:r>
      <w:r>
        <w:rPr>
          <w:rFonts w:hint="default" w:ascii="Times New Roman" w:hAnsi="Times New Roman" w:eastAsia="仿宋_GB2312" w:cs="Times New Roman"/>
          <w:sz w:val="32"/>
          <w:szCs w:val="32"/>
        </w:rPr>
        <w:t>做强政府网站“第一平台”，线下继续完善</w:t>
      </w:r>
      <w:r>
        <w:rPr>
          <w:rFonts w:hint="default" w:ascii="Times New Roman" w:hAnsi="Times New Roman" w:eastAsia="仿宋_GB2312" w:cs="Times New Roman"/>
          <w:sz w:val="32"/>
          <w:szCs w:val="32"/>
          <w:lang w:val="en-US" w:eastAsia="zh-CN"/>
        </w:rPr>
        <w:t>沂源县</w:t>
      </w:r>
      <w:r>
        <w:rPr>
          <w:rFonts w:hint="default" w:ascii="Times New Roman" w:hAnsi="Times New Roman" w:eastAsia="仿宋_GB2312" w:cs="Times New Roman"/>
          <w:sz w:val="32"/>
          <w:szCs w:val="32"/>
        </w:rPr>
        <w:t>政务公开专区建设，推进集约化建设与管理，提高信息发布的规范性和协同性。强化政务新媒体日常监管，确保政务新媒体账号内容</w:t>
      </w:r>
      <w:r>
        <w:rPr>
          <w:rFonts w:hint="default" w:ascii="Times New Roman" w:hAnsi="Times New Roman" w:eastAsia="仿宋_GB2312" w:cs="Times New Roman"/>
          <w:sz w:val="32"/>
          <w:szCs w:val="32"/>
          <w:lang w:val="en-US" w:eastAsia="zh-CN"/>
        </w:rPr>
        <w:t>及时更新</w:t>
      </w:r>
      <w:r>
        <w:rPr>
          <w:rFonts w:hint="default" w:ascii="Times New Roman" w:hAnsi="Times New Roman" w:eastAsia="仿宋_GB2312" w:cs="Times New Roman"/>
          <w:sz w:val="32"/>
          <w:szCs w:val="32"/>
        </w:rPr>
        <w:t>、表述</w:t>
      </w:r>
      <w:r>
        <w:rPr>
          <w:rFonts w:hint="default" w:ascii="Times New Roman" w:hAnsi="Times New Roman" w:eastAsia="仿宋_GB2312" w:cs="Times New Roman"/>
          <w:sz w:val="32"/>
          <w:szCs w:val="32"/>
          <w:lang w:val="en-US" w:eastAsia="zh-CN"/>
        </w:rPr>
        <w:t>方式严谨规范</w:t>
      </w:r>
      <w:r>
        <w:rPr>
          <w:rFonts w:hint="default" w:ascii="Times New Roman" w:hAnsi="Times New Roman" w:eastAsia="仿宋_GB2312" w:cs="Times New Roman"/>
          <w:sz w:val="32"/>
          <w:szCs w:val="32"/>
        </w:rPr>
        <w:t>、互动</w:t>
      </w:r>
      <w:r>
        <w:rPr>
          <w:rFonts w:hint="default" w:ascii="Times New Roman" w:hAnsi="Times New Roman" w:eastAsia="仿宋_GB2312" w:cs="Times New Roman"/>
          <w:sz w:val="32"/>
          <w:szCs w:val="32"/>
          <w:lang w:val="en-US" w:eastAsia="zh-CN"/>
        </w:rPr>
        <w:t>交流</w:t>
      </w:r>
      <w:r>
        <w:rPr>
          <w:rFonts w:hint="default" w:ascii="Times New Roman" w:hAnsi="Times New Roman" w:eastAsia="仿宋_GB2312" w:cs="Times New Roman"/>
          <w:sz w:val="32"/>
          <w:szCs w:val="32"/>
        </w:rPr>
        <w:t>保持通畅</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（五）监督保障方面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印发《沂源县人民政府办公室关于印发2023年沂源县政务公开工作方案的通知》，全县政务公开工作检查采用“日常抽测、季度检查、年度考核”的方式开展,</w:t>
      </w:r>
      <w:r>
        <w:rPr>
          <w:rFonts w:hint="default" w:ascii="Times New Roman" w:hAnsi="Times New Roman" w:eastAsia="仿宋_GB2312" w:cs="Times New Roman"/>
          <w:sz w:val="32"/>
          <w:szCs w:val="32"/>
        </w:rPr>
        <w:t>有效提升各单位对政务公开工作的重视程度，促进各单位不断提升政务公开工作质量。加强政务公开队伍建设，定期</w:t>
      </w:r>
      <w:r>
        <w:rPr>
          <w:rFonts w:hint="default" w:ascii="Times New Roman" w:hAnsi="Times New Roman" w:eastAsia="仿宋_GB2312" w:cs="Times New Roman"/>
          <w:sz w:val="32"/>
          <w:szCs w:val="32"/>
          <w:lang w:val="en-US" w:eastAsia="zh-CN"/>
        </w:rPr>
        <w:t>组织</w:t>
      </w:r>
      <w:r>
        <w:rPr>
          <w:rFonts w:hint="default" w:ascii="Times New Roman" w:hAnsi="Times New Roman" w:eastAsia="仿宋_GB2312" w:cs="Times New Roman"/>
          <w:sz w:val="32"/>
          <w:szCs w:val="32"/>
        </w:rPr>
        <w:t>开展全县政务公开工作</w:t>
      </w:r>
      <w:r>
        <w:rPr>
          <w:rFonts w:hint="default" w:ascii="Times New Roman" w:hAnsi="Times New Roman" w:eastAsia="仿宋_GB2312" w:cs="Times New Roman"/>
          <w:sz w:val="32"/>
          <w:szCs w:val="32"/>
          <w:lang w:val="en-US" w:eastAsia="zh-CN"/>
        </w:rPr>
        <w:t>专业</w:t>
      </w:r>
      <w:r>
        <w:rPr>
          <w:rFonts w:hint="default" w:ascii="Times New Roman" w:hAnsi="Times New Roman" w:eastAsia="仿宋_GB2312" w:cs="Times New Roman"/>
          <w:sz w:val="32"/>
          <w:szCs w:val="32"/>
        </w:rPr>
        <w:t>培训，不断提高政务公开工作的质效</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主动公开政府信息情况</w:t>
      </w:r>
    </w:p>
    <w:tbl>
      <w:tblPr>
        <w:tblStyle w:val="4"/>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896"/>
        <w:gridCol w:w="2034"/>
        <w:gridCol w:w="1897"/>
        <w:gridCol w:w="18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8715" w:type="dxa"/>
            <w:gridSpan w:val="4"/>
            <w:tcBorders>
              <w:top w:val="single" w:color="auto" w:sz="8" w:space="0"/>
              <w:left w:val="single" w:color="auto" w:sz="8" w:space="0"/>
              <w:bottom w:val="single" w:color="auto" w:sz="8" w:space="0"/>
              <w:right w:val="single" w:color="auto" w:sz="8" w:space="0"/>
            </w:tcBorders>
            <w:shd w:val="clear" w:color="auto" w:fill="BDD6EE"/>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rPr>
              <w:t>第二十条  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9" w:hRule="atLeast"/>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rPr>
              <w:t>信息内容</w:t>
            </w:r>
          </w:p>
        </w:tc>
        <w:tc>
          <w:tcPr>
            <w:tcW w:w="2034" w:type="dxa"/>
            <w:tcBorders>
              <w:top w:val="single" w:color="auto" w:sz="8" w:space="0"/>
              <w:left w:val="nil"/>
              <w:bottom w:val="single" w:color="auto" w:sz="8" w:space="0"/>
              <w:right w:val="single" w:color="auto" w:sz="8"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rPr>
              <w:t>本年制发件数</w:t>
            </w:r>
          </w:p>
        </w:tc>
        <w:tc>
          <w:tcPr>
            <w:tcW w:w="1897" w:type="dxa"/>
            <w:tcBorders>
              <w:top w:val="single" w:color="auto" w:sz="8" w:space="0"/>
              <w:left w:val="nil"/>
              <w:bottom w:val="single" w:color="auto" w:sz="8" w:space="0"/>
              <w:right w:val="single" w:color="auto" w:sz="8"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rPr>
              <w:t>本年废止件数</w:t>
            </w:r>
          </w:p>
        </w:tc>
        <w:tc>
          <w:tcPr>
            <w:tcW w:w="1888" w:type="dxa"/>
            <w:tcBorders>
              <w:top w:val="nil"/>
              <w:left w:val="nil"/>
              <w:bottom w:val="single" w:color="auto" w:sz="8" w:space="0"/>
              <w:right w:val="single" w:color="auto" w:sz="8"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rPr>
              <w:t>规章</w:t>
            </w:r>
          </w:p>
        </w:tc>
        <w:tc>
          <w:tcPr>
            <w:tcW w:w="2034" w:type="dxa"/>
            <w:tcBorders>
              <w:top w:val="nil"/>
              <w:left w:val="nil"/>
              <w:bottom w:val="single" w:color="auto" w:sz="8" w:space="0"/>
              <w:right w:val="single" w:color="auto" w:sz="8"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rPr>
              <w:t>0</w:t>
            </w:r>
          </w:p>
        </w:tc>
        <w:tc>
          <w:tcPr>
            <w:tcW w:w="1897" w:type="dxa"/>
            <w:tcBorders>
              <w:top w:val="nil"/>
              <w:left w:val="nil"/>
              <w:bottom w:val="single" w:color="auto" w:sz="8" w:space="0"/>
              <w:right w:val="single" w:color="auto" w:sz="8"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rPr>
              <w:t>0</w:t>
            </w:r>
          </w:p>
        </w:tc>
        <w:tc>
          <w:tcPr>
            <w:tcW w:w="1888" w:type="dxa"/>
            <w:tcBorders>
              <w:top w:val="nil"/>
              <w:left w:val="nil"/>
              <w:bottom w:val="single" w:color="auto" w:sz="8" w:space="0"/>
              <w:right w:val="single" w:color="auto" w:sz="8"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rPr>
              <w:t>行政规范性文件</w:t>
            </w:r>
          </w:p>
        </w:tc>
        <w:tc>
          <w:tcPr>
            <w:tcW w:w="2034" w:type="dxa"/>
            <w:tcBorders>
              <w:top w:val="nil"/>
              <w:left w:val="nil"/>
              <w:bottom w:val="single" w:color="auto" w:sz="8" w:space="0"/>
              <w:right w:val="single" w:color="auto" w:sz="8"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eastAsiaTheme="minorEastAsia"/>
                <w:sz w:val="24"/>
                <w:szCs w:val="24"/>
                <w:lang w:eastAsia="zh-CN"/>
              </w:rPr>
            </w:pPr>
            <w:r>
              <w:rPr>
                <w:rFonts w:hint="default" w:ascii="Times New Roman" w:hAnsi="Times New Roman" w:eastAsia="微软雅黑" w:cs="Times New Roman"/>
                <w:i w:val="0"/>
                <w:iCs w:val="0"/>
                <w:caps w:val="0"/>
                <w:color w:val="000000"/>
                <w:spacing w:val="0"/>
                <w:sz w:val="24"/>
                <w:szCs w:val="24"/>
                <w:lang w:val="en-US" w:eastAsia="zh-CN"/>
              </w:rPr>
              <w:t>5</w:t>
            </w:r>
          </w:p>
        </w:tc>
        <w:tc>
          <w:tcPr>
            <w:tcW w:w="1897" w:type="dxa"/>
            <w:tcBorders>
              <w:top w:val="nil"/>
              <w:left w:val="nil"/>
              <w:bottom w:val="single" w:color="auto" w:sz="8" w:space="0"/>
              <w:right w:val="single" w:color="auto" w:sz="8"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eastAsia="微软雅黑" w:cs="Times New Roman"/>
                <w:i w:val="0"/>
                <w:iCs w:val="0"/>
                <w:caps w:val="0"/>
                <w:color w:val="000000"/>
                <w:spacing w:val="0"/>
                <w:sz w:val="24"/>
                <w:szCs w:val="24"/>
                <w:lang w:val="en-US" w:eastAsia="zh-CN"/>
              </w:rPr>
              <w:t>12</w:t>
            </w:r>
          </w:p>
        </w:tc>
        <w:tc>
          <w:tcPr>
            <w:tcW w:w="1888" w:type="dxa"/>
            <w:tcBorders>
              <w:top w:val="nil"/>
              <w:left w:val="nil"/>
              <w:bottom w:val="single" w:color="auto" w:sz="8" w:space="0"/>
              <w:right w:val="single" w:color="auto" w:sz="8"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eastAsia="微软雅黑" w:cs="Times New Roman"/>
                <w:i w:val="0"/>
                <w:iCs w:val="0"/>
                <w:caps w:val="0"/>
                <w:color w:val="000000"/>
                <w:spacing w:val="0"/>
                <w:sz w:val="24"/>
                <w:szCs w:val="24"/>
                <w:lang w:val="en-US" w:eastAsia="zh-CN"/>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715" w:type="dxa"/>
            <w:gridSpan w:val="4"/>
            <w:tcBorders>
              <w:top w:val="nil"/>
              <w:left w:val="single" w:color="auto" w:sz="8" w:space="0"/>
              <w:bottom w:val="single" w:color="auto" w:sz="8" w:space="0"/>
              <w:right w:val="single" w:color="auto" w:sz="8" w:space="0"/>
            </w:tcBorders>
            <w:shd w:val="clear" w:color="auto" w:fill="BDD6EE"/>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rPr>
              <w:t>第二十条  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rPr>
              <w:t>信息内容</w:t>
            </w:r>
          </w:p>
        </w:tc>
        <w:tc>
          <w:tcPr>
            <w:tcW w:w="5819" w:type="dxa"/>
            <w:gridSpan w:val="3"/>
            <w:tcBorders>
              <w:top w:val="single" w:color="auto" w:sz="8" w:space="0"/>
              <w:left w:val="nil"/>
              <w:bottom w:val="single" w:color="auto" w:sz="8" w:space="0"/>
              <w:right w:val="single" w:color="auto" w:sz="8"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rPr>
              <w:t>行政许可</w:t>
            </w:r>
          </w:p>
        </w:tc>
        <w:tc>
          <w:tcPr>
            <w:tcW w:w="5819" w:type="dxa"/>
            <w:gridSpan w:val="3"/>
            <w:tcBorders>
              <w:top w:val="nil"/>
              <w:left w:val="nil"/>
              <w:bottom w:val="single" w:color="auto" w:sz="8" w:space="0"/>
              <w:right w:val="single" w:color="auto" w:sz="8"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eastAsiaTheme="minorEastAsia"/>
                <w:sz w:val="24"/>
                <w:szCs w:val="24"/>
                <w:lang w:eastAsia="zh-CN"/>
              </w:rPr>
            </w:pPr>
            <w:r>
              <w:rPr>
                <w:rFonts w:hint="default" w:ascii="Times New Roman" w:hAnsi="Times New Roman" w:eastAsia="微软雅黑" w:cs="Times New Roman"/>
                <w:i w:val="0"/>
                <w:iCs w:val="0"/>
                <w:caps w:val="0"/>
                <w:color w:val="000000"/>
                <w:spacing w:val="0"/>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8715" w:type="dxa"/>
            <w:gridSpan w:val="4"/>
            <w:tcBorders>
              <w:top w:val="nil"/>
              <w:left w:val="single" w:color="auto" w:sz="8" w:space="0"/>
              <w:bottom w:val="single" w:color="auto" w:sz="8" w:space="0"/>
              <w:right w:val="single" w:color="auto" w:sz="8" w:space="0"/>
            </w:tcBorders>
            <w:shd w:val="clear" w:color="auto" w:fill="BDD6EE"/>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rPr>
              <w:t>第二十条  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rPr>
              <w:t>信息内容</w:t>
            </w:r>
          </w:p>
        </w:tc>
        <w:tc>
          <w:tcPr>
            <w:tcW w:w="5819" w:type="dxa"/>
            <w:gridSpan w:val="3"/>
            <w:tcBorders>
              <w:top w:val="single" w:color="auto" w:sz="8" w:space="0"/>
              <w:left w:val="nil"/>
              <w:bottom w:val="single" w:color="auto" w:sz="8" w:space="0"/>
              <w:right w:val="single" w:color="auto" w:sz="8"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rPr>
              <w:t>行政处罚</w:t>
            </w:r>
          </w:p>
        </w:tc>
        <w:tc>
          <w:tcPr>
            <w:tcW w:w="5819" w:type="dxa"/>
            <w:gridSpan w:val="3"/>
            <w:tcBorders>
              <w:top w:val="nil"/>
              <w:left w:val="nil"/>
              <w:bottom w:val="single" w:color="auto" w:sz="8" w:space="0"/>
              <w:right w:val="single" w:color="auto" w:sz="8"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rPr>
              <w:t>行政强制</w:t>
            </w:r>
          </w:p>
        </w:tc>
        <w:tc>
          <w:tcPr>
            <w:tcW w:w="5819" w:type="dxa"/>
            <w:gridSpan w:val="3"/>
            <w:tcBorders>
              <w:top w:val="nil"/>
              <w:left w:val="nil"/>
              <w:bottom w:val="single" w:color="auto" w:sz="8" w:space="0"/>
              <w:right w:val="single" w:color="auto" w:sz="8"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715" w:type="dxa"/>
            <w:gridSpan w:val="4"/>
            <w:tcBorders>
              <w:top w:val="nil"/>
              <w:left w:val="single" w:color="auto" w:sz="8" w:space="0"/>
              <w:bottom w:val="single" w:color="auto" w:sz="8" w:space="0"/>
              <w:right w:val="single" w:color="auto" w:sz="8" w:space="0"/>
            </w:tcBorders>
            <w:shd w:val="clear" w:color="auto" w:fill="BDD6EE"/>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rPr>
              <w:t>第二十条  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rPr>
              <w:t>信息内容</w:t>
            </w:r>
          </w:p>
        </w:tc>
        <w:tc>
          <w:tcPr>
            <w:tcW w:w="5819" w:type="dxa"/>
            <w:gridSpan w:val="3"/>
            <w:tcBorders>
              <w:top w:val="nil"/>
              <w:left w:val="nil"/>
              <w:bottom w:val="single" w:color="auto" w:sz="8" w:space="0"/>
              <w:right w:val="single" w:color="000000" w:sz="8"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rPr>
              <w:t>行政事业性收费</w:t>
            </w:r>
          </w:p>
        </w:tc>
        <w:tc>
          <w:tcPr>
            <w:tcW w:w="5819" w:type="dxa"/>
            <w:gridSpan w:val="3"/>
            <w:tcBorders>
              <w:top w:val="nil"/>
              <w:left w:val="nil"/>
              <w:bottom w:val="single" w:color="auto" w:sz="8" w:space="0"/>
              <w:right w:val="single" w:color="000000" w:sz="8"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行政机关收到和处理政府信息公开申请情况</w:t>
      </w:r>
    </w:p>
    <w:tbl>
      <w:tblPr>
        <w:tblStyle w:val="4"/>
        <w:tblW w:w="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13"/>
        <w:gridCol w:w="1343"/>
        <w:gridCol w:w="2527"/>
        <w:gridCol w:w="594"/>
        <w:gridCol w:w="556"/>
        <w:gridCol w:w="556"/>
        <w:gridCol w:w="538"/>
        <w:gridCol w:w="559"/>
        <w:gridCol w:w="537"/>
        <w:gridCol w:w="6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2" w:hRule="atLeast"/>
          <w:jc w:val="center"/>
        </w:trPr>
        <w:tc>
          <w:tcPr>
            <w:tcW w:w="4662" w:type="dxa"/>
            <w:gridSpan w:val="3"/>
            <w:vMerge w:val="restart"/>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color w:val="000000"/>
                <w:sz w:val="20"/>
                <w:szCs w:val="20"/>
              </w:rPr>
              <w:t>（本列数据的勾稽关系为：第一项加第二项之和，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0"/>
                <w:szCs w:val="20"/>
              </w:rPr>
              <w:t> </w:t>
            </w:r>
            <w:r>
              <w:rPr>
                <w:rFonts w:hint="default" w:ascii="Times New Roman" w:hAnsi="Times New Roman" w:eastAsia="仿宋_GB2312" w:cs="Times New Roman"/>
                <w:color w:val="000000"/>
                <w:sz w:val="20"/>
                <w:szCs w:val="20"/>
              </w:rPr>
              <w:t>等于第三项加第四项之和）</w:t>
            </w:r>
          </w:p>
        </w:tc>
        <w:tc>
          <w:tcPr>
            <w:tcW w:w="4098" w:type="dxa"/>
            <w:gridSpan w:val="7"/>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sz w:val="24"/>
                <w:szCs w:val="24"/>
              </w:rPr>
            </w:pPr>
            <w:r>
              <w:rPr>
                <w:rFonts w:hint="default" w:ascii="Times New Roman" w:hAnsi="Times New Roman" w:eastAsia="黑体" w:cs="Times New Roman"/>
                <w:color w:val="000000"/>
                <w:sz w:val="20"/>
                <w:szCs w:val="20"/>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4662" w:type="dxa"/>
            <w:gridSpan w:val="3"/>
            <w:vMerge w:val="continue"/>
            <w:tcBorders>
              <w:top w:val="single" w:color="auto" w:sz="8" w:space="0"/>
              <w:left w:val="single" w:color="auto" w:sz="8" w:space="0"/>
              <w:bottom w:val="nil"/>
              <w:right w:val="nil"/>
            </w:tcBorders>
            <w:shd w:val="clear" w:color="auto" w:fill="FFFFFF"/>
            <w:tcMar>
              <w:left w:w="10" w:type="dxa"/>
              <w:right w:w="1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627" w:type="dxa"/>
            <w:vMerge w:val="restart"/>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default" w:ascii="Times New Roman" w:hAnsi="Times New Roman" w:cs="Times New Roman"/>
                <w:sz w:val="24"/>
                <w:szCs w:val="24"/>
              </w:rPr>
            </w:pPr>
            <w:r>
              <w:rPr>
                <w:rFonts w:hint="default" w:ascii="Times New Roman" w:hAnsi="Times New Roman" w:eastAsia="黑体" w:cs="Times New Roman"/>
                <w:color w:val="000000"/>
                <w:sz w:val="20"/>
                <w:szCs w:val="20"/>
              </w:rPr>
              <w:t>自然人</w:t>
            </w:r>
          </w:p>
        </w:tc>
        <w:tc>
          <w:tcPr>
            <w:tcW w:w="2834" w:type="dxa"/>
            <w:gridSpan w:val="5"/>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sz w:val="24"/>
                <w:szCs w:val="24"/>
              </w:rPr>
            </w:pPr>
            <w:r>
              <w:rPr>
                <w:rFonts w:hint="default" w:ascii="Times New Roman" w:hAnsi="Times New Roman" w:eastAsia="黑体" w:cs="Times New Roman"/>
                <w:color w:val="000000"/>
                <w:sz w:val="20"/>
                <w:szCs w:val="20"/>
              </w:rPr>
              <w:t>法人或其他组织</w:t>
            </w:r>
          </w:p>
        </w:tc>
        <w:tc>
          <w:tcPr>
            <w:tcW w:w="637" w:type="dxa"/>
            <w:vMerge w:val="restart"/>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default" w:ascii="Times New Roman" w:hAnsi="Times New Roman" w:cs="Times New Roman"/>
                <w:sz w:val="24"/>
                <w:szCs w:val="24"/>
              </w:rPr>
            </w:pPr>
            <w:r>
              <w:rPr>
                <w:rFonts w:hint="default" w:ascii="Times New Roman" w:hAnsi="Times New Roman" w:eastAsia="黑体" w:cs="Times New Roman"/>
                <w:color w:val="000000"/>
                <w:sz w:val="20"/>
                <w:szCs w:val="20"/>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1" w:hRule="atLeast"/>
          <w:jc w:val="center"/>
        </w:trPr>
        <w:tc>
          <w:tcPr>
            <w:tcW w:w="4662" w:type="dxa"/>
            <w:gridSpan w:val="3"/>
            <w:vMerge w:val="continue"/>
            <w:tcBorders>
              <w:top w:val="single" w:color="auto" w:sz="8" w:space="0"/>
              <w:left w:val="single" w:color="auto" w:sz="8" w:space="0"/>
              <w:bottom w:val="nil"/>
              <w:right w:val="nil"/>
            </w:tcBorders>
            <w:shd w:val="clear" w:color="auto" w:fill="FFFFFF"/>
            <w:tcMar>
              <w:left w:w="10" w:type="dxa"/>
              <w:right w:w="1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627" w:type="dxa"/>
            <w:vMerge w:val="continue"/>
            <w:tcBorders>
              <w:top w:val="single" w:color="auto" w:sz="8" w:space="0"/>
              <w:left w:val="single" w:color="auto" w:sz="8" w:space="0"/>
              <w:bottom w:val="nil"/>
              <w:right w:val="nil"/>
            </w:tcBorders>
            <w:shd w:val="clear" w:color="auto" w:fill="FFFFFF"/>
            <w:tcMar>
              <w:left w:w="10" w:type="dxa"/>
              <w:right w:w="1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sz w:val="24"/>
                <w:szCs w:val="24"/>
              </w:rPr>
            </w:pPr>
            <w:r>
              <w:rPr>
                <w:rFonts w:hint="default" w:ascii="Times New Roman" w:hAnsi="Times New Roman" w:eastAsia="黑体" w:cs="Times New Roman"/>
                <w:color w:val="000000"/>
                <w:sz w:val="20"/>
                <w:szCs w:val="20"/>
              </w:rPr>
              <w:t>商业</w:t>
            </w:r>
            <w:r>
              <w:rPr>
                <w:rFonts w:hint="default" w:ascii="Times New Roman" w:hAnsi="Times New Roman" w:cs="Times New Roman"/>
                <w:color w:val="000000"/>
                <w:sz w:val="20"/>
                <w:szCs w:val="20"/>
              </w:rPr>
              <w:t> 企业</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sz w:val="24"/>
                <w:szCs w:val="24"/>
              </w:rPr>
            </w:pPr>
            <w:r>
              <w:rPr>
                <w:rFonts w:hint="default" w:ascii="Times New Roman" w:hAnsi="Times New Roman" w:eastAsia="黑体" w:cs="Times New Roman"/>
                <w:color w:val="000000"/>
                <w:sz w:val="20"/>
                <w:szCs w:val="20"/>
              </w:rPr>
              <w:t>科研</w:t>
            </w:r>
            <w:r>
              <w:rPr>
                <w:rFonts w:hint="default" w:ascii="Times New Roman" w:hAnsi="Times New Roman" w:cs="Times New Roman"/>
                <w:color w:val="000000"/>
                <w:sz w:val="20"/>
                <w:szCs w:val="20"/>
              </w:rPr>
              <w:t> 机构</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黑体" w:cs="Times New Roman"/>
                <w:color w:val="000000"/>
                <w:sz w:val="20"/>
                <w:szCs w:val="20"/>
              </w:rPr>
              <w:t>社会公益组织</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sz w:val="24"/>
                <w:szCs w:val="24"/>
              </w:rPr>
            </w:pPr>
            <w:r>
              <w:rPr>
                <w:rFonts w:hint="default" w:ascii="Times New Roman" w:hAnsi="Times New Roman" w:eastAsia="黑体" w:cs="Times New Roman"/>
                <w:color w:val="000000"/>
                <w:sz w:val="20"/>
                <w:szCs w:val="20"/>
              </w:rPr>
              <w:t>法律</w:t>
            </w:r>
            <w:r>
              <w:rPr>
                <w:rFonts w:hint="default" w:ascii="Times New Roman" w:hAnsi="Times New Roman" w:cs="Times New Roman"/>
                <w:color w:val="000000"/>
                <w:sz w:val="20"/>
                <w:szCs w:val="20"/>
              </w:rPr>
              <w:t> 服务 机构</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sz w:val="24"/>
                <w:szCs w:val="24"/>
              </w:rPr>
            </w:pPr>
            <w:r>
              <w:rPr>
                <w:rFonts w:hint="default" w:ascii="Times New Roman" w:hAnsi="Times New Roman" w:eastAsia="黑体" w:cs="Times New Roman"/>
                <w:color w:val="000000"/>
                <w:sz w:val="20"/>
                <w:szCs w:val="20"/>
              </w:rPr>
              <w:t>其他</w:t>
            </w:r>
          </w:p>
        </w:tc>
        <w:tc>
          <w:tcPr>
            <w:tcW w:w="637" w:type="dxa"/>
            <w:vMerge w:val="continue"/>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4662" w:type="dxa"/>
            <w:gridSpan w:val="3"/>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cs="Times New Roman"/>
                <w:sz w:val="24"/>
                <w:szCs w:val="24"/>
              </w:rPr>
            </w:pPr>
            <w:r>
              <w:rPr>
                <w:rFonts w:hint="default" w:ascii="Times New Roman" w:hAnsi="Times New Roman" w:eastAsia="黑体" w:cs="Times New Roman"/>
                <w:color w:val="000000"/>
                <w:sz w:val="21"/>
                <w:szCs w:val="21"/>
              </w:rPr>
              <w:t>一、本年新收政府信息公开申请数量</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eastAsia="仿宋_GB2312" w:cs="Times New Roman"/>
                <w:color w:val="000000"/>
                <w:sz w:val="24"/>
                <w:szCs w:val="24"/>
                <w:lang w:val="en-US" w:eastAsia="zh-CN"/>
              </w:rPr>
              <w:t>10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eastAsia="仿宋_GB2312" w:cs="Times New Roman"/>
                <w:color w:val="000000"/>
                <w:sz w:val="24"/>
                <w:szCs w:val="24"/>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4662" w:type="dxa"/>
            <w:gridSpan w:val="3"/>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cs="Times New Roman"/>
                <w:sz w:val="24"/>
                <w:szCs w:val="24"/>
              </w:rPr>
            </w:pPr>
            <w:r>
              <w:rPr>
                <w:rFonts w:hint="default" w:ascii="Times New Roman" w:hAnsi="Times New Roman" w:eastAsia="黑体" w:cs="Times New Roman"/>
                <w:color w:val="000000"/>
                <w:sz w:val="21"/>
                <w:szCs w:val="21"/>
              </w:rPr>
              <w:t>二、上年结转政府信息公开申请数量</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520" w:type="dxa"/>
            <w:vMerge w:val="restart"/>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24"/>
                <w:szCs w:val="24"/>
              </w:rPr>
            </w:pPr>
            <w:r>
              <w:rPr>
                <w:rFonts w:hint="default" w:ascii="Times New Roman" w:hAnsi="Times New Roman" w:eastAsia="黑体" w:cs="Times New Roman"/>
                <w:color w:val="000000"/>
                <w:sz w:val="21"/>
                <w:szCs w:val="21"/>
              </w:rPr>
              <w:t>三、本年度办理结果</w:t>
            </w:r>
          </w:p>
        </w:tc>
        <w:tc>
          <w:tcPr>
            <w:tcW w:w="4142" w:type="dxa"/>
            <w:gridSpan w:val="2"/>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cs="Times New Roman"/>
                <w:sz w:val="24"/>
                <w:szCs w:val="24"/>
              </w:rPr>
            </w:pPr>
            <w:r>
              <w:rPr>
                <w:rFonts w:hint="default" w:ascii="Times New Roman" w:hAnsi="Times New Roman" w:eastAsia="黑体" w:cs="Times New Roman"/>
                <w:color w:val="000000"/>
                <w:sz w:val="21"/>
                <w:szCs w:val="21"/>
              </w:rPr>
              <w:t>（一）予以公开</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eastAsiaTheme="minorEastAsia"/>
                <w:sz w:val="24"/>
                <w:szCs w:val="24"/>
                <w:lang w:eastAsia="zh-CN"/>
              </w:rPr>
            </w:pPr>
            <w:r>
              <w:rPr>
                <w:rFonts w:hint="eastAsia" w:ascii="Times New Roman" w:hAnsi="Times New Roman" w:eastAsia="仿宋_GB2312" w:cs="Times New Roman"/>
                <w:color w:val="000000"/>
                <w:sz w:val="24"/>
                <w:szCs w:val="24"/>
                <w:lang w:val="en-US" w:eastAsia="zh-CN"/>
              </w:rPr>
              <w:t>6</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eastAsiaTheme="minorEastAsia"/>
                <w:sz w:val="24"/>
                <w:szCs w:val="24"/>
                <w:lang w:eastAsia="zh-CN"/>
              </w:rPr>
            </w:pPr>
            <w:r>
              <w:rPr>
                <w:rFonts w:hint="eastAsia" w:ascii="Times New Roman" w:hAnsi="Times New Roman" w:eastAsia="仿宋_GB2312" w:cs="Times New Roman"/>
                <w:color w:val="000000"/>
                <w:sz w:val="24"/>
                <w:szCs w:val="24"/>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7" w:hRule="atLeast"/>
          <w:jc w:val="center"/>
        </w:trPr>
        <w:tc>
          <w:tcPr>
            <w:tcW w:w="520" w:type="dxa"/>
            <w:vMerge w:val="continue"/>
            <w:tcBorders>
              <w:top w:val="single" w:color="auto" w:sz="8" w:space="0"/>
              <w:left w:val="single" w:color="auto" w:sz="8" w:space="0"/>
              <w:bottom w:val="nil"/>
              <w:right w:val="nil"/>
            </w:tcBorders>
            <w:shd w:val="clear" w:color="auto" w:fill="FFFFFF"/>
            <w:tcMar>
              <w:left w:w="10" w:type="dxa"/>
              <w:right w:w="1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4142" w:type="dxa"/>
            <w:gridSpan w:val="2"/>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cs="Times New Roman"/>
                <w:sz w:val="24"/>
                <w:szCs w:val="24"/>
              </w:rPr>
            </w:pPr>
            <w:r>
              <w:rPr>
                <w:rFonts w:hint="default" w:ascii="Times New Roman" w:hAnsi="Times New Roman" w:eastAsia="黑体" w:cs="Times New Roman"/>
                <w:color w:val="000000"/>
                <w:sz w:val="21"/>
                <w:szCs w:val="21"/>
              </w:rPr>
              <w:t>（二）部分公开（区分处理的，只计这一情</w:t>
            </w:r>
            <w:r>
              <w:rPr>
                <w:rFonts w:hint="default" w:ascii="Times New Roman" w:hAnsi="Times New Roman" w:cs="Times New Roman"/>
                <w:color w:val="000000"/>
                <w:sz w:val="21"/>
                <w:szCs w:val="21"/>
              </w:rPr>
              <w:t> 形，不计其他情形）</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jc w:val="center"/>
        </w:trPr>
        <w:tc>
          <w:tcPr>
            <w:tcW w:w="520" w:type="dxa"/>
            <w:vMerge w:val="continue"/>
            <w:tcBorders>
              <w:top w:val="single" w:color="auto" w:sz="8" w:space="0"/>
              <w:left w:val="single" w:color="auto" w:sz="8" w:space="0"/>
              <w:bottom w:val="nil"/>
              <w:right w:val="nil"/>
            </w:tcBorders>
            <w:shd w:val="clear" w:color="auto" w:fill="FFFFFF"/>
            <w:tcMar>
              <w:left w:w="10" w:type="dxa"/>
              <w:right w:w="1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1420" w:type="dxa"/>
            <w:vMerge w:val="restart"/>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sz w:val="24"/>
                <w:szCs w:val="24"/>
              </w:rPr>
            </w:pPr>
            <w:r>
              <w:rPr>
                <w:rFonts w:hint="default" w:ascii="Times New Roman" w:hAnsi="Times New Roman" w:eastAsia="黑体" w:cs="Times New Roman"/>
                <w:color w:val="000000"/>
                <w:sz w:val="18"/>
                <w:szCs w:val="18"/>
              </w:rPr>
              <w:t>（三）不予公开</w:t>
            </w: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cs="Times New Roman"/>
                <w:sz w:val="24"/>
                <w:szCs w:val="24"/>
              </w:rPr>
            </w:pPr>
            <w:r>
              <w:rPr>
                <w:rFonts w:hint="default" w:ascii="Times New Roman" w:hAnsi="Times New Roman" w:cs="Times New Roman"/>
                <w:color w:val="000000"/>
                <w:sz w:val="18"/>
                <w:szCs w:val="18"/>
              </w:rPr>
              <w:t>1.</w:t>
            </w:r>
            <w:r>
              <w:rPr>
                <w:rFonts w:hint="default" w:ascii="Times New Roman" w:hAnsi="Times New Roman" w:eastAsia="仿宋_GB2312" w:cs="Times New Roman"/>
                <w:color w:val="000000"/>
                <w:sz w:val="18"/>
                <w:szCs w:val="18"/>
              </w:rPr>
              <w:t>属于国家秘密</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520" w:type="dxa"/>
            <w:vMerge w:val="continue"/>
            <w:tcBorders>
              <w:top w:val="single" w:color="auto" w:sz="8" w:space="0"/>
              <w:left w:val="single" w:color="auto" w:sz="8" w:space="0"/>
              <w:bottom w:val="nil"/>
              <w:right w:val="nil"/>
            </w:tcBorders>
            <w:shd w:val="clear" w:color="auto" w:fill="FFFFFF"/>
            <w:tcMar>
              <w:left w:w="10" w:type="dxa"/>
              <w:right w:w="1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1420" w:type="dxa"/>
            <w:vMerge w:val="continue"/>
            <w:tcBorders>
              <w:top w:val="single" w:color="auto" w:sz="8" w:space="0"/>
              <w:left w:val="single" w:color="auto" w:sz="8" w:space="0"/>
              <w:bottom w:val="nil"/>
              <w:right w:val="nil"/>
            </w:tcBorders>
            <w:shd w:val="clear" w:color="auto" w:fill="FFFFFF"/>
            <w:tcMar>
              <w:left w:w="10" w:type="dxa"/>
              <w:right w:w="1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color w:val="000000"/>
                <w:sz w:val="18"/>
                <w:szCs w:val="18"/>
              </w:rPr>
              <w:t>2.</w:t>
            </w:r>
            <w:r>
              <w:rPr>
                <w:rFonts w:hint="default" w:ascii="Times New Roman" w:hAnsi="Times New Roman" w:eastAsia="仿宋_GB2312" w:cs="Times New Roman"/>
                <w:color w:val="000000"/>
                <w:sz w:val="18"/>
                <w:szCs w:val="18"/>
              </w:rPr>
              <w:t>其他法律行政法规禁止公开</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520" w:type="dxa"/>
            <w:vMerge w:val="continue"/>
            <w:tcBorders>
              <w:top w:val="single" w:color="auto" w:sz="8" w:space="0"/>
              <w:left w:val="single" w:color="auto" w:sz="8" w:space="0"/>
              <w:bottom w:val="nil"/>
              <w:right w:val="nil"/>
            </w:tcBorders>
            <w:shd w:val="clear" w:color="auto" w:fill="FFFFFF"/>
            <w:tcMar>
              <w:left w:w="10" w:type="dxa"/>
              <w:right w:w="1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1420" w:type="dxa"/>
            <w:vMerge w:val="continue"/>
            <w:tcBorders>
              <w:top w:val="single" w:color="auto" w:sz="8" w:space="0"/>
              <w:left w:val="single" w:color="auto" w:sz="8" w:space="0"/>
              <w:bottom w:val="nil"/>
              <w:right w:val="nil"/>
            </w:tcBorders>
            <w:shd w:val="clear" w:color="auto" w:fill="FFFFFF"/>
            <w:tcMar>
              <w:left w:w="10" w:type="dxa"/>
              <w:right w:w="1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color w:val="000000"/>
                <w:sz w:val="18"/>
                <w:szCs w:val="18"/>
              </w:rPr>
              <w:t>3.</w:t>
            </w:r>
            <w:r>
              <w:rPr>
                <w:rFonts w:hint="default" w:ascii="Times New Roman" w:hAnsi="Times New Roman" w:eastAsia="仿宋_GB2312" w:cs="Times New Roman"/>
                <w:color w:val="000000"/>
                <w:sz w:val="18"/>
                <w:szCs w:val="18"/>
              </w:rPr>
              <w:t>危及</w:t>
            </w:r>
            <w:r>
              <w:rPr>
                <w:rFonts w:hint="default" w:ascii="Times New Roman" w:hAnsi="Times New Roman" w:cs="Times New Roman"/>
                <w:color w:val="000000"/>
                <w:sz w:val="18"/>
                <w:szCs w:val="18"/>
              </w:rPr>
              <w:t>“</w:t>
            </w:r>
            <w:r>
              <w:rPr>
                <w:rFonts w:hint="default" w:ascii="Times New Roman" w:hAnsi="Times New Roman" w:eastAsia="仿宋_GB2312" w:cs="Times New Roman"/>
                <w:color w:val="000000"/>
                <w:sz w:val="18"/>
                <w:szCs w:val="18"/>
              </w:rPr>
              <w:t>三安全一稳定</w:t>
            </w:r>
            <w:r>
              <w:rPr>
                <w:rFonts w:hint="default" w:ascii="Times New Roman" w:hAnsi="Times New Roman" w:cs="Times New Roman"/>
                <w:color w:val="000000"/>
                <w:sz w:val="18"/>
                <w:szCs w:val="18"/>
              </w:rPr>
              <w:t>”</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520" w:type="dxa"/>
            <w:vMerge w:val="continue"/>
            <w:tcBorders>
              <w:top w:val="single" w:color="auto" w:sz="8" w:space="0"/>
              <w:left w:val="single" w:color="auto" w:sz="8" w:space="0"/>
              <w:bottom w:val="nil"/>
              <w:right w:val="nil"/>
            </w:tcBorders>
            <w:shd w:val="clear" w:color="auto" w:fill="FFFFFF"/>
            <w:tcMar>
              <w:left w:w="10" w:type="dxa"/>
              <w:right w:w="1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1420" w:type="dxa"/>
            <w:vMerge w:val="continue"/>
            <w:tcBorders>
              <w:top w:val="single" w:color="auto" w:sz="8" w:space="0"/>
              <w:left w:val="single" w:color="auto" w:sz="8" w:space="0"/>
              <w:bottom w:val="nil"/>
              <w:right w:val="nil"/>
            </w:tcBorders>
            <w:shd w:val="clear" w:color="auto" w:fill="FFFFFF"/>
            <w:tcMar>
              <w:left w:w="10" w:type="dxa"/>
              <w:right w:w="1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color w:val="000000"/>
                <w:sz w:val="18"/>
                <w:szCs w:val="18"/>
              </w:rPr>
              <w:t>4.</w:t>
            </w:r>
            <w:r>
              <w:rPr>
                <w:rFonts w:hint="default" w:ascii="Times New Roman" w:hAnsi="Times New Roman" w:eastAsia="仿宋_GB2312" w:cs="Times New Roman"/>
                <w:color w:val="000000"/>
                <w:sz w:val="18"/>
                <w:szCs w:val="18"/>
              </w:rPr>
              <w:t>保护第三方合法权益</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520" w:type="dxa"/>
            <w:vMerge w:val="continue"/>
            <w:tcBorders>
              <w:top w:val="single" w:color="auto" w:sz="8" w:space="0"/>
              <w:left w:val="single" w:color="auto" w:sz="8" w:space="0"/>
              <w:bottom w:val="nil"/>
              <w:right w:val="nil"/>
            </w:tcBorders>
            <w:shd w:val="clear" w:color="auto" w:fill="FFFFFF"/>
            <w:tcMar>
              <w:left w:w="10" w:type="dxa"/>
              <w:right w:w="1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1420" w:type="dxa"/>
            <w:vMerge w:val="continue"/>
            <w:tcBorders>
              <w:top w:val="single" w:color="auto" w:sz="8" w:space="0"/>
              <w:left w:val="single" w:color="auto" w:sz="8" w:space="0"/>
              <w:bottom w:val="nil"/>
              <w:right w:val="nil"/>
            </w:tcBorders>
            <w:shd w:val="clear" w:color="auto" w:fill="FFFFFF"/>
            <w:tcMar>
              <w:left w:w="10" w:type="dxa"/>
              <w:right w:w="1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color w:val="000000"/>
                <w:sz w:val="18"/>
                <w:szCs w:val="18"/>
              </w:rPr>
              <w:t>5.</w:t>
            </w:r>
            <w:r>
              <w:rPr>
                <w:rFonts w:hint="default" w:ascii="Times New Roman" w:hAnsi="Times New Roman" w:eastAsia="仿宋_GB2312" w:cs="Times New Roman"/>
                <w:color w:val="000000"/>
                <w:sz w:val="18"/>
                <w:szCs w:val="18"/>
              </w:rPr>
              <w:t>属于三类内部事务信息</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color w:val="000000"/>
                <w:sz w:val="24"/>
                <w:szCs w:val="24"/>
                <w:lang w:val="en-US" w:eastAsia="zh-CN"/>
              </w:rPr>
              <w:t>1</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color w:val="000000"/>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520" w:type="dxa"/>
            <w:vMerge w:val="continue"/>
            <w:tcBorders>
              <w:top w:val="single" w:color="auto" w:sz="8" w:space="0"/>
              <w:left w:val="single" w:color="auto" w:sz="8" w:space="0"/>
              <w:bottom w:val="nil"/>
              <w:right w:val="nil"/>
            </w:tcBorders>
            <w:shd w:val="clear" w:color="auto" w:fill="FFFFFF"/>
            <w:tcMar>
              <w:left w:w="10" w:type="dxa"/>
              <w:right w:w="1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1420" w:type="dxa"/>
            <w:vMerge w:val="continue"/>
            <w:tcBorders>
              <w:top w:val="single" w:color="auto" w:sz="8" w:space="0"/>
              <w:left w:val="single" w:color="auto" w:sz="8" w:space="0"/>
              <w:bottom w:val="nil"/>
              <w:right w:val="nil"/>
            </w:tcBorders>
            <w:shd w:val="clear" w:color="auto" w:fill="FFFFFF"/>
            <w:tcMar>
              <w:left w:w="10" w:type="dxa"/>
              <w:right w:w="1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color w:val="000000"/>
                <w:sz w:val="18"/>
                <w:szCs w:val="18"/>
              </w:rPr>
              <w:t>6.</w:t>
            </w:r>
            <w:r>
              <w:rPr>
                <w:rFonts w:hint="default" w:ascii="Times New Roman" w:hAnsi="Times New Roman" w:eastAsia="仿宋_GB2312" w:cs="Times New Roman"/>
                <w:color w:val="000000"/>
                <w:sz w:val="18"/>
                <w:szCs w:val="18"/>
              </w:rPr>
              <w:t>属于四类过程性信息</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520" w:type="dxa"/>
            <w:vMerge w:val="continue"/>
            <w:tcBorders>
              <w:top w:val="single" w:color="auto" w:sz="8" w:space="0"/>
              <w:left w:val="single" w:color="auto" w:sz="8" w:space="0"/>
              <w:bottom w:val="nil"/>
              <w:right w:val="nil"/>
            </w:tcBorders>
            <w:shd w:val="clear" w:color="auto" w:fill="FFFFFF"/>
            <w:tcMar>
              <w:left w:w="10" w:type="dxa"/>
              <w:right w:w="1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1420" w:type="dxa"/>
            <w:vMerge w:val="continue"/>
            <w:tcBorders>
              <w:top w:val="single" w:color="auto" w:sz="8" w:space="0"/>
              <w:left w:val="single" w:color="auto" w:sz="8" w:space="0"/>
              <w:bottom w:val="nil"/>
              <w:right w:val="nil"/>
            </w:tcBorders>
            <w:shd w:val="clear" w:color="auto" w:fill="FFFFFF"/>
            <w:tcMar>
              <w:left w:w="10" w:type="dxa"/>
              <w:right w:w="1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color w:val="000000"/>
                <w:sz w:val="18"/>
                <w:szCs w:val="18"/>
              </w:rPr>
              <w:t>7.</w:t>
            </w:r>
            <w:r>
              <w:rPr>
                <w:rFonts w:hint="default" w:ascii="Times New Roman" w:hAnsi="Times New Roman" w:eastAsia="仿宋_GB2312" w:cs="Times New Roman"/>
                <w:color w:val="000000"/>
                <w:sz w:val="18"/>
                <w:szCs w:val="18"/>
              </w:rPr>
              <w:t>属于行政执法案卷</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520" w:type="dxa"/>
            <w:vMerge w:val="continue"/>
            <w:tcBorders>
              <w:top w:val="single" w:color="auto" w:sz="8" w:space="0"/>
              <w:left w:val="single" w:color="auto" w:sz="8" w:space="0"/>
              <w:bottom w:val="nil"/>
              <w:right w:val="nil"/>
            </w:tcBorders>
            <w:shd w:val="clear" w:color="auto" w:fill="FFFFFF"/>
            <w:tcMar>
              <w:left w:w="10" w:type="dxa"/>
              <w:right w:w="1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1420" w:type="dxa"/>
            <w:vMerge w:val="continue"/>
            <w:tcBorders>
              <w:top w:val="single" w:color="auto" w:sz="8" w:space="0"/>
              <w:left w:val="single" w:color="auto" w:sz="8" w:space="0"/>
              <w:bottom w:val="nil"/>
              <w:right w:val="nil"/>
            </w:tcBorders>
            <w:shd w:val="clear" w:color="auto" w:fill="FFFFFF"/>
            <w:tcMar>
              <w:left w:w="10" w:type="dxa"/>
              <w:right w:w="1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color w:val="000000"/>
                <w:sz w:val="18"/>
                <w:szCs w:val="18"/>
              </w:rPr>
              <w:t>8.</w:t>
            </w:r>
            <w:r>
              <w:rPr>
                <w:rFonts w:hint="default" w:ascii="Times New Roman" w:hAnsi="Times New Roman" w:eastAsia="仿宋_GB2312" w:cs="Times New Roman"/>
                <w:color w:val="000000"/>
                <w:sz w:val="18"/>
                <w:szCs w:val="18"/>
              </w:rPr>
              <w:t>属于行政查询事项</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520" w:type="dxa"/>
            <w:vMerge w:val="continue"/>
            <w:tcBorders>
              <w:top w:val="single" w:color="auto" w:sz="8" w:space="0"/>
              <w:left w:val="single" w:color="auto" w:sz="8" w:space="0"/>
              <w:bottom w:val="nil"/>
              <w:right w:val="nil"/>
            </w:tcBorders>
            <w:shd w:val="clear" w:color="auto" w:fill="FFFFFF"/>
            <w:tcMar>
              <w:left w:w="10" w:type="dxa"/>
              <w:right w:w="1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1420" w:type="dxa"/>
            <w:vMerge w:val="restart"/>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sz w:val="24"/>
                <w:szCs w:val="24"/>
              </w:rPr>
            </w:pPr>
            <w:r>
              <w:rPr>
                <w:rFonts w:hint="default" w:ascii="Times New Roman" w:hAnsi="Times New Roman" w:eastAsia="黑体" w:cs="Times New Roman"/>
                <w:color w:val="000000"/>
                <w:sz w:val="18"/>
                <w:szCs w:val="18"/>
              </w:rPr>
              <w:t>（四）无法提供</w:t>
            </w: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color w:val="000000"/>
                <w:sz w:val="18"/>
                <w:szCs w:val="18"/>
              </w:rPr>
              <w:t>1.</w:t>
            </w:r>
            <w:r>
              <w:rPr>
                <w:rFonts w:hint="default" w:ascii="Times New Roman" w:hAnsi="Times New Roman" w:eastAsia="仿宋_GB2312" w:cs="Times New Roman"/>
                <w:color w:val="000000"/>
                <w:sz w:val="18"/>
                <w:szCs w:val="18"/>
              </w:rPr>
              <w:t>本机关不掌握相关政府信息</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cs="Times New Roman" w:eastAsiaTheme="minorEastAsia"/>
                <w:sz w:val="24"/>
                <w:szCs w:val="24"/>
                <w:lang w:eastAsia="zh-CN"/>
              </w:rPr>
            </w:pPr>
            <w:r>
              <w:rPr>
                <w:rFonts w:hint="eastAsia" w:ascii="Times New Roman" w:hAnsi="Times New Roman" w:cs="Times New Roman"/>
                <w:color w:val="000000"/>
                <w:sz w:val="24"/>
                <w:szCs w:val="24"/>
                <w:lang w:val="en-US" w:eastAsia="zh-CN"/>
              </w:rPr>
              <w:t>1</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cs="Times New Roman" w:eastAsiaTheme="minorEastAsia"/>
                <w:sz w:val="24"/>
                <w:szCs w:val="24"/>
                <w:lang w:eastAsia="zh-CN"/>
              </w:rPr>
            </w:pPr>
            <w:r>
              <w:rPr>
                <w:rFonts w:hint="eastAsia" w:ascii="Times New Roman" w:hAnsi="Times New Roman" w:cs="Times New Roman"/>
                <w:color w:val="000000"/>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520" w:type="dxa"/>
            <w:vMerge w:val="continue"/>
            <w:tcBorders>
              <w:top w:val="single" w:color="auto" w:sz="8" w:space="0"/>
              <w:left w:val="single" w:color="auto" w:sz="8" w:space="0"/>
              <w:bottom w:val="nil"/>
              <w:right w:val="nil"/>
            </w:tcBorders>
            <w:shd w:val="clear" w:color="auto" w:fill="FFFFFF"/>
            <w:tcMar>
              <w:left w:w="10" w:type="dxa"/>
              <w:right w:w="1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1420" w:type="dxa"/>
            <w:vMerge w:val="continue"/>
            <w:tcBorders>
              <w:top w:val="single" w:color="auto" w:sz="8" w:space="0"/>
              <w:left w:val="single" w:color="auto" w:sz="8" w:space="0"/>
              <w:bottom w:val="nil"/>
              <w:right w:val="nil"/>
            </w:tcBorders>
            <w:shd w:val="clear" w:color="auto" w:fill="FFFFFF"/>
            <w:tcMar>
              <w:left w:w="10" w:type="dxa"/>
              <w:right w:w="1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color w:val="000000"/>
                <w:sz w:val="18"/>
                <w:szCs w:val="18"/>
              </w:rPr>
              <w:t>2.</w:t>
            </w:r>
            <w:r>
              <w:rPr>
                <w:rFonts w:hint="default" w:ascii="Times New Roman" w:hAnsi="Times New Roman" w:eastAsia="仿宋_GB2312" w:cs="Times New Roman"/>
                <w:color w:val="000000"/>
                <w:sz w:val="18"/>
                <w:szCs w:val="18"/>
              </w:rPr>
              <w:t>没有现成信息需要另行制作</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jc w:val="center"/>
        </w:trPr>
        <w:tc>
          <w:tcPr>
            <w:tcW w:w="520" w:type="dxa"/>
            <w:vMerge w:val="continue"/>
            <w:tcBorders>
              <w:top w:val="single" w:color="auto" w:sz="8" w:space="0"/>
              <w:left w:val="single" w:color="auto" w:sz="8" w:space="0"/>
              <w:bottom w:val="nil"/>
              <w:right w:val="nil"/>
            </w:tcBorders>
            <w:shd w:val="clear" w:color="auto" w:fill="FFFFFF"/>
            <w:tcMar>
              <w:left w:w="10" w:type="dxa"/>
              <w:right w:w="1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1420" w:type="dxa"/>
            <w:vMerge w:val="continue"/>
            <w:tcBorders>
              <w:top w:val="single" w:color="auto" w:sz="8" w:space="0"/>
              <w:left w:val="single" w:color="auto" w:sz="8" w:space="0"/>
              <w:bottom w:val="nil"/>
              <w:right w:val="nil"/>
            </w:tcBorders>
            <w:shd w:val="clear" w:color="auto" w:fill="FFFFFF"/>
            <w:tcMar>
              <w:left w:w="10" w:type="dxa"/>
              <w:right w:w="1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color w:val="000000"/>
                <w:sz w:val="18"/>
                <w:szCs w:val="18"/>
              </w:rPr>
              <w:t>3.</w:t>
            </w:r>
            <w:r>
              <w:rPr>
                <w:rFonts w:hint="default" w:ascii="Times New Roman" w:hAnsi="Times New Roman" w:eastAsia="仿宋_GB2312" w:cs="Times New Roman"/>
                <w:color w:val="000000"/>
                <w:sz w:val="18"/>
                <w:szCs w:val="18"/>
              </w:rPr>
              <w:t>补正后申请内容仍不明确</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520" w:type="dxa"/>
            <w:vMerge w:val="continue"/>
            <w:tcBorders>
              <w:top w:val="single" w:color="auto" w:sz="8" w:space="0"/>
              <w:left w:val="single" w:color="auto" w:sz="8" w:space="0"/>
              <w:bottom w:val="nil"/>
              <w:right w:val="nil"/>
            </w:tcBorders>
            <w:shd w:val="clear" w:color="auto" w:fill="FFFFFF"/>
            <w:tcMar>
              <w:left w:w="10" w:type="dxa"/>
              <w:right w:w="1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1420" w:type="dxa"/>
            <w:vMerge w:val="restart"/>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sz w:val="24"/>
                <w:szCs w:val="24"/>
              </w:rPr>
            </w:pPr>
            <w:r>
              <w:rPr>
                <w:rFonts w:hint="default" w:ascii="Times New Roman" w:hAnsi="Times New Roman" w:eastAsia="黑体" w:cs="Times New Roman"/>
                <w:color w:val="000000"/>
                <w:sz w:val="18"/>
                <w:szCs w:val="18"/>
              </w:rPr>
              <w:t>（五）不予处理</w:t>
            </w: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color w:val="000000"/>
                <w:sz w:val="18"/>
                <w:szCs w:val="18"/>
              </w:rPr>
              <w:t>1.</w:t>
            </w:r>
            <w:r>
              <w:rPr>
                <w:rFonts w:hint="default" w:ascii="Times New Roman" w:hAnsi="Times New Roman" w:eastAsia="仿宋_GB2312" w:cs="Times New Roman"/>
                <w:color w:val="000000"/>
                <w:sz w:val="18"/>
                <w:szCs w:val="18"/>
              </w:rPr>
              <w:t>信访举报投诉类申请</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520" w:type="dxa"/>
            <w:vMerge w:val="continue"/>
            <w:tcBorders>
              <w:top w:val="single" w:color="auto" w:sz="8" w:space="0"/>
              <w:left w:val="single" w:color="auto" w:sz="8" w:space="0"/>
              <w:bottom w:val="nil"/>
              <w:right w:val="nil"/>
            </w:tcBorders>
            <w:shd w:val="clear" w:color="auto" w:fill="FFFFFF"/>
            <w:tcMar>
              <w:left w:w="10" w:type="dxa"/>
              <w:right w:w="1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1420" w:type="dxa"/>
            <w:vMerge w:val="continue"/>
            <w:tcBorders>
              <w:top w:val="single" w:color="auto" w:sz="8" w:space="0"/>
              <w:left w:val="single" w:color="auto" w:sz="8" w:space="0"/>
              <w:bottom w:val="nil"/>
              <w:right w:val="nil"/>
            </w:tcBorders>
            <w:shd w:val="clear" w:color="auto" w:fill="FFFFFF"/>
            <w:tcMar>
              <w:left w:w="10" w:type="dxa"/>
              <w:right w:w="1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color w:val="000000"/>
                <w:sz w:val="18"/>
                <w:szCs w:val="18"/>
              </w:rPr>
              <w:t>2.</w:t>
            </w:r>
            <w:r>
              <w:rPr>
                <w:rFonts w:hint="default" w:ascii="Times New Roman" w:hAnsi="Times New Roman" w:eastAsia="仿宋_GB2312" w:cs="Times New Roman"/>
                <w:color w:val="000000"/>
                <w:sz w:val="18"/>
                <w:szCs w:val="18"/>
              </w:rPr>
              <w:t>重复申请</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520" w:type="dxa"/>
            <w:vMerge w:val="continue"/>
            <w:tcBorders>
              <w:top w:val="single" w:color="auto" w:sz="8" w:space="0"/>
              <w:left w:val="single" w:color="auto" w:sz="8" w:space="0"/>
              <w:bottom w:val="nil"/>
              <w:right w:val="nil"/>
            </w:tcBorders>
            <w:shd w:val="clear" w:color="auto" w:fill="FFFFFF"/>
            <w:tcMar>
              <w:left w:w="10" w:type="dxa"/>
              <w:right w:w="1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1420" w:type="dxa"/>
            <w:vMerge w:val="continue"/>
            <w:tcBorders>
              <w:top w:val="single" w:color="auto" w:sz="8" w:space="0"/>
              <w:left w:val="single" w:color="auto" w:sz="8" w:space="0"/>
              <w:bottom w:val="nil"/>
              <w:right w:val="nil"/>
            </w:tcBorders>
            <w:shd w:val="clear" w:color="auto" w:fill="FFFFFF"/>
            <w:tcMar>
              <w:left w:w="10" w:type="dxa"/>
              <w:right w:w="1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color w:val="000000"/>
                <w:sz w:val="18"/>
                <w:szCs w:val="18"/>
              </w:rPr>
              <w:t>3.</w:t>
            </w:r>
            <w:r>
              <w:rPr>
                <w:rFonts w:hint="default" w:ascii="Times New Roman" w:hAnsi="Times New Roman" w:eastAsia="仿宋_GB2312" w:cs="Times New Roman"/>
                <w:color w:val="000000"/>
                <w:sz w:val="18"/>
                <w:szCs w:val="18"/>
              </w:rPr>
              <w:t>要求提供公开出版物</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520" w:type="dxa"/>
            <w:vMerge w:val="continue"/>
            <w:tcBorders>
              <w:top w:val="single" w:color="auto" w:sz="8" w:space="0"/>
              <w:left w:val="single" w:color="auto" w:sz="8" w:space="0"/>
              <w:bottom w:val="nil"/>
              <w:right w:val="nil"/>
            </w:tcBorders>
            <w:shd w:val="clear" w:color="auto" w:fill="FFFFFF"/>
            <w:tcMar>
              <w:left w:w="10" w:type="dxa"/>
              <w:right w:w="1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1420" w:type="dxa"/>
            <w:vMerge w:val="continue"/>
            <w:tcBorders>
              <w:top w:val="single" w:color="auto" w:sz="8" w:space="0"/>
              <w:left w:val="single" w:color="auto" w:sz="8" w:space="0"/>
              <w:bottom w:val="nil"/>
              <w:right w:val="nil"/>
            </w:tcBorders>
            <w:shd w:val="clear" w:color="auto" w:fill="FFFFFF"/>
            <w:tcMar>
              <w:left w:w="10" w:type="dxa"/>
              <w:right w:w="1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color w:val="000000"/>
                <w:sz w:val="18"/>
                <w:szCs w:val="18"/>
              </w:rPr>
              <w:t>4.</w:t>
            </w:r>
            <w:r>
              <w:rPr>
                <w:rFonts w:hint="default" w:ascii="Times New Roman" w:hAnsi="Times New Roman" w:eastAsia="仿宋_GB2312" w:cs="Times New Roman"/>
                <w:color w:val="000000"/>
                <w:sz w:val="18"/>
                <w:szCs w:val="18"/>
              </w:rPr>
              <w:t>无正当理由大量反复申请</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7" w:hRule="atLeast"/>
          <w:jc w:val="center"/>
        </w:trPr>
        <w:tc>
          <w:tcPr>
            <w:tcW w:w="520" w:type="dxa"/>
            <w:vMerge w:val="continue"/>
            <w:tcBorders>
              <w:top w:val="single" w:color="auto" w:sz="8" w:space="0"/>
              <w:left w:val="single" w:color="auto" w:sz="8" w:space="0"/>
              <w:bottom w:val="nil"/>
              <w:right w:val="nil"/>
            </w:tcBorders>
            <w:shd w:val="clear" w:color="auto" w:fill="FFFFFF"/>
            <w:tcMar>
              <w:left w:w="10" w:type="dxa"/>
              <w:right w:w="1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1420" w:type="dxa"/>
            <w:vMerge w:val="continue"/>
            <w:tcBorders>
              <w:top w:val="single" w:color="auto" w:sz="8" w:space="0"/>
              <w:left w:val="single" w:color="auto" w:sz="8" w:space="0"/>
              <w:bottom w:val="nil"/>
              <w:right w:val="nil"/>
            </w:tcBorders>
            <w:shd w:val="clear" w:color="auto" w:fill="FFFFFF"/>
            <w:tcMar>
              <w:left w:w="10" w:type="dxa"/>
              <w:right w:w="1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40" w:right="0" w:hanging="340"/>
              <w:jc w:val="both"/>
              <w:textAlignment w:val="auto"/>
              <w:rPr>
                <w:rFonts w:hint="default" w:ascii="Times New Roman" w:hAnsi="Times New Roman" w:cs="Times New Roman"/>
                <w:sz w:val="24"/>
                <w:szCs w:val="24"/>
              </w:rPr>
            </w:pPr>
            <w:r>
              <w:rPr>
                <w:rFonts w:hint="default" w:ascii="Times New Roman" w:hAnsi="Times New Roman" w:cs="Times New Roman"/>
                <w:color w:val="000000"/>
                <w:sz w:val="18"/>
                <w:szCs w:val="18"/>
              </w:rPr>
              <w:t>5.</w:t>
            </w:r>
            <w:r>
              <w:rPr>
                <w:rFonts w:hint="default" w:ascii="Times New Roman" w:hAnsi="Times New Roman" w:eastAsia="仿宋_GB2312" w:cs="Times New Roman"/>
                <w:color w:val="000000"/>
                <w:sz w:val="18"/>
                <w:szCs w:val="18"/>
              </w:rPr>
              <w:t>要求行政机关确认或重新出具已获取信息</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1" w:hRule="atLeast"/>
          <w:jc w:val="center"/>
        </w:trPr>
        <w:tc>
          <w:tcPr>
            <w:tcW w:w="520" w:type="dxa"/>
            <w:vMerge w:val="continue"/>
            <w:tcBorders>
              <w:top w:val="single" w:color="auto" w:sz="8" w:space="0"/>
              <w:left w:val="single" w:color="auto" w:sz="8" w:space="0"/>
              <w:bottom w:val="nil"/>
              <w:right w:val="nil"/>
            </w:tcBorders>
            <w:shd w:val="clear" w:color="auto" w:fill="FFFFFF"/>
            <w:tcMar>
              <w:left w:w="10" w:type="dxa"/>
              <w:right w:w="1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1420"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cs="Times New Roman"/>
                <w:sz w:val="24"/>
                <w:szCs w:val="24"/>
              </w:rPr>
            </w:pPr>
            <w:r>
              <w:rPr>
                <w:rFonts w:hint="default" w:ascii="Times New Roman" w:hAnsi="Times New Roman" w:eastAsia="黑体" w:cs="Times New Roman"/>
                <w:color w:val="000000"/>
                <w:sz w:val="18"/>
                <w:szCs w:val="18"/>
              </w:rPr>
              <w:t>（六）其他处理</w:t>
            </w: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sz w:val="24"/>
                <w:szCs w:val="24"/>
              </w:rPr>
            </w:pPr>
            <w:r>
              <w:rPr>
                <w:rFonts w:hint="default" w:ascii="Times New Roman" w:hAnsi="Times New Roman" w:cs="Times New Roman"/>
                <w:color w:val="000000"/>
                <w:sz w:val="18"/>
                <w:szCs w:val="18"/>
              </w:rPr>
              <w:t>1.</w:t>
            </w:r>
            <w:r>
              <w:rPr>
                <w:rFonts w:hint="default" w:ascii="Times New Roman" w:hAnsi="Times New Roman" w:eastAsia="仿宋_GB2312" w:cs="Times New Roman"/>
                <w:color w:val="000000"/>
                <w:sz w:val="18"/>
                <w:szCs w:val="18"/>
              </w:rPr>
              <w:t>申请人无正当理由逾期不补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sz w:val="24"/>
                <w:szCs w:val="24"/>
              </w:rPr>
            </w:pPr>
            <w:r>
              <w:rPr>
                <w:rFonts w:hint="default" w:ascii="Times New Roman" w:hAnsi="Times New Roman" w:eastAsia="仿宋_GB2312" w:cs="Times New Roman"/>
                <w:color w:val="000000"/>
                <w:sz w:val="18"/>
                <w:szCs w:val="18"/>
              </w:rPr>
              <w:t>正、行政机关不再处理其政府信息公开申请</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1" w:hRule="atLeast"/>
          <w:jc w:val="center"/>
        </w:trPr>
        <w:tc>
          <w:tcPr>
            <w:tcW w:w="520" w:type="dxa"/>
            <w:vMerge w:val="continue"/>
            <w:tcBorders>
              <w:top w:val="single" w:color="auto" w:sz="8" w:space="0"/>
              <w:left w:val="single" w:color="auto" w:sz="8" w:space="0"/>
              <w:bottom w:val="nil"/>
              <w:right w:val="nil"/>
            </w:tcBorders>
            <w:shd w:val="clear" w:color="auto" w:fill="FFFFFF"/>
            <w:tcMar>
              <w:left w:w="10" w:type="dxa"/>
              <w:right w:w="1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1420"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cs="Times New Roman"/>
                <w:sz w:val="24"/>
                <w:szCs w:val="24"/>
              </w:rPr>
            </w:pPr>
            <w:r>
              <w:rPr>
                <w:rFonts w:hint="default" w:ascii="Times New Roman" w:hAnsi="Times New Roman" w:cs="Times New Roman"/>
                <w:color w:val="000000"/>
                <w:sz w:val="18"/>
                <w:szCs w:val="18"/>
              </w:rPr>
              <w:t> </w:t>
            </w: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sz w:val="24"/>
                <w:szCs w:val="24"/>
              </w:rPr>
            </w:pPr>
            <w:r>
              <w:rPr>
                <w:rFonts w:hint="default" w:ascii="Times New Roman" w:hAnsi="Times New Roman" w:cs="Times New Roman"/>
                <w:color w:val="000000"/>
                <w:sz w:val="18"/>
                <w:szCs w:val="18"/>
              </w:rPr>
              <w:t>2.</w:t>
            </w:r>
            <w:r>
              <w:rPr>
                <w:rFonts w:hint="default" w:ascii="Times New Roman" w:hAnsi="Times New Roman" w:eastAsia="仿宋_GB2312" w:cs="Times New Roman"/>
                <w:color w:val="000000"/>
                <w:sz w:val="18"/>
                <w:szCs w:val="18"/>
              </w:rPr>
              <w:t>申请人逾期未按收费通知要求缴纳费用、行政机关不再处理其政府信息公开申请</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520" w:type="dxa"/>
            <w:vMerge w:val="continue"/>
            <w:tcBorders>
              <w:top w:val="single" w:color="auto" w:sz="8" w:space="0"/>
              <w:left w:val="single" w:color="auto" w:sz="8" w:space="0"/>
              <w:bottom w:val="nil"/>
              <w:right w:val="nil"/>
            </w:tcBorders>
            <w:shd w:val="clear" w:color="auto" w:fill="FFFFFF"/>
            <w:tcMar>
              <w:left w:w="10" w:type="dxa"/>
              <w:right w:w="1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1420"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cs="Times New Roman"/>
                <w:sz w:val="24"/>
                <w:szCs w:val="24"/>
              </w:rPr>
            </w:pPr>
            <w:r>
              <w:rPr>
                <w:rFonts w:hint="default" w:ascii="Times New Roman" w:hAnsi="Times New Roman" w:cs="Times New Roman"/>
                <w:color w:val="000000"/>
                <w:sz w:val="20"/>
                <w:szCs w:val="20"/>
              </w:rPr>
              <w:t> </w:t>
            </w:r>
          </w:p>
        </w:tc>
        <w:tc>
          <w:tcPr>
            <w:tcW w:w="2722" w:type="dxa"/>
            <w:tcBorders>
              <w:top w:val="single" w:color="auto" w:sz="8" w:space="0"/>
              <w:left w:val="single" w:color="auto" w:sz="8" w:space="0"/>
              <w:bottom w:val="single" w:color="auto" w:sz="4" w:space="0"/>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sz w:val="24"/>
                <w:szCs w:val="24"/>
              </w:rPr>
            </w:pPr>
            <w:r>
              <w:rPr>
                <w:rFonts w:hint="default" w:ascii="Times New Roman" w:hAnsi="Times New Roman" w:cs="Times New Roman"/>
                <w:color w:val="000000"/>
                <w:sz w:val="18"/>
                <w:szCs w:val="18"/>
              </w:rPr>
              <w:t>3.</w:t>
            </w:r>
            <w:r>
              <w:rPr>
                <w:rFonts w:hint="default" w:ascii="Times New Roman" w:hAnsi="Times New Roman" w:eastAsia="仿宋_GB2312" w:cs="Times New Roman"/>
                <w:color w:val="000000"/>
                <w:sz w:val="18"/>
                <w:szCs w:val="18"/>
              </w:rPr>
              <w:t>其他</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520" w:type="dxa"/>
            <w:vMerge w:val="continue"/>
            <w:tcBorders>
              <w:top w:val="single" w:color="auto" w:sz="8" w:space="0"/>
              <w:left w:val="single" w:color="auto" w:sz="8" w:space="0"/>
              <w:bottom w:val="nil"/>
              <w:right w:val="nil"/>
            </w:tcBorders>
            <w:shd w:val="clear" w:color="auto" w:fill="FFFFFF"/>
            <w:tcMar>
              <w:left w:w="10" w:type="dxa"/>
              <w:right w:w="1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4142" w:type="dxa"/>
            <w:gridSpan w:val="2"/>
            <w:tcBorders>
              <w:top w:val="single" w:color="auto" w:sz="8" w:space="0"/>
              <w:left w:val="single" w:color="auto" w:sz="8" w:space="0"/>
              <w:bottom w:val="single" w:color="auto" w:sz="4" w:space="0"/>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cs="Times New Roman"/>
                <w:sz w:val="24"/>
                <w:szCs w:val="24"/>
              </w:rPr>
            </w:pPr>
            <w:r>
              <w:rPr>
                <w:rFonts w:hint="default" w:ascii="Times New Roman" w:hAnsi="Times New Roman" w:eastAsia="黑体" w:cs="Times New Roman"/>
                <w:color w:val="000000"/>
                <w:sz w:val="20"/>
                <w:szCs w:val="20"/>
              </w:rPr>
              <w:t>（七）总计</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eastAsiaTheme="minorEastAsia"/>
                <w:sz w:val="24"/>
                <w:szCs w:val="24"/>
                <w:lang w:eastAsia="zh-CN"/>
              </w:rPr>
            </w:pPr>
            <w:r>
              <w:rPr>
                <w:rFonts w:hint="default" w:ascii="Times New Roman" w:hAnsi="Times New Roman" w:eastAsia="仿宋_GB2312" w:cs="Times New Roman"/>
                <w:color w:val="000000"/>
                <w:sz w:val="24"/>
                <w:szCs w:val="24"/>
                <w:lang w:val="en-US" w:eastAsia="zh-CN"/>
              </w:rPr>
              <w:t>8</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eastAsiaTheme="minorEastAsia"/>
                <w:sz w:val="24"/>
                <w:szCs w:val="24"/>
                <w:lang w:eastAsia="zh-CN"/>
              </w:rPr>
            </w:pPr>
            <w:r>
              <w:rPr>
                <w:rFonts w:hint="default" w:ascii="Times New Roman" w:hAnsi="Times New Roman" w:eastAsia="仿宋_GB2312" w:cs="Times New Roman"/>
                <w:color w:val="000000"/>
                <w:sz w:val="24"/>
                <w:szCs w:val="24"/>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4662" w:type="dxa"/>
            <w:gridSpan w:val="3"/>
            <w:tcBorders>
              <w:top w:val="single" w:color="auto" w:sz="8" w:space="0"/>
              <w:left w:val="single" w:color="auto" w:sz="8" w:space="0"/>
              <w:bottom w:val="single" w:color="auto" w:sz="8" w:space="0"/>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cs="Times New Roman"/>
                <w:sz w:val="24"/>
                <w:szCs w:val="24"/>
              </w:rPr>
            </w:pPr>
            <w:r>
              <w:rPr>
                <w:rFonts w:hint="default" w:ascii="Times New Roman" w:hAnsi="Times New Roman" w:eastAsia="黑体" w:cs="Times New Roman"/>
                <w:color w:val="000000"/>
                <w:sz w:val="20"/>
                <w:szCs w:val="20"/>
              </w:rPr>
              <w:t>四、结转下年度继续办理</w:t>
            </w:r>
          </w:p>
        </w:tc>
        <w:tc>
          <w:tcPr>
            <w:tcW w:w="627" w:type="dxa"/>
            <w:tcBorders>
              <w:top w:val="single" w:color="auto" w:sz="8" w:space="0"/>
              <w:left w:val="single" w:color="auto" w:sz="8" w:space="0"/>
              <w:bottom w:val="single" w:color="auto" w:sz="8" w:space="0"/>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color w:val="000000"/>
                <w:sz w:val="24"/>
                <w:szCs w:val="24"/>
                <w:lang w:val="en-US" w:eastAsia="zh-CN"/>
              </w:rPr>
              <w:t>2</w:t>
            </w:r>
          </w:p>
        </w:tc>
        <w:tc>
          <w:tcPr>
            <w:tcW w:w="565" w:type="dxa"/>
            <w:tcBorders>
              <w:top w:val="single" w:color="auto" w:sz="8" w:space="0"/>
              <w:left w:val="single" w:color="auto" w:sz="8" w:space="0"/>
              <w:bottom w:val="single" w:color="auto" w:sz="8" w:space="0"/>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4" w:type="dxa"/>
            <w:tcBorders>
              <w:top w:val="single" w:color="auto" w:sz="8" w:space="0"/>
              <w:left w:val="single" w:color="auto" w:sz="8" w:space="0"/>
              <w:bottom w:val="single" w:color="auto" w:sz="8" w:space="0"/>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9" w:type="dxa"/>
            <w:tcBorders>
              <w:top w:val="single" w:color="auto" w:sz="8" w:space="0"/>
              <w:left w:val="single" w:color="auto" w:sz="8" w:space="0"/>
              <w:bottom w:val="single" w:color="auto" w:sz="8" w:space="0"/>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8" w:type="dxa"/>
            <w:tcBorders>
              <w:top w:val="single" w:color="auto" w:sz="8" w:space="0"/>
              <w:left w:val="single" w:color="auto" w:sz="8" w:space="0"/>
              <w:bottom w:val="single" w:color="auto" w:sz="8" w:space="0"/>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8" w:type="dxa"/>
            <w:tcBorders>
              <w:top w:val="single" w:color="auto" w:sz="8" w:space="0"/>
              <w:left w:val="single" w:color="auto" w:sz="8" w:space="0"/>
              <w:bottom w:val="single" w:color="auto" w:sz="8" w:space="0"/>
              <w:right w:val="nil"/>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637" w:type="dxa"/>
            <w:tcBorders>
              <w:top w:val="single" w:color="auto" w:sz="8" w:space="0"/>
              <w:left w:val="single" w:color="auto" w:sz="8" w:space="0"/>
              <w:bottom w:val="single" w:color="auto" w:sz="8" w:space="0"/>
              <w:right w:val="single" w:color="auto" w:sz="8" w:space="0"/>
            </w:tcBorders>
            <w:shd w:val="clear" w:color="auto" w:fill="FFFFFF"/>
            <w:tcMar>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color w:val="000000"/>
                <w:sz w:val="24"/>
                <w:szCs w:val="24"/>
                <w:lang w:val="en-US" w:eastAsia="zh-CN"/>
              </w:rPr>
              <w:t>2</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四、因政府信息公开工作被申请行政复议、提起行政诉讼情况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imes New Roman" w:hAnsi="Times New Roman" w:eastAsia="微软雅黑" w:cs="Times New Roman"/>
          <w:i w:val="0"/>
          <w:iCs w:val="0"/>
          <w:caps w:val="0"/>
          <w:color w:val="000000"/>
          <w:spacing w:val="0"/>
          <w:sz w:val="32"/>
          <w:szCs w:val="32"/>
        </w:rPr>
      </w:pPr>
      <w:r>
        <w:rPr>
          <w:rFonts w:hint="default" w:ascii="Times New Roman" w:hAnsi="Times New Roman" w:eastAsia="微软雅黑" w:cs="Times New Roman"/>
          <w:i w:val="0"/>
          <w:iCs w:val="0"/>
          <w:caps w:val="0"/>
          <w:color w:val="000000"/>
          <w:spacing w:val="0"/>
          <w:sz w:val="32"/>
          <w:szCs w:val="32"/>
        </w:rPr>
        <w:t> </w:t>
      </w:r>
    </w:p>
    <w:tbl>
      <w:tblPr>
        <w:tblStyle w:val="4"/>
        <w:tblW w:w="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61"/>
        <w:gridCol w:w="561"/>
        <w:gridCol w:w="561"/>
        <w:gridCol w:w="562"/>
        <w:gridCol w:w="635"/>
        <w:gridCol w:w="518"/>
        <w:gridCol w:w="563"/>
        <w:gridCol w:w="563"/>
        <w:gridCol w:w="563"/>
        <w:gridCol w:w="591"/>
        <w:gridCol w:w="563"/>
        <w:gridCol w:w="563"/>
        <w:gridCol w:w="563"/>
        <w:gridCol w:w="563"/>
        <w:gridCol w:w="592"/>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647" w:hRule="atLeast"/>
          <w:jc w:val="center"/>
        </w:trPr>
        <w:tc>
          <w:tcPr>
            <w:tcW w:w="3151" w:type="dxa"/>
            <w:gridSpan w:val="5"/>
            <w:tcBorders>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黑体" w:cs="Times New Roman"/>
                <w:color w:val="000000"/>
                <w:sz w:val="24"/>
                <w:szCs w:val="24"/>
              </w:rPr>
              <w:t>行政复议</w:t>
            </w:r>
          </w:p>
        </w:tc>
        <w:tc>
          <w:tcPr>
            <w:tcW w:w="6148" w:type="dxa"/>
            <w:gridSpan w:val="10"/>
            <w:tcBorders>
              <w:left w:val="nil"/>
              <w:bottom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黑体" w:cs="Times New Roman"/>
                <w:color w:val="000000"/>
                <w:sz w:val="24"/>
                <w:szCs w:val="24"/>
              </w:rPr>
              <w:t>行政诉讼</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647" w:hRule="atLeast"/>
          <w:jc w:val="center"/>
        </w:trPr>
        <w:tc>
          <w:tcPr>
            <w:tcW w:w="618" w:type="dxa"/>
            <w:vMerge w:val="restart"/>
            <w:tcBorders>
              <w:top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70" w:right="-194"/>
              <w:jc w:val="center"/>
              <w:textAlignment w:val="auto"/>
              <w:rPr>
                <w:rFonts w:hint="default" w:ascii="Times New Roman" w:hAnsi="Times New Roman" w:cs="Times New Roman"/>
                <w:sz w:val="24"/>
                <w:szCs w:val="24"/>
              </w:rPr>
            </w:pPr>
            <w:r>
              <w:rPr>
                <w:rFonts w:hint="default" w:ascii="Times New Roman" w:hAnsi="Times New Roman" w:eastAsia="黑体" w:cs="Times New Roman"/>
                <w:color w:val="000000"/>
                <w:sz w:val="24"/>
                <w:szCs w:val="24"/>
              </w:rPr>
              <w:t>结果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70" w:right="-194"/>
              <w:jc w:val="center"/>
              <w:textAlignment w:val="auto"/>
              <w:rPr>
                <w:rFonts w:hint="default" w:ascii="Times New Roman" w:hAnsi="Times New Roman" w:cs="Times New Roman"/>
                <w:sz w:val="24"/>
                <w:szCs w:val="24"/>
              </w:rPr>
            </w:pPr>
            <w:r>
              <w:rPr>
                <w:rFonts w:hint="default" w:ascii="Times New Roman" w:hAnsi="Times New Roman" w:eastAsia="黑体" w:cs="Times New Roman"/>
                <w:color w:val="000000"/>
                <w:sz w:val="24"/>
                <w:szCs w:val="24"/>
              </w:rPr>
              <w:t>维持</w:t>
            </w:r>
          </w:p>
        </w:tc>
        <w:tc>
          <w:tcPr>
            <w:tcW w:w="61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9" w:right="-151" w:hanging="1"/>
              <w:jc w:val="center"/>
              <w:textAlignment w:val="auto"/>
              <w:rPr>
                <w:rFonts w:hint="default" w:ascii="Times New Roman" w:hAnsi="Times New Roman" w:cs="Times New Roman"/>
                <w:sz w:val="24"/>
                <w:szCs w:val="24"/>
              </w:rPr>
            </w:pPr>
            <w:r>
              <w:rPr>
                <w:rFonts w:hint="default" w:ascii="Times New Roman" w:hAnsi="Times New Roman" w:eastAsia="黑体" w:cs="Times New Roman"/>
                <w:color w:val="000000"/>
                <w:sz w:val="24"/>
                <w:szCs w:val="24"/>
              </w:rPr>
              <w:t>结果纠正</w:t>
            </w:r>
          </w:p>
        </w:tc>
        <w:tc>
          <w:tcPr>
            <w:tcW w:w="61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94" w:right="-110"/>
              <w:jc w:val="center"/>
              <w:textAlignment w:val="auto"/>
              <w:rPr>
                <w:rFonts w:hint="default" w:ascii="Times New Roman" w:hAnsi="Times New Roman" w:cs="Times New Roman"/>
                <w:sz w:val="24"/>
                <w:szCs w:val="24"/>
              </w:rPr>
            </w:pPr>
            <w:r>
              <w:rPr>
                <w:rFonts w:hint="default" w:ascii="Times New Roman" w:hAnsi="Times New Roman" w:eastAsia="黑体" w:cs="Times New Roman"/>
                <w:color w:val="000000"/>
                <w:sz w:val="24"/>
                <w:szCs w:val="24"/>
              </w:rPr>
              <w:t>其他结果</w:t>
            </w:r>
          </w:p>
        </w:tc>
        <w:tc>
          <w:tcPr>
            <w:tcW w:w="61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34" w:right="-134"/>
              <w:jc w:val="center"/>
              <w:textAlignment w:val="auto"/>
              <w:rPr>
                <w:rFonts w:hint="default" w:ascii="Times New Roman" w:hAnsi="Times New Roman" w:cs="Times New Roman"/>
                <w:sz w:val="24"/>
                <w:szCs w:val="24"/>
              </w:rPr>
            </w:pPr>
            <w:r>
              <w:rPr>
                <w:rFonts w:hint="default" w:ascii="Times New Roman" w:hAnsi="Times New Roman" w:eastAsia="黑体" w:cs="Times New Roman"/>
                <w:color w:val="000000"/>
                <w:sz w:val="24"/>
                <w:szCs w:val="24"/>
              </w:rPr>
              <w:t>尚未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34" w:right="-134"/>
              <w:jc w:val="center"/>
              <w:textAlignment w:val="auto"/>
              <w:rPr>
                <w:rFonts w:hint="default" w:ascii="Times New Roman" w:hAnsi="Times New Roman" w:cs="Times New Roman"/>
                <w:sz w:val="24"/>
                <w:szCs w:val="24"/>
              </w:rPr>
            </w:pPr>
            <w:r>
              <w:rPr>
                <w:rFonts w:hint="default" w:ascii="Times New Roman" w:hAnsi="Times New Roman" w:eastAsia="黑体" w:cs="Times New Roman"/>
                <w:color w:val="000000"/>
                <w:sz w:val="24"/>
                <w:szCs w:val="24"/>
              </w:rPr>
              <w:t>审结</w:t>
            </w:r>
          </w:p>
        </w:tc>
        <w:tc>
          <w:tcPr>
            <w:tcW w:w="679"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黑体" w:cs="Times New Roman"/>
                <w:color w:val="000000"/>
                <w:sz w:val="24"/>
                <w:szCs w:val="24"/>
              </w:rPr>
              <w:t>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黑体" w:cs="Times New Roman"/>
                <w:color w:val="000000"/>
                <w:sz w:val="24"/>
                <w:szCs w:val="24"/>
              </w:rPr>
              <w:t>计</w:t>
            </w:r>
          </w:p>
        </w:tc>
        <w:tc>
          <w:tcPr>
            <w:tcW w:w="304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黑体" w:cs="Times New Roman"/>
                <w:color w:val="000000"/>
                <w:sz w:val="24"/>
                <w:szCs w:val="24"/>
              </w:rPr>
              <w:t>未经复议直接起诉</w:t>
            </w:r>
          </w:p>
        </w:tc>
        <w:tc>
          <w:tcPr>
            <w:tcW w:w="3103" w:type="dxa"/>
            <w:gridSpan w:val="5"/>
            <w:tcBorders>
              <w:top w:val="single" w:color="auto" w:sz="8" w:space="0"/>
              <w:left w:val="nil"/>
              <w:bottom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黑体" w:cs="Times New Roman"/>
                <w:color w:val="000000"/>
                <w:sz w:val="24"/>
                <w:szCs w:val="24"/>
              </w:rPr>
              <w:t>复议后起诉</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1252" w:hRule="atLeast"/>
          <w:jc w:val="center"/>
        </w:trPr>
        <w:tc>
          <w:tcPr>
            <w:tcW w:w="618" w:type="dxa"/>
            <w:vMerge w:val="continue"/>
            <w:tcBorders>
              <w:top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6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61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61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679"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56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20" w:right="-144"/>
              <w:jc w:val="center"/>
              <w:textAlignment w:val="auto"/>
              <w:rPr>
                <w:rFonts w:hint="default" w:ascii="Times New Roman" w:hAnsi="Times New Roman" w:cs="Times New Roman"/>
                <w:sz w:val="24"/>
                <w:szCs w:val="24"/>
              </w:rPr>
            </w:pPr>
            <w:r>
              <w:rPr>
                <w:rFonts w:hint="default" w:ascii="Times New Roman" w:hAnsi="Times New Roman" w:eastAsia="黑体" w:cs="Times New Roman"/>
                <w:color w:val="000000"/>
                <w:sz w:val="24"/>
                <w:szCs w:val="24"/>
              </w:rPr>
              <w:t>结果维持</w:t>
            </w:r>
          </w:p>
        </w:tc>
        <w:tc>
          <w:tcPr>
            <w:tcW w:w="6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98" w:right="-101"/>
              <w:jc w:val="center"/>
              <w:textAlignment w:val="auto"/>
              <w:rPr>
                <w:rFonts w:hint="default" w:ascii="Times New Roman" w:hAnsi="Times New Roman" w:cs="Times New Roman"/>
                <w:sz w:val="24"/>
                <w:szCs w:val="24"/>
              </w:rPr>
            </w:pPr>
            <w:r>
              <w:rPr>
                <w:rFonts w:hint="default" w:ascii="Times New Roman" w:hAnsi="Times New Roman" w:eastAsia="黑体" w:cs="Times New Roman"/>
                <w:color w:val="000000"/>
                <w:sz w:val="24"/>
                <w:szCs w:val="24"/>
              </w:rPr>
              <w:t>结果纠正</w:t>
            </w:r>
          </w:p>
        </w:tc>
        <w:tc>
          <w:tcPr>
            <w:tcW w:w="61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44" w:right="-156"/>
              <w:jc w:val="center"/>
              <w:textAlignment w:val="auto"/>
              <w:rPr>
                <w:rFonts w:hint="default" w:ascii="Times New Roman" w:hAnsi="Times New Roman" w:cs="Times New Roman"/>
                <w:sz w:val="24"/>
                <w:szCs w:val="24"/>
              </w:rPr>
            </w:pPr>
            <w:r>
              <w:rPr>
                <w:rFonts w:hint="default" w:ascii="Times New Roman" w:hAnsi="Times New Roman" w:eastAsia="黑体" w:cs="Times New Roman"/>
                <w:color w:val="000000"/>
                <w:sz w:val="24"/>
                <w:szCs w:val="24"/>
              </w:rPr>
              <w:t>其他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44" w:right="-156"/>
              <w:jc w:val="center"/>
              <w:textAlignment w:val="auto"/>
              <w:rPr>
                <w:rFonts w:hint="default" w:ascii="Times New Roman" w:hAnsi="Times New Roman" w:cs="Times New Roman"/>
                <w:sz w:val="24"/>
                <w:szCs w:val="24"/>
              </w:rPr>
            </w:pPr>
            <w:r>
              <w:rPr>
                <w:rFonts w:hint="default" w:ascii="Times New Roman" w:hAnsi="Times New Roman" w:eastAsia="黑体" w:cs="Times New Roman"/>
                <w:color w:val="000000"/>
                <w:sz w:val="24"/>
                <w:szCs w:val="24"/>
              </w:rPr>
              <w:t>结果</w:t>
            </w:r>
          </w:p>
        </w:tc>
        <w:tc>
          <w:tcPr>
            <w:tcW w:w="61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87" w:right="-175"/>
              <w:jc w:val="center"/>
              <w:textAlignment w:val="auto"/>
              <w:rPr>
                <w:rFonts w:hint="default" w:ascii="Times New Roman" w:hAnsi="Times New Roman" w:cs="Times New Roman"/>
                <w:sz w:val="24"/>
                <w:szCs w:val="24"/>
              </w:rPr>
            </w:pPr>
            <w:r>
              <w:rPr>
                <w:rFonts w:hint="default" w:ascii="Times New Roman" w:hAnsi="Times New Roman" w:eastAsia="黑体" w:cs="Times New Roman"/>
                <w:color w:val="000000"/>
                <w:sz w:val="24"/>
                <w:szCs w:val="24"/>
              </w:rPr>
              <w:t>尚未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87" w:right="-175"/>
              <w:jc w:val="center"/>
              <w:textAlignment w:val="auto"/>
              <w:rPr>
                <w:rFonts w:hint="default" w:ascii="Times New Roman" w:hAnsi="Times New Roman" w:cs="Times New Roman"/>
                <w:sz w:val="24"/>
                <w:szCs w:val="24"/>
              </w:rPr>
            </w:pPr>
            <w:r>
              <w:rPr>
                <w:rFonts w:hint="default" w:ascii="Times New Roman" w:hAnsi="Times New Roman" w:eastAsia="黑体" w:cs="Times New Roman"/>
                <w:color w:val="000000"/>
                <w:sz w:val="24"/>
                <w:szCs w:val="24"/>
              </w:rPr>
              <w:t>审结</w:t>
            </w:r>
          </w:p>
        </w:tc>
        <w:tc>
          <w:tcPr>
            <w:tcW w:w="62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黑体" w:cs="Times New Roman"/>
                <w:color w:val="000000"/>
                <w:sz w:val="24"/>
                <w:szCs w:val="24"/>
              </w:rPr>
              <w:t>总计</w:t>
            </w:r>
          </w:p>
        </w:tc>
        <w:tc>
          <w:tcPr>
            <w:tcW w:w="61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13" w:right="-89"/>
              <w:jc w:val="center"/>
              <w:textAlignment w:val="auto"/>
              <w:rPr>
                <w:rFonts w:hint="default" w:ascii="Times New Roman" w:hAnsi="Times New Roman" w:cs="Times New Roman"/>
                <w:sz w:val="24"/>
                <w:szCs w:val="24"/>
              </w:rPr>
            </w:pPr>
            <w:r>
              <w:rPr>
                <w:rFonts w:hint="default" w:ascii="Times New Roman" w:hAnsi="Times New Roman" w:eastAsia="黑体" w:cs="Times New Roman"/>
                <w:color w:val="000000"/>
                <w:sz w:val="24"/>
                <w:szCs w:val="24"/>
              </w:rPr>
              <w:t>结果维持</w:t>
            </w:r>
          </w:p>
        </w:tc>
        <w:tc>
          <w:tcPr>
            <w:tcW w:w="61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6" w:right="-142"/>
              <w:jc w:val="center"/>
              <w:textAlignment w:val="auto"/>
              <w:rPr>
                <w:rFonts w:hint="default" w:ascii="Times New Roman" w:hAnsi="Times New Roman" w:cs="Times New Roman"/>
                <w:sz w:val="24"/>
                <w:szCs w:val="24"/>
              </w:rPr>
            </w:pPr>
            <w:r>
              <w:rPr>
                <w:rFonts w:hint="default" w:ascii="Times New Roman" w:hAnsi="Times New Roman" w:eastAsia="黑体" w:cs="Times New Roman"/>
                <w:color w:val="000000"/>
                <w:sz w:val="24"/>
                <w:szCs w:val="24"/>
              </w:rPr>
              <w:t>结果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6" w:right="-142"/>
              <w:jc w:val="center"/>
              <w:textAlignment w:val="auto"/>
              <w:rPr>
                <w:rFonts w:hint="default" w:ascii="Times New Roman" w:hAnsi="Times New Roman" w:cs="Times New Roman"/>
                <w:sz w:val="24"/>
                <w:szCs w:val="24"/>
              </w:rPr>
            </w:pPr>
            <w:r>
              <w:rPr>
                <w:rFonts w:hint="default" w:ascii="Times New Roman" w:hAnsi="Times New Roman" w:eastAsia="黑体" w:cs="Times New Roman"/>
                <w:color w:val="000000"/>
                <w:sz w:val="24"/>
                <w:szCs w:val="24"/>
              </w:rPr>
              <w:t>纠正</w:t>
            </w:r>
          </w:p>
        </w:tc>
        <w:tc>
          <w:tcPr>
            <w:tcW w:w="61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98" w:right="-154" w:hanging="1"/>
              <w:jc w:val="center"/>
              <w:textAlignment w:val="auto"/>
              <w:rPr>
                <w:rFonts w:hint="default" w:ascii="Times New Roman" w:hAnsi="Times New Roman" w:cs="Times New Roman"/>
                <w:sz w:val="24"/>
                <w:szCs w:val="24"/>
              </w:rPr>
            </w:pPr>
            <w:r>
              <w:rPr>
                <w:rFonts w:hint="default" w:ascii="Times New Roman" w:hAnsi="Times New Roman" w:eastAsia="黑体" w:cs="Times New Roman"/>
                <w:color w:val="000000"/>
                <w:sz w:val="24"/>
                <w:szCs w:val="24"/>
              </w:rPr>
              <w:t>其他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98" w:right="-154" w:hanging="1"/>
              <w:jc w:val="center"/>
              <w:textAlignment w:val="auto"/>
              <w:rPr>
                <w:rFonts w:hint="default" w:ascii="Times New Roman" w:hAnsi="Times New Roman" w:cs="Times New Roman"/>
                <w:sz w:val="24"/>
                <w:szCs w:val="24"/>
              </w:rPr>
            </w:pPr>
            <w:r>
              <w:rPr>
                <w:rFonts w:hint="default" w:ascii="Times New Roman" w:hAnsi="Times New Roman" w:eastAsia="黑体" w:cs="Times New Roman"/>
                <w:color w:val="000000"/>
                <w:sz w:val="24"/>
                <w:szCs w:val="24"/>
              </w:rPr>
              <w:t>结果</w:t>
            </w:r>
          </w:p>
        </w:tc>
        <w:tc>
          <w:tcPr>
            <w:tcW w:w="62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77" w:right="-120" w:hanging="2"/>
              <w:jc w:val="center"/>
              <w:textAlignment w:val="auto"/>
              <w:rPr>
                <w:rFonts w:hint="default" w:ascii="Times New Roman" w:hAnsi="Times New Roman" w:cs="Times New Roman"/>
                <w:sz w:val="24"/>
                <w:szCs w:val="24"/>
              </w:rPr>
            </w:pPr>
            <w:r>
              <w:rPr>
                <w:rFonts w:hint="default" w:ascii="Times New Roman" w:hAnsi="Times New Roman" w:eastAsia="黑体" w:cs="Times New Roman"/>
                <w:color w:val="000000"/>
                <w:sz w:val="24"/>
                <w:szCs w:val="24"/>
              </w:rPr>
              <w:t>尚未审结</w:t>
            </w:r>
          </w:p>
        </w:tc>
        <w:tc>
          <w:tcPr>
            <w:tcW w:w="626" w:type="dxa"/>
            <w:tcBorders>
              <w:top w:val="single" w:color="auto" w:sz="8" w:space="0"/>
              <w:left w:val="nil"/>
              <w:bottom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黑体" w:cs="Times New Roman"/>
                <w:color w:val="000000"/>
                <w:sz w:val="24"/>
                <w:szCs w:val="24"/>
              </w:rPr>
              <w:t>总计</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844" w:hRule="atLeast"/>
          <w:jc w:val="center"/>
        </w:trPr>
        <w:tc>
          <w:tcPr>
            <w:tcW w:w="618" w:type="dxa"/>
            <w:tcBorders>
              <w:top w:val="nil"/>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618" w:type="dxa"/>
            <w:tcBorders>
              <w:top w:val="nil"/>
              <w:left w:val="nil"/>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618" w:type="dxa"/>
            <w:tcBorders>
              <w:top w:val="nil"/>
              <w:left w:val="nil"/>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618" w:type="dxa"/>
            <w:tcBorders>
              <w:top w:val="nil"/>
              <w:left w:val="nil"/>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679" w:type="dxa"/>
            <w:tcBorders>
              <w:top w:val="nil"/>
              <w:left w:val="nil"/>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563" w:type="dxa"/>
            <w:tcBorders>
              <w:top w:val="nil"/>
              <w:left w:val="nil"/>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619" w:type="dxa"/>
            <w:tcBorders>
              <w:top w:val="nil"/>
              <w:left w:val="nil"/>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619" w:type="dxa"/>
            <w:tcBorders>
              <w:top w:val="nil"/>
              <w:left w:val="nil"/>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619" w:type="dxa"/>
            <w:tcBorders>
              <w:top w:val="nil"/>
              <w:left w:val="nil"/>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625" w:type="dxa"/>
            <w:tcBorders>
              <w:top w:val="nil"/>
              <w:left w:val="nil"/>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619" w:type="dxa"/>
            <w:tcBorders>
              <w:top w:val="nil"/>
              <w:left w:val="nil"/>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619" w:type="dxa"/>
            <w:tcBorders>
              <w:top w:val="nil"/>
              <w:left w:val="nil"/>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619" w:type="dxa"/>
            <w:tcBorders>
              <w:top w:val="nil"/>
              <w:left w:val="nil"/>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620" w:type="dxa"/>
            <w:tcBorders>
              <w:top w:val="nil"/>
              <w:left w:val="nil"/>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c>
          <w:tcPr>
            <w:tcW w:w="626" w:type="dxa"/>
            <w:tcBorders>
              <w:top w:val="nil"/>
              <w:left w:val="nil"/>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2023年，县政府办政务公开工作取得了一定成绩，但与上级的要求和社会的期望相比，还存在一些不足，如：精细化管理水平仍需提升、突破性创新工作仍需探索。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针对以上问题，</w:t>
      </w:r>
      <w:r>
        <w:rPr>
          <w:rFonts w:hint="default" w:ascii="Times New Roman" w:hAnsi="Times New Roman" w:eastAsia="仿宋_GB2312" w:cs="Times New Roman"/>
          <w:sz w:val="32"/>
          <w:szCs w:val="32"/>
          <w:highlight w:val="none"/>
          <w:lang w:val="en-US" w:eastAsia="zh-CN"/>
        </w:rPr>
        <w:t>县政府办公室</w:t>
      </w:r>
      <w:r>
        <w:rPr>
          <w:rFonts w:hint="eastAsia" w:ascii="Times New Roman" w:hAnsi="Times New Roman" w:eastAsia="仿宋_GB2312" w:cs="Times New Roman"/>
          <w:sz w:val="32"/>
          <w:szCs w:val="32"/>
          <w:highlight w:val="none"/>
          <w:lang w:val="en-US" w:eastAsia="zh-CN"/>
        </w:rPr>
        <w:t>努力</w:t>
      </w:r>
      <w:r>
        <w:rPr>
          <w:rFonts w:hint="default" w:ascii="Times New Roman" w:hAnsi="Times New Roman" w:eastAsia="仿宋_GB2312" w:cs="Times New Roman"/>
          <w:sz w:val="32"/>
          <w:szCs w:val="32"/>
          <w:highlight w:val="none"/>
          <w:lang w:val="en-US" w:eastAsia="zh-CN"/>
        </w:rPr>
        <w:t>提升政务公开质量，重点做好</w:t>
      </w:r>
      <w:r>
        <w:rPr>
          <w:rFonts w:hint="eastAsia" w:ascii="Times New Roman" w:hAnsi="Times New Roman" w:eastAsia="仿宋_GB2312" w:cs="Times New Roman"/>
          <w:sz w:val="32"/>
          <w:szCs w:val="32"/>
          <w:highlight w:val="none"/>
          <w:lang w:val="en-US" w:eastAsia="zh-CN"/>
        </w:rPr>
        <w:t>了</w:t>
      </w:r>
      <w:r>
        <w:rPr>
          <w:rFonts w:hint="default" w:ascii="Times New Roman" w:hAnsi="Times New Roman" w:eastAsia="仿宋_GB2312" w:cs="Times New Roman"/>
          <w:sz w:val="32"/>
          <w:szCs w:val="32"/>
          <w:highlight w:val="none"/>
          <w:lang w:val="en-US" w:eastAsia="zh-CN"/>
        </w:rPr>
        <w:t>以下几方面工作：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是加强规范管理。开展政务公开相关业务知识培训，提高各部门单位联络员工作能力和水平，严格通报、考核机制，督促各基层单位规范信息发布管理，及时更新法定主动公开内容，聚焦公众关心的热点和重点问题，提高政务公开工作内在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yellow"/>
          <w:lang w:val="en-US" w:eastAsia="zh-CN"/>
        </w:rPr>
      </w:pPr>
      <w:r>
        <w:rPr>
          <w:rFonts w:hint="default" w:ascii="Times New Roman" w:hAnsi="Times New Roman" w:eastAsia="仿宋_GB2312" w:cs="Times New Roman"/>
          <w:sz w:val="32"/>
          <w:szCs w:val="32"/>
          <w:highlight w:val="none"/>
          <w:lang w:val="en-US" w:eastAsia="zh-CN"/>
        </w:rPr>
        <w:t>二是加强内容保障。提高政策解读质量、丰富解读形式，着重解读惠民利民举措、新旧政策差异等内容，采用图文、视频、动画等形式多方位解读政策文件，使政策内涵透明、易懂，避免误解误读。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六、其他需要报告的事项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1、信息处理费收费情况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根据《国务院办公厅关于印发〈政府信息公开信息处理费管理办法〉的通知》（国办函〔2020〕109号）规定，本年度未收取任何政府信息公开信息处理费。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2、本年度建议提案办理情况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2023年</w:t>
      </w:r>
      <w:r>
        <w:rPr>
          <w:rFonts w:hint="eastAsia" w:ascii="Times New Roman" w:hAnsi="Times New Roman" w:eastAsia="仿宋_GB2312" w:cs="Times New Roman"/>
          <w:sz w:val="32"/>
          <w:szCs w:val="32"/>
          <w:highlight w:val="none"/>
          <w:lang w:val="en-US" w:eastAsia="zh-CN"/>
        </w:rPr>
        <w:t>沂源县人民政府办公室未收到人大代表建议办件，收到1件政协委员提案，因该提案性质属于依申请公开，故未在网站公开。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3、创新实践情况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一是加强队伍建设，持续开展政务公开业务轮训。为进一步加强政务公开工作队伍建设，有效提升全县政务公开工作人员业务能力，全年相继下发了《关于开展 2023 年政务公开轮训的通知》、《关于开展政务公开轮训的通知》，采取了“工作培训+反馈问题+业务指导”相结合的创新方式，</w:t>
      </w:r>
      <w:r>
        <w:rPr>
          <w:rFonts w:hint="default" w:ascii="Times New Roman" w:hAnsi="Times New Roman" w:eastAsia="仿宋_GB2312" w:cs="Times New Roman"/>
          <w:kern w:val="2"/>
          <w:sz w:val="32"/>
          <w:szCs w:val="32"/>
          <w:lang w:val="en-US" w:eastAsia="zh-CN" w:bidi="ar-SA"/>
        </w:rPr>
        <w:t>切实提升了全县政务公开工作队伍建设水平。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二是高质量推动政策文件库建设，提升政策文件公开规范化水平。在“政务公开”专栏“履职依据”栏目中设置“沂源县政策文件集中发布平台”、“政策问答平台”专栏，集中发布政策文件，提供标准电子文本word版和PDF版，为企业群众查阅下载文件提供便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4、落实上级工作情况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2023年，沂源县人民政府办公室按照《2023年沂源县政务公开工作方案》（源政办字〔2023〕25号）相关要求，着力夯实常态化工作基础，继续深化公共企事业单位信息公开，进一步巩固</w:t>
      </w:r>
      <w:r>
        <w:rPr>
          <w:rFonts w:hint="eastAsia" w:ascii="Times New Roman" w:hAnsi="Times New Roman" w:eastAsia="仿宋_GB2312" w:cs="Times New Roman"/>
          <w:sz w:val="32"/>
          <w:szCs w:val="32"/>
          <w:lang w:val="en-US" w:eastAsia="zh-CN"/>
        </w:rPr>
        <w:t>“管业务就要管公开”</w:t>
      </w:r>
      <w:r>
        <w:rPr>
          <w:rFonts w:hint="default" w:ascii="Times New Roman" w:hAnsi="Times New Roman" w:eastAsia="仿宋_GB2312" w:cs="Times New Roman"/>
          <w:sz w:val="32"/>
          <w:szCs w:val="32"/>
          <w:lang w:val="en-US" w:eastAsia="zh-CN"/>
        </w:rPr>
        <w:t>工作模式，围绕绿色低碳高质量发展、更高水平决策、政策解读回应等，推动政务公开工作基础巩固提升，助力打造法治政府、服务型政府、效能政府、数字政府、廉洁政府。</w:t>
      </w:r>
    </w:p>
    <w:sectPr>
      <w:pgSz w:w="11906" w:h="16838"/>
      <w:pgMar w:top="1497"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ZTZlZTA2ODdiNWMwZWQ3NzE1YzM4YzljOTg4ZTMifQ=="/>
  </w:docVars>
  <w:rsids>
    <w:rsidRoot w:val="36743A46"/>
    <w:rsid w:val="02A1111E"/>
    <w:rsid w:val="04C335CE"/>
    <w:rsid w:val="07CA07CF"/>
    <w:rsid w:val="0BB023D2"/>
    <w:rsid w:val="0DEE0F90"/>
    <w:rsid w:val="0FBD6E6C"/>
    <w:rsid w:val="10C06C14"/>
    <w:rsid w:val="11232CA0"/>
    <w:rsid w:val="11712CBB"/>
    <w:rsid w:val="11A976A8"/>
    <w:rsid w:val="121511E1"/>
    <w:rsid w:val="15712BD2"/>
    <w:rsid w:val="190D5892"/>
    <w:rsid w:val="192561AE"/>
    <w:rsid w:val="1A716EDA"/>
    <w:rsid w:val="1C9176B6"/>
    <w:rsid w:val="1D10714E"/>
    <w:rsid w:val="256D1E3D"/>
    <w:rsid w:val="25D52D09"/>
    <w:rsid w:val="26C8461C"/>
    <w:rsid w:val="27111B1F"/>
    <w:rsid w:val="2C701096"/>
    <w:rsid w:val="2CD51841"/>
    <w:rsid w:val="328F5FEE"/>
    <w:rsid w:val="343D03F7"/>
    <w:rsid w:val="34E24AFB"/>
    <w:rsid w:val="35D92266"/>
    <w:rsid w:val="361E7DB5"/>
    <w:rsid w:val="363C023B"/>
    <w:rsid w:val="36743A46"/>
    <w:rsid w:val="39ED1F78"/>
    <w:rsid w:val="3E4D56DB"/>
    <w:rsid w:val="3FEB6F5A"/>
    <w:rsid w:val="41B63446"/>
    <w:rsid w:val="43882D11"/>
    <w:rsid w:val="43E20A78"/>
    <w:rsid w:val="4CF907DC"/>
    <w:rsid w:val="4ED25CA6"/>
    <w:rsid w:val="50727DEE"/>
    <w:rsid w:val="517800FE"/>
    <w:rsid w:val="5217598C"/>
    <w:rsid w:val="52AA2CA4"/>
    <w:rsid w:val="53764934"/>
    <w:rsid w:val="568217A8"/>
    <w:rsid w:val="56FA587C"/>
    <w:rsid w:val="608A36C4"/>
    <w:rsid w:val="609520D5"/>
    <w:rsid w:val="60D1764E"/>
    <w:rsid w:val="67386679"/>
    <w:rsid w:val="6C6770B8"/>
    <w:rsid w:val="6D437B25"/>
    <w:rsid w:val="70757FF6"/>
    <w:rsid w:val="713F0604"/>
    <w:rsid w:val="72534367"/>
    <w:rsid w:val="72FD42D3"/>
    <w:rsid w:val="74602D6B"/>
    <w:rsid w:val="7778661E"/>
    <w:rsid w:val="7C6F7FEF"/>
    <w:rsid w:val="7F531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2024-01-26T02:34:00Z</dcterms:created>
  <dc:creator>♚KingLee</dc:creator>
  <cp:lastModifiedBy>♚KingLee</cp:lastModifiedBy>
  <dcterms:modified xsi:type="dcterms:W3CDTF">2024-01-31T02:00:50Z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19259482DDCC4D448CC0C4500C9A100F_11</vt:lpwstr>
  </property>
</Properties>
</file>