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368" w:lineRule="atLeast"/>
      </w:pPr>
      <w:r>
        <w:rPr>
          <w:rFonts w:ascii="微软雅黑" w:hAnsi="微软雅黑" w:eastAsia="微软雅黑" w:cs="微软雅黑"/>
          <w:sz w:val="24"/>
          <w:szCs w:val="24"/>
        </w:rPr>
        <w:t>YYDR-2016-0010005</w:t>
      </w:r>
    </w:p>
    <w:p>
      <w:pPr>
        <w:pStyle w:val="3"/>
        <w:keepNext w:val="0"/>
        <w:keepLines w:val="0"/>
        <w:widowControl/>
        <w:suppressLineNumbers w:val="0"/>
        <w:spacing w:line="368" w:lineRule="atLeast"/>
        <w:jc w:val="center"/>
      </w:pPr>
      <w:r>
        <w:t> </w:t>
      </w:r>
    </w:p>
    <w:p>
      <w:pPr>
        <w:pStyle w:val="3"/>
        <w:keepNext w:val="0"/>
        <w:keepLines w:val="0"/>
        <w:widowControl/>
        <w:suppressLineNumbers w:val="0"/>
        <w:spacing w:line="368" w:lineRule="atLeast"/>
        <w:jc w:val="center"/>
      </w:pPr>
      <w:bookmarkStart w:id="0" w:name="_GoBack"/>
      <w:r>
        <w:rPr>
          <w:rStyle w:val="6"/>
          <w:rFonts w:hint="eastAsia" w:ascii="微软雅黑" w:hAnsi="微软雅黑" w:eastAsia="微软雅黑" w:cs="微软雅黑"/>
          <w:sz w:val="36"/>
          <w:szCs w:val="36"/>
        </w:rPr>
        <w:t>沂源县人民政府</w:t>
      </w:r>
    </w:p>
    <w:p>
      <w:pPr>
        <w:pStyle w:val="3"/>
        <w:keepNext w:val="0"/>
        <w:keepLines w:val="0"/>
        <w:widowControl/>
        <w:suppressLineNumbers w:val="0"/>
        <w:spacing w:line="368" w:lineRule="atLeast"/>
        <w:jc w:val="center"/>
      </w:pPr>
      <w:r>
        <w:rPr>
          <w:rStyle w:val="6"/>
          <w:rFonts w:hint="eastAsia" w:ascii="微软雅黑" w:hAnsi="微软雅黑" w:eastAsia="微软雅黑" w:cs="微软雅黑"/>
          <w:sz w:val="36"/>
          <w:szCs w:val="36"/>
        </w:rPr>
        <w:t>关于印发沂源县地名管理办法的通知</w:t>
      </w:r>
    </w:p>
    <w:bookmarkEnd w:id="0"/>
    <w:p>
      <w:pPr>
        <w:pStyle w:val="3"/>
        <w:keepNext w:val="0"/>
        <w:keepLines w:val="0"/>
        <w:widowControl/>
        <w:suppressLineNumbers w:val="0"/>
        <w:spacing w:line="368" w:lineRule="atLeast"/>
        <w:jc w:val="center"/>
      </w:pPr>
      <w:r>
        <w:rPr>
          <w:rFonts w:hint="eastAsia" w:ascii="微软雅黑" w:hAnsi="微软雅黑" w:eastAsia="微软雅黑" w:cs="微软雅黑"/>
          <w:sz w:val="24"/>
          <w:szCs w:val="24"/>
        </w:rPr>
        <w:t>源政发〔2016〕14号</w:t>
      </w:r>
    </w:p>
    <w:p>
      <w:pPr>
        <w:pStyle w:val="3"/>
        <w:keepNext w:val="0"/>
        <w:keepLines w:val="0"/>
        <w:widowControl/>
        <w:suppressLineNumbers w:val="0"/>
        <w:spacing w:line="368" w:lineRule="atLeast"/>
        <w:jc w:val="center"/>
      </w:pPr>
      <w:r>
        <w:t> </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各镇人民政府，各街道办事处，开发区管委会，县政府各部门，各企事业单位：</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《沂源县地名管理办法》已经县政府研究同意，现印发给你们，请认真贯彻执行。</w:t>
      </w:r>
    </w:p>
    <w:p>
      <w:pPr>
        <w:pStyle w:val="3"/>
        <w:keepNext w:val="0"/>
        <w:keepLines w:val="0"/>
        <w:widowControl/>
        <w:suppressLineNumbers w:val="0"/>
        <w:spacing w:line="368" w:lineRule="atLeast"/>
      </w:pPr>
      <w:r>
        <w:t> </w:t>
      </w:r>
    </w:p>
    <w:p>
      <w:pPr>
        <w:pStyle w:val="3"/>
        <w:keepNext w:val="0"/>
        <w:keepLines w:val="0"/>
        <w:widowControl/>
        <w:suppressLineNumbers w:val="0"/>
        <w:spacing w:line="368" w:lineRule="atLeast"/>
        <w:jc w:val="right"/>
      </w:pPr>
      <w:r>
        <w:rPr>
          <w:rFonts w:hint="eastAsia" w:ascii="微软雅黑" w:hAnsi="微软雅黑" w:eastAsia="微软雅黑" w:cs="微软雅黑"/>
          <w:sz w:val="24"/>
          <w:szCs w:val="24"/>
        </w:rPr>
        <w:t>沂源县人民政府</w:t>
      </w:r>
    </w:p>
    <w:p>
      <w:pPr>
        <w:pStyle w:val="3"/>
        <w:keepNext w:val="0"/>
        <w:keepLines w:val="0"/>
        <w:widowControl/>
        <w:suppressLineNumbers w:val="0"/>
        <w:spacing w:line="368" w:lineRule="atLeast"/>
        <w:jc w:val="right"/>
      </w:pPr>
      <w:r>
        <w:rPr>
          <w:rFonts w:hint="eastAsia" w:ascii="微软雅黑" w:hAnsi="微软雅黑" w:eastAsia="微软雅黑" w:cs="微软雅黑"/>
          <w:sz w:val="24"/>
          <w:szCs w:val="24"/>
        </w:rPr>
        <w:t>2016年9月19日</w:t>
      </w:r>
    </w:p>
    <w:p>
      <w:pPr>
        <w:pStyle w:val="3"/>
        <w:keepNext w:val="0"/>
        <w:keepLines w:val="0"/>
        <w:widowControl/>
        <w:suppressLineNumbers w:val="0"/>
        <w:spacing w:line="368" w:lineRule="atLeast"/>
        <w:jc w:val="center"/>
      </w:pPr>
      <w:r>
        <w:t> </w:t>
      </w:r>
    </w:p>
    <w:p>
      <w:pPr>
        <w:pStyle w:val="3"/>
        <w:keepNext w:val="0"/>
        <w:keepLines w:val="0"/>
        <w:widowControl/>
        <w:suppressLineNumbers w:val="0"/>
        <w:spacing w:line="368" w:lineRule="atLeast"/>
        <w:jc w:val="center"/>
      </w:pPr>
      <w:r>
        <w:rPr>
          <w:rStyle w:val="6"/>
          <w:rFonts w:hint="eastAsia" w:ascii="微软雅黑" w:hAnsi="微软雅黑" w:eastAsia="微软雅黑" w:cs="微软雅黑"/>
          <w:sz w:val="24"/>
          <w:szCs w:val="24"/>
        </w:rPr>
        <w:t>沂源县地名管理办法</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第一条为加强地名管理，实现地名标准化、规范化，根据国务院《地名管理条例》、《山东省地名管理办法》、《淄博市地名管理办法》，结合我县实际，制定本办法。</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第二条我县行政区域内地名的命名、更名、销名、使用，适用本办法。</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第三条地名管理应当尊重历史和现状，保持地名相对稳定。</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第四条本办法所称地名，是指用作标示方位、地域范围的地理实体名称，包括：</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（一）自然地理实体名称，指山、河、湖、泉等名称；</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（二）行政区域名称，指镇、街道办事处以及基层群众自治组织名称；</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三）专业部门使用的具有地名意义的名称，指各类台、站、港、场和隧道（通道）、桥梁（立交桥、人行天桥）、堤坝、水库、渠道、涵闸等设施名称，以及公园、广场、文化和体育场馆、名胜古迹、古遗址、纪念地、自然保护区等名称；</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（四）居民地名称，指道路、居民区、门楼牌号码、自然村等名称；</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（五）具有地名意义的大型建筑物名称，指大厦、商厦、广场、城、中心等名称。</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第五条民政部门是地名工作的主管部门。公安、建设、规划、国土、文化等部门以及镇人民政府、街道办事处应当按照各自职责做好地名管理的相关工作。</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第六条对具有历史、文化价值或纪念意义的地名，经县政府确认，予以重点保护。</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第七条地名命名应当遵循能够反映本县的历史、地理、文化和经济特色，含义健康，使用标准地名。</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第八条地名命名要体现我县的山水特色、历史文化、爱情传说、红色传承、生态旅游、民生建设等地域特色。</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新建城区道路命名原则上分为三个体系。西部山水特色体系，该体系指螳螂河以西城区，命名体现我县山水生态特色,以河流、山体名称为主；中部地域文化体系，该体系指螳螂河以东，儒林河以西城区，命名以体现历史人文、文化传承、和谐民生主题为主；东部现代新城体系，该体系指儒林河以东新城区，命名以体现现代文明、时代发展主题为主。</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第九条地名由专名和通名两部分组成。专名反映地名的个体属性,通名反映地名的类别属性。不得仅用专名作地名或者在同一地名中使用两个通名。</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第十条地名命名应当遵循以下规定：</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（一）符合城市总体规划和地名规划要求；</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（二）反映当地历史、地理、文化和经济特征；</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（三）一地一名，名实相符，含义健康；</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（四）一般不以人名、外国地名命名；</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（五）不得有偿冠名；</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（六）符合国家和省市有关规定。</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第十一条使用小区、花园、园、苑、山庄、别墅等用作居民区通名，或者使用大厦、商厦、广场、中心、城等用作商业、科技、办公建筑物（群）通名，使用大道、路、街、巷（胡同）等用作道路通名。</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第十二条地名的命名、更名应当按下列权限和程序办理，任何单位和个人不得擅自命名、更名：</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（一）基层群众自治组织名称，由镇人民政府或者街道办事处在广泛听取群众意见的基础上研究拟定，报县人民政府审批。</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（二）具有地名意义的大型建筑物名称，由建设单位或者产权人报民政部门审批。</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（三）县城区的路、街、巷名称由民政部门提出命名方案，报县人民政府审批。</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（四）居民区名称，由建设单位报民政部门审批。</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（五）专业部门使用的具有地名意义的名称，由有关专业部门征得民政部门同意后报专业主管部门审批。</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eqP淄</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第十三条新建居民区、大型建筑物的命名，建设单位应当在办理建设工程规划许可证前，向民政部门办理标准地名预先登记手续。</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建设单位申请办理标准地名预先登记手续时，应当提交土地使用证、企业法人营业执照和地名命名申请书。</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符合本办法规定的地名命名申请，发给标准地名预先登记证明。</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第十四条建设单位应当在取得建设工程规划许可证和建设工程施工许可证30日内，持标准地名预先登记证明到民政部门确认其名称。民政部门经实地勘察审核无误后，予以正式命名，发给标准地名使用证。</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建设项目撤销或者土地使用权依法收回的，标准地名使用证自然失效。</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第十五条因行政区划调整、自然变化、城乡建设等因素需要命名、更名或注销地名的，建设单位应当在城乡改造、开发建设立项时提出命名、更名或注销地名的申请，并按照本办法第十一条的有关规定办理。</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第十六条　对城区道路和标志性建筑物的命名、更名，民政部门应当组织有关部门、专家论证并向社会公开征求意见，重要的命名要举行听证会。</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第十七条办理地名命名、更名和销名手续，受理机关应当自受理申请之日起20日内作出决定；涉及公众利益，需要组织专家论证或者征求有关方面意见的，应当自受理申请之日起60日内作出决定。</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第十八条经依法批准命名、更名和注销的地名，由民政部门自批准之日起30日内向社会公布。</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第十九条有关部门在办理规划许可证、商品房预售许可证、户籍登记、房地产广告登记手续时，涉及居民区、大型建筑物名称的，应当查验标准地名使用证明；申请人未能提供标准地名使用证明的，应当告知申请人到民政部门办理；对于尚未按规定编划、制作门楼牌的户籍登记申请，公安机关不予受理。</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第二十条有下列行为之一的，由民政部门给予行政处罚：</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（一）擅自对居民区、大型建筑物命名、更名的，由民政部门责令限期改正；逾期不改正的，依法撤销其名称，并处以2000元以上10000元以下罚款；</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（二）应当使用标准地名而不使用的，由民政部门责令停止使用，并限期改正；逾期不改正的，依法撤销其名称,并处以500元以上5000元以下罚款；</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（三）涂改、污损、遮挡、覆盖、或者擅自移动、拆除地名标志的，由民政部门责令限期恢复原状；逾期不恢复原状的，责令赔偿损失，并处以该地名标志造价的1至3倍的罚款。</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第二十一条行政机关及其工作人员不履行或者不正确履行职责，有下列情形之一的，应当责令其改正，可以对直接负责的主管人员和其他直接责任人员，依法给予行政处分；构成犯罪的，依法追究刑事责任：</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（一）不依法办理地名命名、更名和注销地名事项的；</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（二）对违反本办法规定的行为不予制止或者查处，造成严重影响或者严重后果的；</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（三）利用职权谋取部门利益或者个人利益的；</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（四）法律、法规规定的其他违法行为。</w:t>
      </w:r>
    </w:p>
    <w:p>
      <w:pPr>
        <w:pStyle w:val="3"/>
        <w:keepNext w:val="0"/>
        <w:keepLines w:val="0"/>
        <w:widowControl/>
        <w:suppressLineNumbers w:val="0"/>
        <w:spacing w:line="368" w:lineRule="atLeast"/>
        <w:jc w:val="left"/>
      </w:pPr>
      <w:r>
        <w:rPr>
          <w:rFonts w:hint="eastAsia" w:ascii="微软雅黑" w:hAnsi="微软雅黑" w:eastAsia="微软雅黑" w:cs="微软雅黑"/>
          <w:sz w:val="24"/>
          <w:szCs w:val="24"/>
        </w:rPr>
        <w:t>　　第二十二条本办法自2016年11月1日起实施，有效期至2020年7月31日。</w:t>
      </w:r>
    </w:p>
    <w:p>
      <w:pPr>
        <w:pStyle w:val="3"/>
        <w:keepNext w:val="0"/>
        <w:keepLines w:val="0"/>
        <w:widowControl/>
        <w:suppressLineNumbers w:val="0"/>
        <w:spacing w:line="368" w:lineRule="atLeast"/>
        <w:jc w:val="left"/>
      </w:pPr>
      <w:r>
        <w:t> </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0F57CF0"/>
    <w:rsid w:val="037412F9"/>
    <w:rsid w:val="04245117"/>
    <w:rsid w:val="04AF093C"/>
    <w:rsid w:val="04AF745D"/>
    <w:rsid w:val="09491E03"/>
    <w:rsid w:val="09651612"/>
    <w:rsid w:val="0A640D5F"/>
    <w:rsid w:val="0B097861"/>
    <w:rsid w:val="0BFB08B9"/>
    <w:rsid w:val="0D86248F"/>
    <w:rsid w:val="0E7106D4"/>
    <w:rsid w:val="10182E93"/>
    <w:rsid w:val="1178483E"/>
    <w:rsid w:val="11D11A94"/>
    <w:rsid w:val="135C10AF"/>
    <w:rsid w:val="14740162"/>
    <w:rsid w:val="1534348B"/>
    <w:rsid w:val="15A757C2"/>
    <w:rsid w:val="17222BCD"/>
    <w:rsid w:val="179D7F80"/>
    <w:rsid w:val="19597D63"/>
    <w:rsid w:val="1C083E7D"/>
    <w:rsid w:val="1C151F42"/>
    <w:rsid w:val="1CB74905"/>
    <w:rsid w:val="21D12B6A"/>
    <w:rsid w:val="223C520E"/>
    <w:rsid w:val="23460D1D"/>
    <w:rsid w:val="23D333DA"/>
    <w:rsid w:val="24161BAE"/>
    <w:rsid w:val="2427013F"/>
    <w:rsid w:val="245132E8"/>
    <w:rsid w:val="2584726B"/>
    <w:rsid w:val="29555BB4"/>
    <w:rsid w:val="2A0608B9"/>
    <w:rsid w:val="2DEF356E"/>
    <w:rsid w:val="2FCD6F83"/>
    <w:rsid w:val="300F5AFF"/>
    <w:rsid w:val="312C736C"/>
    <w:rsid w:val="3276698D"/>
    <w:rsid w:val="339C6284"/>
    <w:rsid w:val="35D674B8"/>
    <w:rsid w:val="372B410A"/>
    <w:rsid w:val="37812382"/>
    <w:rsid w:val="39722743"/>
    <w:rsid w:val="3B505DC5"/>
    <w:rsid w:val="3B7849B0"/>
    <w:rsid w:val="3C946844"/>
    <w:rsid w:val="3FC64654"/>
    <w:rsid w:val="409A319A"/>
    <w:rsid w:val="40E51272"/>
    <w:rsid w:val="41864994"/>
    <w:rsid w:val="41ED759A"/>
    <w:rsid w:val="439B7C47"/>
    <w:rsid w:val="47DF76B1"/>
    <w:rsid w:val="4892635F"/>
    <w:rsid w:val="49A37C8A"/>
    <w:rsid w:val="4A34203A"/>
    <w:rsid w:val="4A8203AA"/>
    <w:rsid w:val="4BA7175A"/>
    <w:rsid w:val="4CA43997"/>
    <w:rsid w:val="4D7B27CC"/>
    <w:rsid w:val="4E9B32DD"/>
    <w:rsid w:val="52832238"/>
    <w:rsid w:val="53E0623B"/>
    <w:rsid w:val="56303332"/>
    <w:rsid w:val="58A311E7"/>
    <w:rsid w:val="59581291"/>
    <w:rsid w:val="595B0854"/>
    <w:rsid w:val="59DB29F9"/>
    <w:rsid w:val="5A107E8B"/>
    <w:rsid w:val="5A320FCF"/>
    <w:rsid w:val="5A5943AB"/>
    <w:rsid w:val="5A6C469C"/>
    <w:rsid w:val="5AC31D67"/>
    <w:rsid w:val="5BC324E8"/>
    <w:rsid w:val="5CA23A66"/>
    <w:rsid w:val="5CAF3BB2"/>
    <w:rsid w:val="5D011C99"/>
    <w:rsid w:val="5D1E3B90"/>
    <w:rsid w:val="5D1F756D"/>
    <w:rsid w:val="5D7B3AC1"/>
    <w:rsid w:val="5DF730A6"/>
    <w:rsid w:val="5E273ACA"/>
    <w:rsid w:val="5E7B68BE"/>
    <w:rsid w:val="5F8A2976"/>
    <w:rsid w:val="5FE21A30"/>
    <w:rsid w:val="603C6E6D"/>
    <w:rsid w:val="6065796C"/>
    <w:rsid w:val="607825CF"/>
    <w:rsid w:val="61AF38EE"/>
    <w:rsid w:val="61E474D5"/>
    <w:rsid w:val="629C5A66"/>
    <w:rsid w:val="63276C1F"/>
    <w:rsid w:val="642E2649"/>
    <w:rsid w:val="654157B8"/>
    <w:rsid w:val="692A702D"/>
    <w:rsid w:val="6AD74824"/>
    <w:rsid w:val="6AF25537"/>
    <w:rsid w:val="6C067124"/>
    <w:rsid w:val="6DE33857"/>
    <w:rsid w:val="6F046DEC"/>
    <w:rsid w:val="6F6E01BD"/>
    <w:rsid w:val="6FCC6A26"/>
    <w:rsid w:val="6FF756DC"/>
    <w:rsid w:val="705A2EA1"/>
    <w:rsid w:val="715623A8"/>
    <w:rsid w:val="717A2774"/>
    <w:rsid w:val="73494BD0"/>
    <w:rsid w:val="74B5392A"/>
    <w:rsid w:val="75774ECB"/>
    <w:rsid w:val="7610234A"/>
    <w:rsid w:val="769A2896"/>
    <w:rsid w:val="780F14B5"/>
    <w:rsid w:val="78F51BCE"/>
    <w:rsid w:val="79315FF8"/>
    <w:rsid w:val="79E85CC6"/>
    <w:rsid w:val="7A034AA8"/>
    <w:rsid w:val="7BCC14A3"/>
    <w:rsid w:val="7C167CB6"/>
    <w:rsid w:val="7C614A46"/>
    <w:rsid w:val="7D566D00"/>
    <w:rsid w:val="7E1F01C0"/>
    <w:rsid w:val="7FA354C2"/>
    <w:rsid w:val="7FE02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single"/>
    </w:rPr>
  </w:style>
  <w:style w:type="character" w:styleId="9">
    <w:name w:val="HTML Code"/>
    <w:basedOn w:val="5"/>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4702</Words>
  <Characters>5759</Characters>
  <Lines>0</Lines>
  <Paragraphs>0</Paragraphs>
  <TotalTime>0</TotalTime>
  <ScaleCrop>false</ScaleCrop>
  <LinksUpToDate>false</LinksUpToDate>
  <CharactersWithSpaces>6816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2023-10-23T07:39:47Z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016E4FE4D03F46BB9CB401AD9CAD2DFC_12</vt:lpwstr>
  </property>
</Properties>
</file>