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A" w:rsidRDefault="001C273A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C273A" w:rsidRDefault="001C273A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C273A" w:rsidRDefault="001C27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C273A" w:rsidRDefault="00A61F7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源政办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字〔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D365C3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C273A" w:rsidRDefault="001C273A">
      <w:pPr>
        <w:spacing w:line="560" w:lineRule="exact"/>
        <w:ind w:firstLineChars="200" w:firstLine="880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:rsidR="001C273A" w:rsidRDefault="001C273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沂源县人民政府办公室</w:t>
      </w: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关于印发沂源县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年度深化全国优化</w:t>
      </w: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营商环境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以评促转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试点行动方案的</w:t>
      </w: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通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知</w:t>
      </w:r>
    </w:p>
    <w:p w:rsidR="001C273A" w:rsidRDefault="001C27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C273A" w:rsidRDefault="00A61F7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各镇人民政府，各街道办事处，经济开发区管委会，县政府各部门，各有关单位：</w:t>
      </w:r>
    </w:p>
    <w:p w:rsidR="001C273A" w:rsidRDefault="00A61F76" w:rsidP="000A76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《沂源县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年度深化全国优化营商环境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以评促转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试点行动方案》已经县政府同意，现印发给你们，请认真组织实施。</w:t>
      </w:r>
    </w:p>
    <w:p w:rsidR="000A76ED" w:rsidRPr="000A76ED" w:rsidRDefault="000A76ED" w:rsidP="000A76ED">
      <w:pPr>
        <w:pStyle w:val="3"/>
      </w:pPr>
    </w:p>
    <w:p w:rsidR="001C273A" w:rsidRDefault="00A61F76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沂源县人民政府办公室</w:t>
      </w:r>
    </w:p>
    <w:p w:rsidR="001C273A" w:rsidRDefault="00A61F76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7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D365C3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（此件公开发布）</w:t>
      </w:r>
    </w:p>
    <w:p w:rsidR="001C273A" w:rsidRDefault="001C273A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1C273A" w:rsidRDefault="001C273A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1C273A" w:rsidRDefault="001C273A" w:rsidP="001456A1">
      <w:pPr>
        <w:spacing w:line="560" w:lineRule="exact"/>
        <w:rPr>
          <w:sz w:val="32"/>
          <w:szCs w:val="32"/>
        </w:rPr>
      </w:pP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lastRenderedPageBreak/>
        <w:t>沂源县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年度深化全国优化营商环境</w:t>
      </w:r>
    </w:p>
    <w:p w:rsidR="001C273A" w:rsidRDefault="00A61F7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以评促转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试点行动方案</w:t>
      </w:r>
    </w:p>
    <w:p w:rsidR="001C273A" w:rsidRDefault="001C273A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认真</w:t>
      </w:r>
      <w:r>
        <w:rPr>
          <w:rFonts w:ascii="Times New Roman" w:eastAsia="仿宋_GB2312" w:hAnsi="Times New Roman" w:cs="Times New Roman"/>
          <w:sz w:val="32"/>
          <w:szCs w:val="32"/>
        </w:rPr>
        <w:t>贯彻《优化营商环境条例》，深化全国优化营商环境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以评促转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试点工作，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>
        <w:rPr>
          <w:rFonts w:ascii="Times New Roman" w:eastAsia="仿宋_GB2312" w:hAnsi="Times New Roman" w:cs="Times New Roman"/>
          <w:sz w:val="32"/>
          <w:szCs w:val="32"/>
        </w:rPr>
        <w:t>建立市场化法治化国际化便利化营商环境，努力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/>
          <w:sz w:val="32"/>
          <w:szCs w:val="32"/>
        </w:rPr>
        <w:t>全县经济社会发展突破提升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进位攀高，制定本方案。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一、持续优化建设项目审批，提升投资和建设便利度，推动制造业竞争优势重构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（一）持续推进投资项目审批制度改革</w:t>
      </w:r>
      <w:proofErr w:type="gramStart"/>
      <w:r>
        <w:rPr>
          <w:rFonts w:ascii="Times New Roman" w:eastAsia="楷体_GB2312" w:hAnsi="Times New Roman" w:cs="Times New Roman"/>
          <w:sz w:val="32"/>
          <w:szCs w:val="32"/>
        </w:rPr>
        <w:t>扩面提</w:t>
      </w:r>
      <w:proofErr w:type="gramEnd"/>
      <w:r>
        <w:rPr>
          <w:rFonts w:ascii="Times New Roman" w:eastAsia="楷体_GB2312" w:hAnsi="Times New Roman" w:cs="Times New Roman"/>
          <w:sz w:val="32"/>
          <w:szCs w:val="32"/>
        </w:rPr>
        <w:t>标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打造项目审批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极简化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服务模式，全面推行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拿地即开工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承诺即开工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租赁即开工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等灵活高效的审批模式。制定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主题式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情景式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项目审批流程，实现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精细化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差别化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管理，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构建便捷高效的工业投资项目审批服务体系。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（牵头单位：县行政审批服务局、县自然资源局）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创优项目管家服务品牌，全面推行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齐好办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项目管家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齐好办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上市管家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全链条服务，推动项目早落地、早建成、早投产，切实发挥好重大项目对城市转型升级的支撑带动作用。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（牵头单位：县行政审批服务局、县发展改革局）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（二）深化工程建设项目审批制度改革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推动工程建设项目审批管理系统迭代升级，完善建设工程设计方案联合审查机制，制定并公布工程设计方案审查告知承诺制实施办法，优化提升建设工程规划许可审批服务效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lastRenderedPageBreak/>
        <w:t>率。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_GB2312" w:hAnsi="Times New Roman" w:cs="Times New Roman"/>
          <w:sz w:val="32"/>
          <w:szCs w:val="32"/>
        </w:rPr>
        <w:t>县大数据中心、县自然资源局）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探索建立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一码管地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工作体系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完善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多规合一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一张蓝图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统筹项目策划生成机制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推行施工许可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分阶段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零材料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申报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。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实行施工图技术审查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多审合一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探索分阶段整合相关测绘测量事项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实现同一阶段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一次委托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、</w:t>
      </w:r>
      <w:r>
        <w:rPr>
          <w:rStyle w:val="fontstyle21"/>
          <w:rFonts w:ascii="Times New Roman" w:eastAsia="仿宋_GB2312" w:hAnsi="Times New Roman" w:cs="Times New Roman"/>
          <w:color w:val="auto"/>
          <w:sz w:val="32"/>
          <w:szCs w:val="32"/>
        </w:rPr>
        <w:t>成果共享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Style w:val="fontstyle31"/>
          <w:rFonts w:ascii="Times New Roman" w:eastAsia="仿宋_GB2312" w:hAnsi="Times New Roman" w:cs="Times New Roman"/>
          <w:color w:val="auto"/>
          <w:sz w:val="32"/>
          <w:szCs w:val="32"/>
        </w:rPr>
        <w:t>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_GB2312" w:hAnsi="Times New Roman" w:cs="Times New Roman"/>
          <w:sz w:val="32"/>
          <w:szCs w:val="32"/>
        </w:rPr>
        <w:t>县自然资源局、县住房城乡建设局）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深化区域评估评审</w:t>
      </w:r>
      <w:proofErr w:type="gramStart"/>
      <w:r>
        <w:rPr>
          <w:rFonts w:ascii="Times New Roman" w:eastAsia="仿宋_GB2312" w:hAnsi="Times New Roman" w:cs="Times New Roman"/>
          <w:spacing w:val="6"/>
          <w:sz w:val="32"/>
          <w:szCs w:val="32"/>
        </w:rPr>
        <w:t>扩面提</w:t>
      </w:r>
      <w:proofErr w:type="gramEnd"/>
      <w:r>
        <w:rPr>
          <w:rFonts w:ascii="Times New Roman" w:eastAsia="仿宋_GB2312" w:hAnsi="Times New Roman" w:cs="Times New Roman"/>
          <w:spacing w:val="6"/>
          <w:sz w:val="32"/>
          <w:szCs w:val="32"/>
        </w:rPr>
        <w:t>质、推行分阶段联合验收，进一步提高工程建设项目审批效率，为制造业发展创造环境新优势。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（牵头单位：县行政审批服务局、县自然资源局、县住房城乡建设局）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</w:t>
      </w:r>
      <w:proofErr w:type="gramStart"/>
      <w:r>
        <w:rPr>
          <w:rFonts w:ascii="Times New Roman" w:eastAsia="楷体_GB2312" w:hAnsi="Times New Roman" w:cs="Times New Roman"/>
          <w:sz w:val="32"/>
          <w:szCs w:val="32"/>
        </w:rPr>
        <w:t>打造极</w:t>
      </w:r>
      <w:proofErr w:type="gramEnd"/>
      <w:r>
        <w:rPr>
          <w:rFonts w:ascii="Times New Roman" w:eastAsia="楷体_GB2312" w:hAnsi="Times New Roman" w:cs="Times New Roman"/>
          <w:sz w:val="32"/>
          <w:szCs w:val="32"/>
        </w:rPr>
        <w:t>优化政务服务环境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持续深化企业开办标准化、规范化、智能化、便利化改革，着力深化信用审批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承诺即入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改革。持续深化办税便利化改革，探索精准服务科技创新企业渠道，强化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一户</w:t>
      </w:r>
      <w:proofErr w:type="gramStart"/>
      <w:r>
        <w:rPr>
          <w:rFonts w:ascii="Times New Roman" w:eastAsia="仿宋_GB2312" w:hAnsi="Times New Roman" w:cs="Times New Roman"/>
          <w:spacing w:val="6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pacing w:val="6"/>
          <w:sz w:val="32"/>
          <w:szCs w:val="32"/>
        </w:rPr>
        <w:t>策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一揽子税收解决方案。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（牵头单位：县行政审批服务局、县税务局、县科技局）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巩固提升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全领域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无证明城市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建设成果，积极推进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政务服务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一体化，发布新一批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免提交证明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证照事项清单。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（牵头单位：县行政审批服务局、县司法局、县政府办公室、县大数据中心）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完善多渠道政企沟通交流机制，推行服务企业专员制度和优化营商环境监督员制度。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惠企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服务企业云平台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0A76E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实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现政策智能精准推送，为企业发展营造高效便捷的服务环境。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（牵头单位：县工业和信息化局、县工商联）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二、增强要素资源保障能力，支持市场主体创新发展，促进传统产业改造升级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（四）提升金融要素供给质效</w:t>
      </w:r>
    </w:p>
    <w:p w:rsidR="001C273A" w:rsidRDefault="00A61F76">
      <w:pPr>
        <w:spacing w:line="560" w:lineRule="exact"/>
        <w:ind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发挥金融辅导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、金融顾问</w:t>
      </w:r>
      <w:r>
        <w:rPr>
          <w:rFonts w:ascii="Times New Roman" w:eastAsia="仿宋_GB2312" w:hAnsi="Times New Roman" w:cs="Times New Roman"/>
          <w:sz w:val="32"/>
          <w:szCs w:val="32"/>
        </w:rPr>
        <w:t>作用，常态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化开展银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企精准对接活动。大力培育科技金融、绿色金融、供应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链金融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等新业态，加快推进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>
        <w:rPr>
          <w:rFonts w:ascii="Times New Roman" w:eastAsia="仿宋_GB2312" w:hAnsi="Times New Roman" w:cs="Times New Roman"/>
          <w:sz w:val="32"/>
          <w:szCs w:val="32"/>
        </w:rPr>
        <w:t>普惠金融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>
        <w:rPr>
          <w:rFonts w:ascii="Times New Roman" w:eastAsia="仿宋_GB2312" w:hAnsi="Times New Roman" w:cs="Times New Roman"/>
          <w:sz w:val="32"/>
          <w:szCs w:val="32"/>
        </w:rPr>
        <w:t>示范县建设。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（牵头单位：县发展改革局、中国人民银行沂源县支行）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1C273A" w:rsidRDefault="00A61F76" w:rsidP="00E93950">
      <w:pPr>
        <w:spacing w:line="560" w:lineRule="exact"/>
        <w:ind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大力实施信贷扩容工程，运用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好碳减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排、支农、支小再贷款等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结构性货币政策</w:t>
      </w:r>
      <w:r>
        <w:rPr>
          <w:rFonts w:ascii="Times New Roman" w:eastAsia="仿宋_GB2312" w:hAnsi="Times New Roman" w:cs="Times New Roman"/>
          <w:sz w:val="32"/>
          <w:szCs w:val="32"/>
        </w:rPr>
        <w:t>工具，推动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技改专项贷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春风齐鑫贷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人才贷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规模扩张。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（牵头单位：县发展改革局、县工业和信息化局、中国人民银行沂源县支行）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持续壮大政府性融资担保体系，对符合条件的创新创业企业融资担保实行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零费率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见贷即保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担保。落地落实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供应链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担保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融资模式，加大对先进制造业、战略性新兴产业、产业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链的担保支持。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（牵头单位：县财政局）</w:t>
      </w:r>
    </w:p>
    <w:p w:rsidR="001C273A" w:rsidRDefault="00A61F76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加快资本市场后备企业培育，构建分层次、分行业、分梯队的滚动培育机制，推动符合条件的企业进入多层次资本市场。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（牵头单位：县发展改革局）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充分发挥新旧动能转换基金引导作用，围绕重大项目开展股权投资，通过市场化方式，带动社会资本投资支持制造业竞争优势重构项目建设。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（牵头单位：县财政局）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（五）加强创新人才集聚引领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聚焦产业发展，深化产才融合，推动产业链、资金链、人才链、技术链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四链合一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，完善行业领军人才、高端人才引进和储备机制，探索实行平台引才、政策引才、以才引才的联动模式。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（牵头单位：县委组织部）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6"/>
        </w:rPr>
        <w:t>深化引才</w:t>
      </w:r>
      <w:proofErr w:type="gramStart"/>
      <w:r>
        <w:rPr>
          <w:rFonts w:ascii="Times New Roman" w:eastAsia="仿宋_GB2312" w:hAnsi="Times New Roman" w:cs="Times New Roman"/>
          <w:sz w:val="32"/>
          <w:szCs w:val="36"/>
        </w:rPr>
        <w:t>留才用才机制</w:t>
      </w:r>
      <w:proofErr w:type="gramEnd"/>
      <w:r>
        <w:rPr>
          <w:rFonts w:ascii="Times New Roman" w:eastAsia="仿宋_GB2312" w:hAnsi="Times New Roman" w:cs="Times New Roman"/>
          <w:sz w:val="32"/>
          <w:szCs w:val="36"/>
        </w:rPr>
        <w:t>改革，深入推进</w:t>
      </w:r>
      <w:r>
        <w:rPr>
          <w:rFonts w:ascii="Times New Roman" w:eastAsia="仿宋_GB2312" w:hAnsi="Times New Roman" w:cs="Times New Roman"/>
          <w:sz w:val="32"/>
          <w:szCs w:val="36"/>
        </w:rPr>
        <w:t>“</w:t>
      </w:r>
      <w:r>
        <w:rPr>
          <w:rFonts w:ascii="Times New Roman" w:eastAsia="仿宋_GB2312" w:hAnsi="Times New Roman" w:cs="Times New Roman"/>
          <w:sz w:val="32"/>
          <w:szCs w:val="36"/>
        </w:rPr>
        <w:t>揭榜挂帅</w:t>
      </w:r>
      <w:r>
        <w:rPr>
          <w:rFonts w:ascii="Times New Roman" w:eastAsia="仿宋_GB2312" w:hAnsi="Times New Roman" w:cs="Times New Roman"/>
          <w:sz w:val="32"/>
          <w:szCs w:val="36"/>
        </w:rPr>
        <w:t>·</w:t>
      </w:r>
      <w:r>
        <w:rPr>
          <w:rFonts w:ascii="Times New Roman" w:eastAsia="仿宋_GB2312" w:hAnsi="Times New Roman" w:cs="Times New Roman"/>
          <w:sz w:val="32"/>
          <w:szCs w:val="36"/>
        </w:rPr>
        <w:t>全球引才</w:t>
      </w:r>
      <w:r>
        <w:rPr>
          <w:rFonts w:ascii="Times New Roman" w:eastAsia="仿宋_GB2312" w:hAnsi="Times New Roman" w:cs="Times New Roman"/>
          <w:sz w:val="32"/>
          <w:szCs w:val="36"/>
        </w:rPr>
        <w:t>”</w:t>
      </w:r>
      <w:r>
        <w:rPr>
          <w:rFonts w:ascii="Times New Roman" w:eastAsia="仿宋_GB2312" w:hAnsi="Times New Roman" w:cs="Times New Roman"/>
          <w:sz w:val="32"/>
          <w:szCs w:val="36"/>
        </w:rPr>
        <w:t>机制，建立完善需求端、供给端、服务端</w:t>
      </w:r>
      <w:r>
        <w:rPr>
          <w:rFonts w:ascii="Times New Roman" w:eastAsia="仿宋_GB2312" w:hAnsi="Times New Roman" w:cs="Times New Roman"/>
          <w:sz w:val="32"/>
          <w:szCs w:val="36"/>
        </w:rPr>
        <w:t>“</w:t>
      </w:r>
      <w:r>
        <w:rPr>
          <w:rFonts w:ascii="Times New Roman" w:eastAsia="仿宋_GB2312" w:hAnsi="Times New Roman" w:cs="Times New Roman"/>
          <w:sz w:val="32"/>
          <w:szCs w:val="36"/>
        </w:rPr>
        <w:t>三端</w:t>
      </w:r>
      <w:r>
        <w:rPr>
          <w:rFonts w:ascii="Times New Roman" w:eastAsia="仿宋_GB2312" w:hAnsi="Times New Roman" w:cs="Times New Roman"/>
          <w:sz w:val="32"/>
          <w:szCs w:val="36"/>
        </w:rPr>
        <w:t>”</w:t>
      </w:r>
      <w:r>
        <w:rPr>
          <w:rFonts w:ascii="Times New Roman" w:eastAsia="仿宋_GB2312" w:hAnsi="Times New Roman" w:cs="Times New Roman"/>
          <w:sz w:val="32"/>
          <w:szCs w:val="36"/>
        </w:rPr>
        <w:t>协同发力的引才机制，高效借智借力破解发展难题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（牵头单位：县科技局、县委组织部）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6"/>
        </w:rPr>
        <w:t>构建</w:t>
      </w:r>
      <w:r>
        <w:rPr>
          <w:rFonts w:ascii="Times New Roman" w:eastAsia="仿宋_GB2312" w:hAnsi="Times New Roman" w:cs="Times New Roman"/>
          <w:sz w:val="32"/>
          <w:szCs w:val="36"/>
        </w:rPr>
        <w:t>“</w:t>
      </w:r>
      <w:r>
        <w:rPr>
          <w:rFonts w:ascii="Times New Roman" w:eastAsia="仿宋_GB2312" w:hAnsi="Times New Roman" w:cs="Times New Roman"/>
          <w:sz w:val="32"/>
          <w:szCs w:val="36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6"/>
        </w:rPr>
        <w:t>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6"/>
        </w:rPr>
        <w:t>项目</w:t>
      </w:r>
      <w:r>
        <w:rPr>
          <w:rFonts w:ascii="Times New Roman" w:eastAsia="仿宋_GB2312" w:hAnsi="Times New Roman" w:cs="Times New Roman"/>
          <w:sz w:val="32"/>
          <w:szCs w:val="36"/>
        </w:rPr>
        <w:t>”</w:t>
      </w:r>
      <w:r>
        <w:rPr>
          <w:rFonts w:ascii="Times New Roman" w:eastAsia="仿宋_GB2312" w:hAnsi="Times New Roman" w:cs="Times New Roman"/>
          <w:sz w:val="32"/>
          <w:szCs w:val="36"/>
        </w:rPr>
        <w:t>一体化人才培育模式，推行人才政策落实</w:t>
      </w:r>
      <w:r>
        <w:rPr>
          <w:rFonts w:ascii="Times New Roman" w:eastAsia="仿宋_GB2312" w:hAnsi="Times New Roman" w:cs="Times New Roman"/>
          <w:sz w:val="32"/>
          <w:szCs w:val="36"/>
        </w:rPr>
        <w:t>“</w:t>
      </w:r>
      <w:r>
        <w:rPr>
          <w:rFonts w:ascii="Times New Roman" w:eastAsia="仿宋_GB2312" w:hAnsi="Times New Roman" w:cs="Times New Roman"/>
          <w:sz w:val="32"/>
          <w:szCs w:val="36"/>
        </w:rPr>
        <w:t>政策找人、无形认证、免申即享</w:t>
      </w:r>
      <w:r>
        <w:rPr>
          <w:rFonts w:ascii="Times New Roman" w:eastAsia="仿宋_GB2312" w:hAnsi="Times New Roman" w:cs="Times New Roman"/>
          <w:sz w:val="32"/>
          <w:szCs w:val="36"/>
        </w:rPr>
        <w:t>”</w:t>
      </w:r>
      <w:r>
        <w:rPr>
          <w:rFonts w:ascii="Times New Roman" w:eastAsia="仿宋_GB2312" w:hAnsi="Times New Roman" w:cs="Times New Roman"/>
          <w:sz w:val="32"/>
          <w:szCs w:val="36"/>
        </w:rPr>
        <w:t>工作模式，全方位优化高层次人才发展环境。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（牵头单位：县委组织部、县科技局、县人力资源社会保障局）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（六）促进跨境贸易便利化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实施外资品质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提升攻坚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行动，落实好外商投资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首席服务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保障制度，围绕重点产业链条，引导外商投资向高端产业聚集。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（牵头单位：县商务局）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淄博市</w:t>
      </w:r>
      <w:r>
        <w:rPr>
          <w:rFonts w:ascii="Times New Roman" w:eastAsia="仿宋_GB2312" w:hAnsi="Times New Roman" w:cs="Times New Roman"/>
          <w:sz w:val="32"/>
          <w:szCs w:val="32"/>
        </w:rPr>
        <w:t>获批跨境电子商务综合试验区为契机，积极培育和引进国内外跨境电商龙头平台和企业。指导企业申报</w:t>
      </w:r>
      <w:r>
        <w:rPr>
          <w:rFonts w:ascii="Times New Roman" w:eastAsia="仿宋_GB2312" w:hAnsi="Times New Roman" w:cs="Times New Roman"/>
          <w:sz w:val="32"/>
          <w:szCs w:val="32"/>
        </w:rPr>
        <w:t>9710</w:t>
      </w:r>
      <w:r>
        <w:rPr>
          <w:rFonts w:ascii="Times New Roman" w:eastAsia="仿宋_GB2312" w:hAnsi="Times New Roman" w:cs="Times New Roman"/>
          <w:sz w:val="32"/>
          <w:szCs w:val="32"/>
        </w:rPr>
        <w:t>模式，大力发展跨境电商，培育外贸创新发展新动能。</w:t>
      </w:r>
      <w:r>
        <w:rPr>
          <w:rFonts w:ascii="Times New Roman" w:eastAsia="楷体_GB2312" w:hAnsi="Times New Roman" w:cs="Times New Roman"/>
          <w:sz w:val="32"/>
          <w:szCs w:val="32"/>
        </w:rPr>
        <w:t>（牵头单位：县商务局）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（七）打造全链条创新创业生态体系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创新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政府引导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中介市场化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科技成果转换模式，健全完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创业苗圃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孵化器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加速器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产业园区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全生命周期创新创业孵化体系。打造全生命周期创新创业载体链条。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（牵头单位：县科技局）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实施产业链群聚合行动，围绕新医药、新材料产业规划布局和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条特色产业链，做好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补链延链强链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文章。优化传统产业改造提升，推进落实淄博市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千项技改、千企转型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工程，加快装备换芯、生产换线、机器换人、产链上云、园区上线、场景应用六大行动，大规模推动企业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上云、用数、赋智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，激发传统产业活力。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（牵头单位：县工业和信息化局）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涌现一个、入库一个、支持一个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的新经济发展体制机制要求，支持企业参与场景建设，促进形成新经济种子企业、瞪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企业、独角兽企业接续发展梯队。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（牵头单位：县发展改革局）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三、探索实施包容审慎监管，保护市场主体合法权益，助力新经济健康发展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（八）营造包容审慎的监管环境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按时推送市场主体信用承诺书，引导市场主体更加重视自身信用状况水平。按照省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市有关要求，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大力</w:t>
      </w:r>
      <w:r>
        <w:rPr>
          <w:rFonts w:ascii="Times New Roman" w:eastAsia="仿宋_GB2312" w:hAnsi="Times New Roman" w:cs="Times New Roman"/>
          <w:sz w:val="32"/>
          <w:szCs w:val="32"/>
        </w:rPr>
        <w:t>推行企业信用管理工作，不断提高社会信用体系建设水平。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（牵头单位：县发展改革局）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信用监管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双随机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智慧监管</w:t>
      </w:r>
      <w:r>
        <w:rPr>
          <w:rFonts w:ascii="Times New Roman" w:eastAsia="仿宋_GB2312" w:hAnsi="Times New Roman" w:cs="Times New Roman"/>
          <w:sz w:val="32"/>
          <w:szCs w:val="32"/>
        </w:rPr>
        <w:t>”3+N</w:t>
      </w:r>
      <w:r>
        <w:rPr>
          <w:rFonts w:ascii="Times New Roman" w:eastAsia="仿宋_GB2312" w:hAnsi="Times New Roman" w:cs="Times New Roman"/>
          <w:sz w:val="32"/>
          <w:szCs w:val="32"/>
        </w:rPr>
        <w:t>监管模式，将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双随机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监管工作同系统内各条业务主线融会贯通，依托智慧监管平台，保证日常监管工作的公平性、规范性和有效性。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双随机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监管与信用风险分类系统深度融合，完善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信用体检中心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模块，让信用概念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走深走实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，营造良好信用氛围。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（牵头单位：县市场监管局）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聚焦包容审慎监管，推行信用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唤醒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服务模式和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零接触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信用修复服务，推进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沙箱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监管，提升智慧监管水平，积极打造市场主体放心投资、舒心经营的良好发展环境。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（牵头单位：县市场监管局）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（九）加强知识产权创造、保护和运用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围绕战略性新兴产业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积极申报市级专利导航和知识产权运营服务项目，实现专利快速审查与确权，有效提升高价值发明专利增量和增长率。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（牵头单位：县市场监管局）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探索完善知识产权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严、大、快、同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保护体系，深入落实省、市知识产权惩罚性赔偿制度，健全知识产权质押融资风险分担机制和质物处置机制；加大跨地区、跨部门知识产权保护协作，实现境内流通环节保护和进出口环节保护无缝衔接。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（牵头单位：县市场监管局）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（十）打造公平规范的法治环境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建立信息预警通报机制，加强企业权益保护，严打突出涉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企违法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犯罪，严格规范涉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企执法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行为，建立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零延迟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处置机制，对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涉企类警情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，做到有警必处、快速受理、及时立案、限期办结；对涉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企违法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犯罪，实行挂牌督办，确保打击行动快速及时、涉案资金快速冻结、涉案财物快速返还。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（牵头单位：县公安局）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优化涉</w:t>
      </w:r>
      <w:proofErr w:type="gramStart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企法律</w:t>
      </w:r>
      <w:proofErr w:type="gramEnd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服务，动态完善服务企业发展保障企业家干事创业“十条措施”，常态</w:t>
      </w:r>
      <w:proofErr w:type="gramStart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化开展</w:t>
      </w:r>
      <w:proofErr w:type="gramEnd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挂包联系服务，持续优化公证服务，扎实推进“订单式”司法服务，提升企业预防职务犯罪、防范电信诈骗等能力水平。以助企工作室为依托，妥善化解涉企纠纷，为企业合</w:t>
      </w:r>
      <w:proofErr w:type="gramStart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规</w:t>
      </w:r>
      <w:proofErr w:type="gramEnd"/>
      <w:r w:rsidRPr="00BC60C0">
        <w:rPr>
          <w:rFonts w:ascii="仿宋_GB2312" w:eastAsia="仿宋_GB2312" w:hAnsi="Times New Roman" w:cs="Times New Roman" w:hint="eastAsia"/>
          <w:sz w:val="32"/>
          <w:szCs w:val="32"/>
        </w:rPr>
        <w:t>体系建设提供支撑。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（牵头单位：县公安局、县法院、县司法局）</w:t>
      </w:r>
    </w:p>
    <w:p w:rsidR="001C273A" w:rsidRDefault="00A61F7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>
        <w:rPr>
          <w:rFonts w:ascii="Times New Roman" w:eastAsia="仿宋_GB2312" w:hAnsi="Times New Roman" w:cs="Times New Roman"/>
          <w:sz w:val="32"/>
          <w:szCs w:val="32"/>
        </w:rPr>
        <w:t>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企案件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审判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</w:t>
      </w:r>
      <w:r>
        <w:rPr>
          <w:rFonts w:ascii="Times New Roman" w:eastAsia="仿宋_GB2312" w:hAnsi="Times New Roman" w:cs="Times New Roman"/>
          <w:sz w:val="32"/>
          <w:szCs w:val="32"/>
        </w:rPr>
        <w:t>，深化案件繁简分流机制改革，推行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调解为主、速裁支撑、精审兜底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新型办案模式，建立执行联动机制，提升投资者诉讼便利度，为经济高质量发展提供良好法治环境。</w:t>
      </w:r>
      <w:r>
        <w:rPr>
          <w:rFonts w:ascii="楷体_GB2312" w:eastAsia="楷体_GB2312" w:hAnsi="Times New Roman" w:cs="Times New Roman"/>
          <w:sz w:val="32"/>
          <w:szCs w:val="32"/>
        </w:rPr>
        <w:t>（牵头单位：县法院）</w:t>
      </w:r>
    </w:p>
    <w:p w:rsidR="001C273A" w:rsidRDefault="00A61F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确保试点行动方案落到实处，各有关部门单位要按照工作项目化、项目清单化要求，逐项细化工作目标、工作措施、责任分工和工作时限，抓好试点任务落实。同时，多渠道、多形式、多层次进行宣传推介，努力培育一批在全国全省立得住、过得硬的典型经验和成功实践，形成可复制、可推广的工作机制和创新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不断提升沂源营商环境品牌影响力。</w:t>
      </w:r>
    </w:p>
    <w:p w:rsidR="001C273A" w:rsidRDefault="001C273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C273A"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E0" w:rsidRDefault="008E6DE0">
      <w:r>
        <w:separator/>
      </w:r>
    </w:p>
  </w:endnote>
  <w:endnote w:type="continuationSeparator" w:id="0">
    <w:p w:rsidR="008E6DE0" w:rsidRDefault="008E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FR + FZFSK--GBK1-0">
    <w:altName w:val="Segoe Print"/>
    <w:charset w:val="00"/>
    <w:family w:val="auto"/>
    <w:pitch w:val="default"/>
  </w:font>
  <w:font w:name="FOUNDGR + E-BX">
    <w:altName w:val="Segoe Print"/>
    <w:charset w:val="00"/>
    <w:family w:val="auto"/>
    <w:pitch w:val="default"/>
  </w:font>
  <w:font w:name="FOUNDJR + E-B6">
    <w:altName w:val="Segoe Print"/>
    <w:charset w:val="00"/>
    <w:family w:val="auto"/>
    <w:pitch w:val="default"/>
  </w:font>
  <w:font w:name="FOUNDKR + FZKTK--GBK1-0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049929"/>
      <w:docPartObj>
        <w:docPartGallery w:val="AutoText"/>
      </w:docPartObj>
    </w:sdtPr>
    <w:sdtEndPr/>
    <w:sdtContent>
      <w:p w:rsidR="001C273A" w:rsidRDefault="00A61F76">
        <w:pPr>
          <w:pStyle w:val="a4"/>
          <w:jc w:val="center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D365C3" w:rsidRPr="00D365C3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:rsidR="001C273A" w:rsidRDefault="001C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E0" w:rsidRDefault="008E6DE0">
      <w:r>
        <w:separator/>
      </w:r>
    </w:p>
  </w:footnote>
  <w:footnote w:type="continuationSeparator" w:id="0">
    <w:p w:rsidR="008E6DE0" w:rsidRDefault="008E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MWY1ZGZiZjgwODdhMzg4NDRhNDIyYjNhM2Q3NTMifQ=="/>
  </w:docVars>
  <w:rsids>
    <w:rsidRoot w:val="633B7F54"/>
    <w:rsid w:val="000663EE"/>
    <w:rsid w:val="000A76ED"/>
    <w:rsid w:val="000D5E82"/>
    <w:rsid w:val="001456A1"/>
    <w:rsid w:val="001C273A"/>
    <w:rsid w:val="00303ADA"/>
    <w:rsid w:val="00340E9A"/>
    <w:rsid w:val="004A5395"/>
    <w:rsid w:val="006042C9"/>
    <w:rsid w:val="006D5194"/>
    <w:rsid w:val="00875A4D"/>
    <w:rsid w:val="00896A1B"/>
    <w:rsid w:val="008E6DE0"/>
    <w:rsid w:val="00A61F76"/>
    <w:rsid w:val="00AB020D"/>
    <w:rsid w:val="00B10822"/>
    <w:rsid w:val="00BC60C0"/>
    <w:rsid w:val="00C32803"/>
    <w:rsid w:val="00D365C3"/>
    <w:rsid w:val="00D95F12"/>
    <w:rsid w:val="00E7688B"/>
    <w:rsid w:val="00E93950"/>
    <w:rsid w:val="00EA2409"/>
    <w:rsid w:val="00F15178"/>
    <w:rsid w:val="00F74039"/>
    <w:rsid w:val="00FE4F1E"/>
    <w:rsid w:val="02473CAA"/>
    <w:rsid w:val="02E07829"/>
    <w:rsid w:val="08FF1F7A"/>
    <w:rsid w:val="0A686E27"/>
    <w:rsid w:val="0AD80EDB"/>
    <w:rsid w:val="0EA02272"/>
    <w:rsid w:val="11C503DC"/>
    <w:rsid w:val="213E6AC7"/>
    <w:rsid w:val="236505B4"/>
    <w:rsid w:val="280F2E62"/>
    <w:rsid w:val="29B17794"/>
    <w:rsid w:val="3D072746"/>
    <w:rsid w:val="3EA352FB"/>
    <w:rsid w:val="496008C3"/>
    <w:rsid w:val="49C50DDB"/>
    <w:rsid w:val="53D93C20"/>
    <w:rsid w:val="56353759"/>
    <w:rsid w:val="5FC37099"/>
    <w:rsid w:val="609A75C5"/>
    <w:rsid w:val="633B7F54"/>
    <w:rsid w:val="6A041F99"/>
    <w:rsid w:val="6BBF1382"/>
    <w:rsid w:val="6DB77BCC"/>
    <w:rsid w:val="6F0C0D86"/>
    <w:rsid w:val="721B63AB"/>
    <w:rsid w:val="76345F44"/>
    <w:rsid w:val="7B2663E2"/>
    <w:rsid w:val="7C695B88"/>
    <w:rsid w:val="7DE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21">
    <w:name w:val="fontstyle21"/>
    <w:basedOn w:val="a0"/>
    <w:rPr>
      <w:rFonts w:ascii="FOUNDFR + FZFSK--GBK1-0" w:eastAsia="FOUNDFR + FZFSK--GBK1-0" w:hAnsi="FOUNDFR + FZFSK--GBK1-0" w:cs="FOUNDFR + FZFSK--GBK1-0"/>
      <w:color w:val="231F20"/>
      <w:sz w:val="30"/>
      <w:szCs w:val="30"/>
    </w:rPr>
  </w:style>
  <w:style w:type="character" w:customStyle="1" w:styleId="fontstyle31">
    <w:name w:val="fontstyle31"/>
    <w:basedOn w:val="a0"/>
    <w:qFormat/>
    <w:rPr>
      <w:rFonts w:ascii="FOUNDGR + E-BX" w:eastAsia="FOUNDGR + E-BX" w:hAnsi="FOUNDGR + E-BX" w:cs="FOUNDGR + E-BX"/>
      <w:color w:val="231F20"/>
      <w:sz w:val="30"/>
      <w:szCs w:val="30"/>
    </w:rPr>
  </w:style>
  <w:style w:type="character" w:customStyle="1" w:styleId="fontstyle41">
    <w:name w:val="fontstyle41"/>
    <w:basedOn w:val="a0"/>
    <w:qFormat/>
    <w:rPr>
      <w:rFonts w:ascii="FOUNDJR + E-B6" w:eastAsia="FOUNDJR + E-B6" w:hAnsi="FOUNDJR + E-B6" w:cs="FOUNDJR + E-B6"/>
      <w:color w:val="231F20"/>
      <w:sz w:val="30"/>
      <w:szCs w:val="30"/>
    </w:rPr>
  </w:style>
  <w:style w:type="character" w:customStyle="1" w:styleId="fontstyle51">
    <w:name w:val="fontstyle51"/>
    <w:basedOn w:val="a0"/>
    <w:qFormat/>
    <w:rPr>
      <w:rFonts w:ascii="FOUNDKR + FZKTK--GBK1-0" w:eastAsia="FOUNDKR + FZKTK--GBK1-0" w:hAnsi="FOUNDKR + FZKTK--GBK1-0" w:cs="FOUNDKR + FZKTK--GBK1-0"/>
      <w:color w:val="231F20"/>
      <w:sz w:val="30"/>
      <w:szCs w:val="30"/>
    </w:rPr>
  </w:style>
  <w:style w:type="paragraph" w:customStyle="1" w:styleId="Heading21">
    <w:name w:val="Heading #2|1"/>
    <w:basedOn w:val="a"/>
    <w:qFormat/>
    <w:pPr>
      <w:spacing w:before="300" w:after="48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21">
    <w:name w:val="fontstyle21"/>
    <w:basedOn w:val="a0"/>
    <w:rPr>
      <w:rFonts w:ascii="FOUNDFR + FZFSK--GBK1-0" w:eastAsia="FOUNDFR + FZFSK--GBK1-0" w:hAnsi="FOUNDFR + FZFSK--GBK1-0" w:cs="FOUNDFR + FZFSK--GBK1-0"/>
      <w:color w:val="231F20"/>
      <w:sz w:val="30"/>
      <w:szCs w:val="30"/>
    </w:rPr>
  </w:style>
  <w:style w:type="character" w:customStyle="1" w:styleId="fontstyle31">
    <w:name w:val="fontstyle31"/>
    <w:basedOn w:val="a0"/>
    <w:qFormat/>
    <w:rPr>
      <w:rFonts w:ascii="FOUNDGR + E-BX" w:eastAsia="FOUNDGR + E-BX" w:hAnsi="FOUNDGR + E-BX" w:cs="FOUNDGR + E-BX"/>
      <w:color w:val="231F20"/>
      <w:sz w:val="30"/>
      <w:szCs w:val="30"/>
    </w:rPr>
  </w:style>
  <w:style w:type="character" w:customStyle="1" w:styleId="fontstyle41">
    <w:name w:val="fontstyle41"/>
    <w:basedOn w:val="a0"/>
    <w:qFormat/>
    <w:rPr>
      <w:rFonts w:ascii="FOUNDJR + E-B6" w:eastAsia="FOUNDJR + E-B6" w:hAnsi="FOUNDJR + E-B6" w:cs="FOUNDJR + E-B6"/>
      <w:color w:val="231F20"/>
      <w:sz w:val="30"/>
      <w:szCs w:val="30"/>
    </w:rPr>
  </w:style>
  <w:style w:type="character" w:customStyle="1" w:styleId="fontstyle51">
    <w:name w:val="fontstyle51"/>
    <w:basedOn w:val="a0"/>
    <w:qFormat/>
    <w:rPr>
      <w:rFonts w:ascii="FOUNDKR + FZKTK--GBK1-0" w:eastAsia="FOUNDKR + FZKTK--GBK1-0" w:hAnsi="FOUNDKR + FZKTK--GBK1-0" w:cs="FOUNDKR + FZKTK--GBK1-0"/>
      <w:color w:val="231F20"/>
      <w:sz w:val="30"/>
      <w:szCs w:val="30"/>
    </w:rPr>
  </w:style>
  <w:style w:type="paragraph" w:customStyle="1" w:styleId="Heading21">
    <w:name w:val="Heading #2|1"/>
    <w:basedOn w:val="a"/>
    <w:qFormat/>
    <w:pPr>
      <w:spacing w:before="300" w:after="48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3B98-5EF3-4BE1-A60A-61E8455B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月蚀</dc:creator>
  <cp:lastModifiedBy>wangz</cp:lastModifiedBy>
  <cp:revision>33</cp:revision>
  <cp:lastPrinted>2022-07-11T07:05:00Z</cp:lastPrinted>
  <dcterms:created xsi:type="dcterms:W3CDTF">2022-05-23T02:05:00Z</dcterms:created>
  <dcterms:modified xsi:type="dcterms:W3CDTF">2022-07-16T02:19:00Z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052EE044C22B4BC39C7707B288EADB28</vt:lpwstr>
  </property>
</Properties>
</file>