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仿宋_GB2312" w:eastAsia="仿宋_GB2312" w:cs="仿宋_GB2312"/>
          <w:b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源政办字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沂源县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关于进一步规范和加强政策解读工作的通知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各镇人民政府，各街道办事处，经济开发区管委会，县政府各部门，各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企事业单位：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为更好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保障人民群众知情权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规范政策执行行为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促进政策执行落地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切实发挥政策效应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推动经济社会高质量发展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市政府办公室《关于进一步规范和加强政策解读工作的通知》（淄政办字〔2022〕12号），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政府同意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就进一步规范和加强政策解读工作通知如下。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明确政策解读范围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政策解读范围应至少包括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政府（办公室）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、经济开发区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政府部门和法律、法规授权的具有管理公共事务职能的组织名义印发的规范性文件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规范性文件以外的具有涉及面广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与民生关系密切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社会关注度高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专业性较强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影响市场预期等一种或几种情形的主动公开的重要政策性文件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政府全体会议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政府常务会议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、经济开发区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及部门办公会议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以及其他与群众利益密切相关的政府重要会议精神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其他有明确规定和要求需要解读的事项。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各级各部门可在此基础上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结合本地本部门实际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进一步细化确定本机关政策解读的范围。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落实政策解读责任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政策解读应坚持“谁起草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谁解读”“谁解读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谁负责”原则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（办公室）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出台的政策性文件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由文件起草部门负责解读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政府全体会议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常务会议研究确定的事项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由议题提报单位负责解读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、经济开发区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部门制发的政策性文件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由文件起草科室负责组织解读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两个以上政府部门联合制发的政策性文件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由牵头部门会同联合发文部门组织解读。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政府办公室负责推进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协调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监督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全县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的政策解读工作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单位主要负责人是政策解读的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第一解读人和责任人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规范解读程序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严格落实政策解读“三同步”工作机制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即政策性文件与解读方案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解读材料同步组织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同步审签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同步部署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解读方案应明确解读工作的组织实施安排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包括解读提纲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解读渠道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解读时间等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主要对解读工作按阶段或进程作具体部署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明确解读工作的时限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内容和重点等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复杂的政策性文件需要长篇解读的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应在解读方案中列出解读材料提纲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需要多篇解读材料的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应在解读方案中列出解读材料目录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首次解读材料应于文件公开后3个工作日内公开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根据实际情况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适时开展政策施行后跟踪解读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对政策发布后社会的普遍疑虑和争议点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要有针对性地开展深度解读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延伸解读。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政府（办公室）名义制发的重要政策性文件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起草部门应将解读方案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解读材料和政策性文件代拟稿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含电子版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一并报送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不同步报送的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政府办公室可予以退文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政府办公室公文审核科室要对解读材料的内容质量进行严格把关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若起草部门认为提报的文件无需解读的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应在提报时作出书面说明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政府办公室公文审核科室负责研判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政府办公室公文审核科室认为有必要解读的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可要求起草部门补充解读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意见不一致的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政府办公室负责人审定。政策性文件和解读材料经审签同意正式印发后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，由县政府办公室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政府门户网站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发布，文件起草部门负责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协调主流媒体发布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并按照解读方案组织开展其他解读工作。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各镇（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街道、经济开发区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）及部门的解读程序由各级各部门根据本单位实际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参照县政府的解读程序执行，并制定本单位解读方案。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报批时要将解读方案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解读材料和政策性文件一并报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负责人审签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审签后按照解读方案实施解读工作。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把握政策解读内容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政策解读要注重实质性解读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要把与群众企业生产生活密切 相关的具体条款和政策事项作为解读重点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做到全面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精准传递政策意图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不能以简单复制摘抄文件内容或者制作文件精简版方式进行解读。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解读工作要求 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对制定背景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决策依据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出台目的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重要举措进行说明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涉及公民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法人或者其他组织权利义务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切身利益及重大公共利益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需要社会公众知悉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配合的条款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要说明具体做法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制定依据及合法性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合理性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对政策性文件中的关键词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专业术语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以及社会公众可能误解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疑问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质疑的内容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要进行全面诠释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涉及政务服务事项的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要说明受理单位和地址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办事条件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所需资料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办理程序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办理时限以及其他注意事项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涉及行政执法事项的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要说明执行范围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执行程序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执行标准等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属对原有政策进行修订的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要说明修订的理由和新旧政策的衔接和差异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属贯彻执行上级政策的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要说明本级政策措施与上级的异同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会议解读要重点对会议召开的背景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议定事项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下一步工作措施等进行详细说明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政策解读材料应明确政策咨询联系人和联系电话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方便群众咨询。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丰富政策解读形式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各级各部门单位可积极运用新闻发布会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吹风会等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电视问政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网络问政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媒体专访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座谈访谈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撰写文章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简明问答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送政策上门等方式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采用图片图表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音频视频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H5动画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卡通动漫等群众喜闻乐见的展现形式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使用通俗易懂的语言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配以客观事实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客观数据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生动案例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进行立体式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多方位解读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真正让群众看得懂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记得住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信得过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用得上。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对专业性较强的政策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要发挥专家学者的作用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进行专业解 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提升解读的准确性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权威性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对群众关切和社会热点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要主动快速引导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释放权威信号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正面回应疑虑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推动解决实际问题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赢得群众理解和支持。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政府常务会议研究确定的重大政策措施出台后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文件起草部门可通过新闻发布会进行解读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涉及全局性重大民生问题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社会高度关注的重要政策措施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政府名义召开新闻发布会进行发布解读。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级政策文件由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政府办公室统一安排制作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动漫和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图文解读材料。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政府各部门单位代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政府起草以及本部门单位制定的政策性文件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在文字解读材料定稿后应及时对接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县大数据中心（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3228369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统一安排制作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动漫和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图文解读材料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。县直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部门单位要做到凡有文字解读的政策文件原则上要有图文解读。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拓展解读发布平台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政府门户网站设立政策解读专栏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集中汇总发布政策解读材料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同时做好政策性文件与解读材料的相互关联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要统筹运用新闻发布会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新闻网站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政务新媒体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广播电视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报刊杂志等各种渠道发布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转载政策解读材料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努力提高政策到达率和知晓度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部门单位，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可利用“12345”政务服务便民热线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实体服务大厅和政务服务网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依托综合服务窗口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为企业群众提供“一号答”“一站式”的政策咨询服务。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做好监督保障工作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健全工作机制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各级各部门单位要建立健全政策解读全链条管理机制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正确把握政策解读的节奏和力度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落实政策解读常态化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要进一步做好政策解读工作的人员配备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确保政策解读与公文办理环节的高效融合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可根据实际情况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组建由政策制定参与者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专业机构从业人员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专家学者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新闻评论员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媒体记者等组成的解读专家队伍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对涉及群众切身利益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影响市场预期等的重要政策性文件开展多角度解读。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加强培训考核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进一步加强文件起草人员和信息发布人员政策解读方面的业务培训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提高解读意识和工作能力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。各级各部门单位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要将政策解读工作纳入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工作考核评估范围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，县政府办公室将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定期检查通报本行政区域内各行政机关政策解读工作的开展情况。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建立督办约束机制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部门单位主要负责人要履 行好重大政策“第一解读人”职责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将重大政策解读情况纳入日常工作计划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县政府办公室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定期对本通知落实情况进行督办检查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对政策解读工作推动有力的通报表扬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对重大政策不解读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解读流于形式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解读发布时间滞后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解读质量差的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严肃批评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公开通报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限期整改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对由于重大政策应解读未解读或解读不到位等引发重大舆情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造成严重社会影响的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依法追究有关单位和人员的责任。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沂源县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此件公开发布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7332"/>
          <w:tab w:val="left" w:pos="8640"/>
        </w:tabs>
        <w:spacing w:line="480" w:lineRule="exact"/>
        <w:ind w:firstLine="280" w:firstLineChars="1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56134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5pt;height:0.05pt;width:442pt;z-index:251660288;mso-width-relative:page;mso-height-relative:page;" filled="f" stroked="t" coordsize="21600,21600" o:gfxdata="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zgC7NYAAAAGAQAADwAAAAAAAAABACAAAAAiAAAAZHJzL2Rvd25yZXYueG1sUEsB&#10;AhQAFAAAAAgAh07iQKpAer33AQAA5wMAAA4AAAAAAAAAAQAgAAAAJQ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134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.05pt;width:442pt;z-index:251661312;mso-width-relative:page;mso-height-relative:page;" filled="f" stroked="t" coordsize="21600,21600" o:gfxdata="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f/jQdQAAAAEAQAADwAAAAAAAAABACAAAAAiAAAAZHJzL2Rvd25yZXYueG1sUEsBAhQA&#10;FAAAAAgAh07iQBJC7G32AQAA5wMAAA4AAAAAAAAAAQAgAAAAIw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>沂源县人民政府办公室             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仿宋_GB2312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仿宋_GB2312" w:eastAsia="仿宋_GB2312" w:cs="Times New Roman"/>
          <w:sz w:val="28"/>
          <w:szCs w:val="28"/>
        </w:rPr>
        <w:t>月</w:t>
      </w:r>
      <w:r>
        <w:rPr>
          <w:rFonts w:hint="eastAsia" w:ascii="Times New Roman" w:hAnsi="仿宋_GB2312" w:eastAsia="仿宋_GB2312" w:cs="Times New Roman"/>
          <w:sz w:val="28"/>
          <w:szCs w:val="28"/>
          <w:lang w:val="en-US" w:eastAsia="zh-CN"/>
        </w:rPr>
        <w:t>30</w:t>
      </w:r>
      <w:r>
        <w:rPr>
          <w:rFonts w:ascii="Times New Roman" w:hAnsi="仿宋_GB2312" w:eastAsia="仿宋_GB2312" w:cs="Times New Roman"/>
          <w:sz w:val="28"/>
          <w:szCs w:val="28"/>
        </w:rPr>
        <w:t>日印发</w:t>
      </w:r>
    </w:p>
    <w:p>
      <w:pPr>
        <w:spacing w:line="100" w:lineRule="exact"/>
        <w:ind w:firstLine="883" w:firstLineChars="200"/>
        <w:jc w:val="left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sectPr>
      <w:footerReference r:id="rId3" w:type="default"/>
      <w:pgSz w:w="11906" w:h="16838"/>
      <w:pgMar w:top="1984" w:right="1531" w:bottom="1701" w:left="1531" w:header="851" w:footer="138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D5ECA7-4E76-4E59-A24A-B917F3BAF9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A47AB18-BAE9-407C-9D98-868D661295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16157E-3F1B-43DB-B682-DAC2B49C958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077E38D-C352-4806-A059-87C0F2B71F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283B6DD-8FDB-4326-90EC-03A971376C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TYwYTgwZmU0NjUwODdhM2RmZGY0MTlkN2YwMTAifQ=="/>
  </w:docVars>
  <w:rsids>
    <w:rsidRoot w:val="5F6925C4"/>
    <w:rsid w:val="1ADA442A"/>
    <w:rsid w:val="1F107B4A"/>
    <w:rsid w:val="25323D50"/>
    <w:rsid w:val="30703272"/>
    <w:rsid w:val="39F41558"/>
    <w:rsid w:val="417C0185"/>
    <w:rsid w:val="41DA177F"/>
    <w:rsid w:val="42E14D4C"/>
    <w:rsid w:val="50E5735E"/>
    <w:rsid w:val="555A1695"/>
    <w:rsid w:val="5D222517"/>
    <w:rsid w:val="5F6925C4"/>
    <w:rsid w:val="63EB0A6F"/>
    <w:rsid w:val="69A676BD"/>
    <w:rsid w:val="728B5C2A"/>
    <w:rsid w:val="739E639D"/>
    <w:rsid w:val="75347089"/>
    <w:rsid w:val="76E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3138</Words>
  <Characters>3169</Characters>
  <Lines>0</Lines>
  <Paragraphs>0</Paragraphs>
  <TotalTime>1</TotalTime>
  <ScaleCrop>false</ScaleCrop>
  <LinksUpToDate>false</LinksUpToDate>
  <CharactersWithSpaces>3204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2022-04-07T05:50:00Z</dcterms:created>
  <dc:creator>白白白白</dc:creator>
  <cp:lastModifiedBy>白白白白</cp:lastModifiedBy>
  <cp:lastPrinted>2022-05-04T05:29:00Z</cp:lastPrinted>
  <dcterms:modified xsi:type="dcterms:W3CDTF">2022-06-17T06:39:07Z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2CD0845BC6324A56A4E3B6AEC1A6B2C0</vt:lpwstr>
  </property>
  <property fmtid="{D5CDD505-2E9C-101B-9397-08002B2CF9AE}" pid="4" name="commondata">
    <vt:lpwstr>eyJoZGlkIjoiZWQyMTI5NzMyOGMwNDg5ZDVkODUwNWFhYjhmNjgyMTMifQ==</vt:lpwstr>
  </property>
</Properties>
</file>