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eastAsia="方正小标宋简体"/>
          <w:color w:val="FF0000"/>
          <w:w w:val="45"/>
          <w:sz w:val="130"/>
          <w:szCs w:val="130"/>
        </w:rPr>
      </w:pPr>
      <w:r>
        <w:rPr>
          <w:rFonts w:hint="eastAsia" w:ascii="方正小标宋简体" w:eastAsia="方正小标宋简体"/>
          <w:color w:val="FF0000"/>
          <w:sz w:val="130"/>
          <w:szCs w:val="130"/>
        </w:rPr>
        <w:pict>
          <v:line id="_x0000_s2057" o:spid="_x0000_s2057" o:spt="20" style="position:absolute;left:0pt;margin-left:282.95pt;margin-top:87.45pt;height:0pt;width:0pt;z-index:251668480;mso-width-relative:page;mso-height-relative:page;" coordsize="21600,21600">
            <v:path arrowok="t"/>
            <v:fill focussize="0,0"/>
            <v:stroke/>
            <v:imagedata o:title=""/>
            <o:lock v:ext="edit"/>
          </v:line>
        </w:pict>
      </w:r>
    </w:p>
    <w:p>
      <w:pPr>
        <w:tabs>
          <w:tab w:val="left" w:pos="1460"/>
          <w:tab w:val="center" w:pos="4422"/>
        </w:tabs>
        <w:spacing w:line="420" w:lineRule="exact"/>
        <w:rPr>
          <w:rFonts w:hint="eastAsia" w:ascii="仿宋_GB2312"/>
          <w:b/>
          <w:szCs w:val="32"/>
        </w:rPr>
      </w:pPr>
      <w:bookmarkStart w:id="7" w:name="_GoBack"/>
      <w:bookmarkEnd w:id="7"/>
      <w:r>
        <w:rPr>
          <w:rFonts w:ascii="仿宋_GB2312"/>
          <w:b/>
          <w:szCs w:val="32"/>
        </w:rPr>
        <w:tab/>
      </w:r>
    </w:p>
    <w:p>
      <w:pPr>
        <w:widowControl w:val="0"/>
        <w:spacing w:line="560" w:lineRule="exact"/>
        <w:jc w:val="center"/>
        <w:rPr>
          <w:rFonts w:ascii="Times New Roman" w:hAnsi="Times New Roman" w:eastAsia="仿宋_GB2312" w:cs="Times New Roman"/>
          <w:bCs/>
          <w:sz w:val="32"/>
          <w:szCs w:val="32"/>
        </w:rPr>
      </w:pPr>
      <w:r>
        <w:rPr>
          <w:rFonts w:ascii="Times New Roman" w:hAnsi="仿宋_GB2312" w:eastAsia="仿宋_GB2312" w:cs="Times New Roman"/>
          <w:bCs/>
          <w:sz w:val="32"/>
          <w:szCs w:val="32"/>
        </w:rPr>
        <w:t>源政办字〔</w:t>
      </w:r>
      <w:r>
        <w:rPr>
          <w:rFonts w:ascii="Times New Roman" w:hAnsi="Times New Roman" w:eastAsia="仿宋_GB2312" w:cs="Times New Roman"/>
          <w:bCs/>
          <w:sz w:val="32"/>
          <w:szCs w:val="32"/>
        </w:rPr>
        <w:t>2020</w:t>
      </w:r>
      <w:r>
        <w:rPr>
          <w:rFonts w:ascii="Times New Roman" w:hAnsi="仿宋_GB2312" w:eastAsia="仿宋_GB2312" w:cs="Times New Roman"/>
          <w:bCs/>
          <w:sz w:val="32"/>
          <w:szCs w:val="32"/>
        </w:rPr>
        <w:t>〕</w:t>
      </w:r>
      <w:r>
        <w:rPr>
          <w:rFonts w:ascii="Times New Roman" w:hAnsi="Times New Roman" w:eastAsia="仿宋_GB2312" w:cs="Times New Roman"/>
          <w:bCs/>
          <w:sz w:val="32"/>
          <w:szCs w:val="32"/>
        </w:rPr>
        <w:t>89</w:t>
      </w:r>
      <w:r>
        <w:rPr>
          <w:rFonts w:ascii="Times New Roman" w:hAnsi="仿宋_GB2312" w:eastAsia="仿宋_GB2312" w:cs="Times New Roman"/>
          <w:bCs/>
          <w:sz w:val="32"/>
          <w:szCs w:val="32"/>
        </w:rPr>
        <w:t>号</w:t>
      </w:r>
    </w:p>
    <w:p>
      <w:pPr>
        <w:tabs>
          <w:tab w:val="left" w:pos="1460"/>
          <w:tab w:val="center" w:pos="4422"/>
        </w:tabs>
        <w:spacing w:line="580" w:lineRule="exact"/>
        <w:rPr>
          <w:rFonts w:hint="eastAsia" w:ascii="仿宋_GB2312"/>
          <w:b/>
          <w:szCs w:val="32"/>
        </w:rPr>
      </w:pPr>
    </w:p>
    <w:p>
      <w:pPr>
        <w:widowControl w:val="0"/>
        <w:spacing w:line="520" w:lineRule="exact"/>
        <w:jc w:val="center"/>
        <w:rPr>
          <w:rFonts w:ascii="Times New Roman" w:hAnsi="Times New Roman" w:eastAsia="方正小标宋简体" w:cs="Times New Roman"/>
          <w:bCs/>
          <w:sz w:val="44"/>
          <w:szCs w:val="44"/>
        </w:rPr>
      </w:pPr>
    </w:p>
    <w:p>
      <w:pPr>
        <w:widowControl w:val="0"/>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沂源县人民政府办公室</w:t>
      </w:r>
    </w:p>
    <w:p>
      <w:pPr>
        <w:widowControl w:val="0"/>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关于印发2020年沂源县政务公开工作</w:t>
      </w:r>
    </w:p>
    <w:p>
      <w:pPr>
        <w:widowControl w:val="0"/>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考核方案的通知</w:t>
      </w:r>
    </w:p>
    <w:p>
      <w:pPr>
        <w:widowControl w:val="0"/>
        <w:spacing w:line="560" w:lineRule="exact"/>
        <w:jc w:val="center"/>
        <w:rPr>
          <w:rFonts w:ascii="Times New Roman" w:hAnsi="Times New Roman" w:eastAsia="方正小标宋简体" w:cs="Times New Roman"/>
          <w:bCs/>
          <w:sz w:val="44"/>
          <w:szCs w:val="44"/>
        </w:rPr>
      </w:pPr>
    </w:p>
    <w:p>
      <w:pPr>
        <w:widowControl w:val="0"/>
        <w:adjustRightInd/>
        <w:snapToGrid/>
        <w:spacing w:line="560" w:lineRule="exact"/>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各镇人民政府，各街道办事处，开发区管委会，县政府有关部门，有关企事业单位：</w:t>
      </w:r>
    </w:p>
    <w:p>
      <w:pPr>
        <w:widowControl w:val="0"/>
        <w:adjustRightInd/>
        <w:snapToGrid/>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《2020年沂源县政务公开工作考核方案》已经县政府同意，现印发给你们，请认真组织实施。</w:t>
      </w:r>
    </w:p>
    <w:p>
      <w:pPr>
        <w:widowControl w:val="0"/>
        <w:spacing w:line="560" w:lineRule="exact"/>
        <w:ind w:firstLine="4800" w:firstLineChars="1500"/>
        <w:jc w:val="both"/>
        <w:rPr>
          <w:rFonts w:ascii="Times New Roman" w:hAnsi="Times New Roman" w:eastAsia="仿宋_GB2312" w:cs="Times New Roman"/>
          <w:bCs/>
          <w:sz w:val="32"/>
          <w:szCs w:val="32"/>
        </w:rPr>
      </w:pPr>
    </w:p>
    <w:p>
      <w:pPr>
        <w:widowControl w:val="0"/>
        <w:spacing w:line="560" w:lineRule="exact"/>
        <w:ind w:firstLine="4800" w:firstLineChars="1500"/>
        <w:jc w:val="both"/>
        <w:rPr>
          <w:rFonts w:ascii="Times New Roman" w:hAnsi="Times New Roman" w:eastAsia="仿宋_GB2312" w:cs="Times New Roman"/>
          <w:bCs/>
          <w:sz w:val="32"/>
          <w:szCs w:val="32"/>
        </w:rPr>
      </w:pPr>
    </w:p>
    <w:p>
      <w:pPr>
        <w:widowControl w:val="0"/>
        <w:spacing w:line="560" w:lineRule="exact"/>
        <w:ind w:firstLine="4800" w:firstLineChars="15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沂源县人民政府办公室</w:t>
      </w:r>
    </w:p>
    <w:p>
      <w:pPr>
        <w:widowControl w:val="0"/>
        <w:spacing w:line="560" w:lineRule="exact"/>
        <w:ind w:firstLine="5120" w:firstLineChars="16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2020年12月</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日</w:t>
      </w:r>
    </w:p>
    <w:p>
      <w:pPr>
        <w:widowControl w:val="0"/>
        <w:adjustRightInd/>
        <w:snapToGrid/>
        <w:spacing w:line="560" w:lineRule="exact"/>
        <w:ind w:firstLine="640" w:firstLineChars="200"/>
        <w:jc w:val="both"/>
        <w:rPr>
          <w:rFonts w:ascii="Times New Roman" w:hAnsi="Times New Roman" w:eastAsia="仿宋_GB2312" w:cs="Times New Roman"/>
          <w:bCs/>
          <w:sz w:val="32"/>
          <w:szCs w:val="32"/>
        </w:rPr>
      </w:pPr>
    </w:p>
    <w:p>
      <w:pPr>
        <w:widowControl w:val="0"/>
        <w:spacing w:line="560" w:lineRule="exact"/>
        <w:jc w:val="center"/>
        <w:rPr>
          <w:rFonts w:hint="eastAsia" w:ascii="Times New Roman" w:hAnsi="Times New Roman" w:eastAsia="方正小标宋简体" w:cs="Times New Roman"/>
          <w:bCs/>
          <w:sz w:val="44"/>
          <w:szCs w:val="44"/>
        </w:rPr>
      </w:pPr>
    </w:p>
    <w:p>
      <w:pPr>
        <w:widowControl w:val="0"/>
        <w:spacing w:line="560" w:lineRule="exact"/>
        <w:jc w:val="center"/>
        <w:rPr>
          <w:rFonts w:ascii="Times New Roman" w:hAnsi="Times New Roman" w:eastAsia="方正小标宋简体" w:cs="Times New Roman"/>
          <w:bCs/>
          <w:sz w:val="44"/>
          <w:szCs w:val="44"/>
        </w:rPr>
      </w:pPr>
    </w:p>
    <w:p>
      <w:pPr>
        <w:widowControl w:val="0"/>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2020年沂源县政务公开工作考核方案</w:t>
      </w:r>
    </w:p>
    <w:p>
      <w:pPr>
        <w:widowControl w:val="0"/>
        <w:spacing w:line="560" w:lineRule="exact"/>
        <w:jc w:val="center"/>
        <w:rPr>
          <w:rFonts w:ascii="Times New Roman" w:hAnsi="Times New Roman" w:eastAsia="方正小标宋简体" w:cs="Times New Roman"/>
          <w:bCs/>
          <w:sz w:val="44"/>
          <w:szCs w:val="44"/>
        </w:rPr>
      </w:pPr>
    </w:p>
    <w:p>
      <w:pPr>
        <w:widowControl w:val="0"/>
        <w:spacing w:line="560" w:lineRule="exact"/>
        <w:ind w:firstLine="645"/>
        <w:jc w:val="both"/>
        <w:rPr>
          <w:rFonts w:ascii="Times New Roman" w:hAnsi="Times New Roman" w:eastAsia="仿宋_GB2312" w:cs="Times New Roman"/>
          <w:bCs/>
          <w:color w:val="000000"/>
          <w:sz w:val="32"/>
          <w:szCs w:val="32"/>
        </w:rPr>
      </w:pPr>
      <w:r>
        <w:rPr>
          <w:rFonts w:ascii="Times New Roman" w:hAnsi="Times New Roman" w:eastAsia="仿宋_GB2312" w:cs="Times New Roman"/>
          <w:bCs/>
          <w:sz w:val="32"/>
          <w:szCs w:val="32"/>
        </w:rPr>
        <w:t>为组织开展好2020年政务公开考核工作，推动我县政务公开工作深入开展，制定本方案。</w:t>
      </w:r>
    </w:p>
    <w:p>
      <w:pPr>
        <w:widowControl w:val="0"/>
        <w:spacing w:line="560" w:lineRule="exact"/>
        <w:ind w:firstLine="640" w:firstLineChars="200"/>
        <w:jc w:val="both"/>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一、考核对象</w:t>
      </w:r>
    </w:p>
    <w:p>
      <w:pPr>
        <w:widowControl w:val="0"/>
        <w:spacing w:line="560" w:lineRule="exact"/>
        <w:ind w:firstLine="645"/>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本年度政务公开工作考核对象为各镇人民政府、各街道办事处、开发区管委会、县政府有关部门、有关企事业单位（名单见附件1）。</w:t>
      </w:r>
    </w:p>
    <w:p>
      <w:pPr>
        <w:widowControl w:val="0"/>
        <w:numPr>
          <w:ilvl w:val="0"/>
          <w:numId w:val="1"/>
        </w:numPr>
        <w:spacing w:line="560" w:lineRule="exact"/>
        <w:ind w:firstLine="645"/>
        <w:jc w:val="both"/>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考核内容</w:t>
      </w:r>
    </w:p>
    <w:p>
      <w:pPr>
        <w:widowControl w:val="0"/>
        <w:spacing w:line="560"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考核内容主要包括行政权力运行公开</w:t>
      </w:r>
      <w:r>
        <w:rPr>
          <w:rFonts w:ascii="Times New Roman" w:hAnsi="Times New Roman" w:eastAsia="仿宋_GB2312" w:cs="Times New Roman"/>
          <w:bCs/>
          <w:sz w:val="32"/>
          <w:szCs w:val="32"/>
        </w:rPr>
        <w:t>、重点领域信息公开、依申请公开、政策解读与回应关切、政务公开保障机制</w:t>
      </w:r>
      <w:r>
        <w:rPr>
          <w:rFonts w:ascii="Times New Roman" w:hAnsi="Times New Roman" w:eastAsia="仿宋_GB2312" w:cs="Times New Roman"/>
          <w:bCs/>
          <w:color w:val="000000"/>
          <w:sz w:val="32"/>
          <w:szCs w:val="32"/>
        </w:rPr>
        <w:t>等5个方面（具体指标见附件2）；政务公开考核材料报送主要包括组织领导、制度建设、推进落实、保障监督及创新创优等方面内容（见附件3）。</w:t>
      </w:r>
    </w:p>
    <w:p>
      <w:pPr>
        <w:widowControl w:val="0"/>
        <w:spacing w:line="560" w:lineRule="exact"/>
        <w:ind w:firstLine="640" w:firstLineChars="200"/>
        <w:jc w:val="both"/>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三、考核方法</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根据《2020年沂源县政务公开工作考核指标体系》，通过对考核对象在政府网站公开各类信息以及依申请公开答复的情况等，对各单位进行考核，总得分按照实际得分折合为百分制，形成各部门、单位考核最终成绩。如某单位总分35分，得分28分，最终得分为（28/35)×100=80分。</w:t>
      </w:r>
    </w:p>
    <w:p>
      <w:pPr>
        <w:widowControl w:val="0"/>
        <w:adjustRightInd/>
        <w:snapToGrid/>
        <w:spacing w:line="560"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黑体" w:cs="Times New Roman"/>
          <w:bCs/>
          <w:sz w:val="32"/>
          <w:szCs w:val="32"/>
        </w:rPr>
        <w:t>四、考核时间安排</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1.2020年12月中旬前，被考核单位开展自查整改。</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2.2020年12月25日前，被考核单位提报材料。</w:t>
      </w:r>
    </w:p>
    <w:p>
      <w:pPr>
        <w:widowControl w:val="0"/>
        <w:spacing w:line="560" w:lineRule="exact"/>
        <w:ind w:left="638" w:leftChars="290"/>
        <w:jc w:val="both"/>
        <w:rPr>
          <w:rFonts w:ascii="Times New Roman" w:hAnsi="Times New Roman" w:eastAsia="仿宋_GB2312" w:cs="Times New Roman"/>
          <w:bCs/>
          <w:color w:val="FF0000"/>
          <w:sz w:val="32"/>
          <w:szCs w:val="32"/>
        </w:rPr>
      </w:pPr>
      <w:r>
        <w:rPr>
          <w:rFonts w:ascii="Times New Roman" w:hAnsi="Times New Roman" w:eastAsia="仿宋_GB2312" w:cs="Times New Roman"/>
          <w:bCs/>
          <w:sz w:val="32"/>
          <w:szCs w:val="32"/>
        </w:rPr>
        <w:t>3.2021年1月初，考核成绩报县考核办。</w:t>
      </w:r>
    </w:p>
    <w:p>
      <w:pPr>
        <w:widowControl w:val="0"/>
        <w:spacing w:line="560" w:lineRule="exact"/>
        <w:ind w:firstLine="640" w:firstLineChars="200"/>
        <w:jc w:val="both"/>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五、考核结果运用</w:t>
      </w:r>
    </w:p>
    <w:p>
      <w:pPr>
        <w:widowControl w:val="0"/>
        <w:spacing w:line="560"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仿宋_GB2312" w:cs="Times New Roman"/>
          <w:bCs/>
          <w:sz w:val="32"/>
          <w:szCs w:val="32"/>
        </w:rPr>
        <w:t>将各镇人民政府、各街道办事处、开发区管委会、县政府有关部门、有关企事业单位的考核结果反馈至各被考核单位，考核结果报县考核办计入经济社会发展综合考核成绩。</w:t>
      </w:r>
    </w:p>
    <w:p>
      <w:pPr>
        <w:widowControl w:val="0"/>
        <w:spacing w:line="560" w:lineRule="exact"/>
        <w:ind w:firstLine="640" w:firstLineChars="200"/>
        <w:jc w:val="both"/>
        <w:rPr>
          <w:rFonts w:ascii="Times New Roman" w:hAnsi="Times New Roman" w:eastAsia="仿宋_GB2312" w:cs="Times New Roman"/>
          <w:bCs/>
          <w:color w:val="000000"/>
          <w:sz w:val="32"/>
          <w:szCs w:val="32"/>
        </w:rPr>
      </w:pPr>
    </w:p>
    <w:p>
      <w:pPr>
        <w:widowControl w:val="0"/>
        <w:spacing w:line="560"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附件：1.</w:t>
      </w:r>
      <w:bookmarkStart w:id="0" w:name="_Hlk22119141"/>
      <w:r>
        <w:rPr>
          <w:rFonts w:ascii="Times New Roman" w:hAnsi="Times New Roman" w:eastAsia="仿宋_GB2312" w:cs="Times New Roman"/>
          <w:bCs/>
          <w:color w:val="000000"/>
          <w:sz w:val="32"/>
          <w:szCs w:val="32"/>
        </w:rPr>
        <w:t>参与考核的部门、</w:t>
      </w:r>
      <w:bookmarkEnd w:id="0"/>
      <w:r>
        <w:rPr>
          <w:rFonts w:ascii="Times New Roman" w:hAnsi="Times New Roman" w:eastAsia="仿宋_GB2312" w:cs="Times New Roman"/>
          <w:bCs/>
          <w:color w:val="000000"/>
          <w:sz w:val="32"/>
          <w:szCs w:val="32"/>
        </w:rPr>
        <w:t>单位名单</w:t>
      </w:r>
    </w:p>
    <w:p>
      <w:pPr>
        <w:widowControl w:val="0"/>
        <w:spacing w:line="560" w:lineRule="exact"/>
        <w:ind w:firstLine="1600" w:firstLineChars="500"/>
        <w:jc w:val="both"/>
        <w:rPr>
          <w:rFonts w:ascii="Times New Roman" w:hAnsi="Times New Roman" w:eastAsia="仿宋_GB2312" w:cs="Times New Roman"/>
          <w:bCs/>
          <w:sz w:val="32"/>
          <w:szCs w:val="32"/>
        </w:rPr>
      </w:pPr>
      <w:r>
        <w:rPr>
          <w:rFonts w:ascii="Times New Roman" w:hAnsi="Times New Roman" w:eastAsia="仿宋_GB2312" w:cs="Times New Roman"/>
          <w:bCs/>
          <w:color w:val="000000"/>
          <w:sz w:val="32"/>
          <w:szCs w:val="32"/>
        </w:rPr>
        <w:t>2.2020</w:t>
      </w:r>
      <w:r>
        <w:rPr>
          <w:rFonts w:ascii="Times New Roman" w:hAnsi="Times New Roman" w:eastAsia="仿宋_GB2312" w:cs="Times New Roman"/>
          <w:bCs/>
          <w:sz w:val="32"/>
          <w:szCs w:val="32"/>
        </w:rPr>
        <w:t>年沂源县政务公开工作指标体系及说明</w:t>
      </w:r>
    </w:p>
    <w:p>
      <w:pPr>
        <w:widowControl w:val="0"/>
        <w:spacing w:line="560" w:lineRule="exact"/>
        <w:ind w:firstLine="1600" w:firstLineChars="500"/>
        <w:jc w:val="both"/>
        <w:rPr>
          <w:rFonts w:ascii="Times New Roman" w:hAnsi="Times New Roman" w:eastAsia="仿宋_GB2312" w:cs="Times New Roman"/>
          <w:bCs/>
          <w:sz w:val="32"/>
          <w:szCs w:val="32"/>
        </w:rPr>
      </w:pPr>
      <w:r>
        <w:rPr>
          <w:rFonts w:ascii="Times New Roman" w:hAnsi="Times New Roman" w:eastAsia="仿宋_GB2312" w:cs="Times New Roman"/>
          <w:bCs/>
          <w:color w:val="000000"/>
          <w:sz w:val="32"/>
          <w:szCs w:val="32"/>
        </w:rPr>
        <w:t>3.2020年沂源县政务公开</w:t>
      </w:r>
      <w:r>
        <w:rPr>
          <w:rFonts w:ascii="Times New Roman" w:hAnsi="Times New Roman" w:eastAsia="仿宋_GB2312" w:cs="Times New Roman"/>
          <w:bCs/>
          <w:sz w:val="32"/>
          <w:szCs w:val="32"/>
        </w:rPr>
        <w:t>工作</w:t>
      </w:r>
      <w:r>
        <w:rPr>
          <w:rFonts w:ascii="Times New Roman" w:hAnsi="Times New Roman" w:eastAsia="仿宋_GB2312" w:cs="Times New Roman"/>
          <w:bCs/>
          <w:color w:val="000000"/>
          <w:sz w:val="32"/>
          <w:szCs w:val="32"/>
        </w:rPr>
        <w:t>考核报送材料清单</w:t>
      </w:r>
    </w:p>
    <w:p>
      <w:pPr>
        <w:widowControl w:val="0"/>
        <w:spacing w:line="560" w:lineRule="exact"/>
        <w:jc w:val="both"/>
        <w:rPr>
          <w:rFonts w:ascii="Times New Roman" w:hAnsi="Times New Roman" w:eastAsia="仿宋_GB2312" w:cs="Times New Roman"/>
          <w:bCs/>
          <w:color w:val="000000"/>
          <w:sz w:val="32"/>
          <w:szCs w:val="32"/>
        </w:rPr>
      </w:pPr>
    </w:p>
    <w:p>
      <w:pPr>
        <w:widowControl w:val="0"/>
        <w:spacing w:line="560" w:lineRule="exact"/>
        <w:jc w:val="both"/>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br w:type="page"/>
      </w:r>
      <w:r>
        <w:rPr>
          <w:rFonts w:ascii="Times New Roman" w:hAnsi="Times New Roman" w:eastAsia="黑体" w:cs="Times New Roman"/>
          <w:bCs/>
          <w:color w:val="000000"/>
          <w:sz w:val="32"/>
          <w:szCs w:val="32"/>
        </w:rPr>
        <w:t>附件1</w:t>
      </w:r>
    </w:p>
    <w:p>
      <w:pPr>
        <w:widowControl w:val="0"/>
        <w:spacing w:line="560" w:lineRule="exact"/>
        <w:jc w:val="both"/>
        <w:rPr>
          <w:rFonts w:ascii="Times New Roman" w:hAnsi="Times New Roman" w:eastAsia="方正小标宋_GBK" w:cs="Times New Roman"/>
          <w:bCs/>
          <w:color w:val="000000"/>
          <w:sz w:val="44"/>
          <w:szCs w:val="44"/>
        </w:rPr>
      </w:pPr>
    </w:p>
    <w:p>
      <w:pPr>
        <w:widowControl w:val="0"/>
        <w:spacing w:line="560" w:lineRule="exact"/>
        <w:jc w:val="center"/>
        <w:rPr>
          <w:rFonts w:ascii="Times New Roman" w:hAnsi="Times New Roman" w:eastAsia="方正小标宋简体" w:cs="Times New Roman"/>
          <w:bCs/>
          <w:color w:val="000000"/>
          <w:sz w:val="44"/>
          <w:szCs w:val="44"/>
        </w:rPr>
      </w:pPr>
      <w:r>
        <w:rPr>
          <w:rFonts w:ascii="Times New Roman" w:hAnsi="Times New Roman" w:eastAsia="方正小标宋简体" w:cs="Times New Roman"/>
          <w:bCs/>
          <w:color w:val="000000"/>
          <w:sz w:val="44"/>
          <w:szCs w:val="44"/>
        </w:rPr>
        <w:t>参与考核的部门、单位名单</w:t>
      </w:r>
    </w:p>
    <w:p>
      <w:pPr>
        <w:widowControl w:val="0"/>
        <w:spacing w:line="560" w:lineRule="exact"/>
        <w:ind w:firstLine="640" w:firstLineChars="200"/>
        <w:jc w:val="both"/>
        <w:rPr>
          <w:rFonts w:ascii="Times New Roman" w:hAnsi="Times New Roman" w:eastAsia="仿宋" w:cs="Times New Roman"/>
          <w:bCs/>
          <w:sz w:val="32"/>
          <w:szCs w:val="32"/>
        </w:rPr>
      </w:pPr>
    </w:p>
    <w:p>
      <w:pPr>
        <w:widowControl w:val="0"/>
        <w:tabs>
          <w:tab w:val="left" w:pos="312"/>
        </w:tabs>
        <w:spacing w:line="560" w:lineRule="exact"/>
        <w:jc w:val="both"/>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县政府办公室、县发展改革局、县教育和体育局、县科技局、县工业和信息化局、县公安局、县民政局、县司法局、县财政局、县人力资源社会保障局、县自然资源局、县住房城乡建设局、县交通运输局、县水利局、县农业农村局、县商务局、县文化和旅游局、县卫生健康局、县退役军人局、县应急局、县审计局、县行政审批服务局、县市场监管局、县综合行政执法局、县统计局、县信访局、市生态环境局沂源分局、市医疗保障局沂源分局、县金融证券工作服务中心、县残疾人联合会、县融媒体中心、县交警大队、县投资促进服务中心、县文旅融合发展服务中心、县扶贫办、县农业机械事业服务中心、县畜牧渔业服务中心、县气象局、县农业农村事业服务中心、县供销合作社联合社、县粮食事业服务中心、县档案馆、南麻街道、 历山街道、南鲁山镇、鲁村镇、大张庄镇、燕崖镇、中庄镇、西里镇、东里镇、张家坡镇、石桥镇、悦庄镇、沂源经济开发区</w:t>
      </w:r>
    </w:p>
    <w:p>
      <w:pPr>
        <w:widowControl w:val="0"/>
        <w:spacing w:line="560" w:lineRule="exact"/>
        <w:jc w:val="both"/>
        <w:rPr>
          <w:rFonts w:ascii="Times New Roman" w:hAnsi="Times New Roman" w:eastAsia="黑体" w:cs="Times New Roman"/>
          <w:bCs/>
          <w:color w:val="000000"/>
          <w:sz w:val="32"/>
          <w:szCs w:val="32"/>
        </w:rPr>
      </w:pPr>
    </w:p>
    <w:p>
      <w:pPr>
        <w:widowControl w:val="0"/>
        <w:spacing w:line="560" w:lineRule="exact"/>
        <w:jc w:val="both"/>
        <w:rPr>
          <w:rFonts w:ascii="Times New Roman" w:hAnsi="Times New Roman" w:eastAsia="黑体" w:cs="Times New Roman"/>
          <w:bCs/>
          <w:color w:val="000000"/>
          <w:sz w:val="32"/>
          <w:szCs w:val="32"/>
        </w:rPr>
      </w:pPr>
    </w:p>
    <w:p>
      <w:pPr>
        <w:widowControl w:val="0"/>
        <w:spacing w:line="560" w:lineRule="exact"/>
        <w:jc w:val="both"/>
        <w:rPr>
          <w:rFonts w:ascii="Times New Roman" w:hAnsi="Times New Roman" w:eastAsia="黑体" w:cs="Times New Roman"/>
          <w:bCs/>
          <w:color w:val="000000"/>
          <w:sz w:val="32"/>
          <w:szCs w:val="32"/>
        </w:rPr>
      </w:pPr>
    </w:p>
    <w:p>
      <w:pPr>
        <w:widowControl w:val="0"/>
        <w:spacing w:line="560" w:lineRule="exact"/>
        <w:jc w:val="both"/>
        <w:rPr>
          <w:rFonts w:ascii="Times New Roman" w:hAnsi="Times New Roman" w:eastAsia="黑体" w:cs="Times New Roman"/>
          <w:bCs/>
          <w:color w:val="000000"/>
          <w:sz w:val="32"/>
          <w:szCs w:val="32"/>
        </w:rPr>
      </w:pPr>
    </w:p>
    <w:p>
      <w:pPr>
        <w:widowControl w:val="0"/>
        <w:spacing w:line="560" w:lineRule="exact"/>
        <w:jc w:val="both"/>
        <w:rPr>
          <w:rFonts w:ascii="Times New Roman" w:hAnsi="Times New Roman" w:eastAsia="黑体" w:cs="Times New Roman"/>
          <w:bCs/>
          <w:color w:val="000000"/>
          <w:sz w:val="32"/>
          <w:szCs w:val="32"/>
        </w:rPr>
      </w:pPr>
    </w:p>
    <w:p>
      <w:pPr>
        <w:widowControl w:val="0"/>
        <w:spacing w:line="560" w:lineRule="exact"/>
        <w:jc w:val="both"/>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附件2</w:t>
      </w:r>
    </w:p>
    <w:p>
      <w:pPr>
        <w:widowControl w:val="0"/>
        <w:spacing w:line="560" w:lineRule="exact"/>
        <w:jc w:val="both"/>
        <w:rPr>
          <w:rFonts w:ascii="Times New Roman" w:hAnsi="Times New Roman" w:eastAsia="宋体" w:cs="Times New Roman"/>
          <w:bCs/>
          <w:sz w:val="44"/>
          <w:szCs w:val="44"/>
        </w:rPr>
      </w:pPr>
    </w:p>
    <w:p>
      <w:pPr>
        <w:widowControl w:val="0"/>
        <w:spacing w:line="560" w:lineRule="exact"/>
        <w:jc w:val="center"/>
        <w:rPr>
          <w:rFonts w:ascii="Times New Roman" w:hAnsi="Times New Roman" w:eastAsia="方正小标宋简体" w:cs="Times New Roman"/>
          <w:bCs/>
          <w:w w:val="95"/>
          <w:sz w:val="44"/>
          <w:szCs w:val="44"/>
        </w:rPr>
      </w:pPr>
      <w:r>
        <w:rPr>
          <w:rFonts w:ascii="Times New Roman" w:hAnsi="Times New Roman" w:eastAsia="方正小标宋简体" w:cs="Times New Roman"/>
          <w:bCs/>
          <w:w w:val="95"/>
          <w:sz w:val="44"/>
          <w:szCs w:val="44"/>
        </w:rPr>
        <w:t>2020年沂源县政务公开工作指标体系及说明</w:t>
      </w:r>
    </w:p>
    <w:p>
      <w:pPr>
        <w:widowControl w:val="0"/>
        <w:spacing w:line="560" w:lineRule="exact"/>
        <w:ind w:firstLine="640" w:firstLineChars="200"/>
        <w:jc w:val="both"/>
        <w:rPr>
          <w:rFonts w:ascii="Times New Roman" w:hAnsi="Times New Roman" w:eastAsia="仿宋_GB2312" w:cs="Times New Roman"/>
          <w:bCs/>
          <w:sz w:val="32"/>
          <w:szCs w:val="32"/>
        </w:rPr>
      </w:pP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shd w:val="clear" w:color="auto" w:fill="FFFFFF"/>
        </w:rPr>
        <w:t>为全面加强政务公开工作，根据市委、市政府和县委、县政府关于推进政务公开工作的各项部署要求，县</w:t>
      </w:r>
      <w:r>
        <w:rPr>
          <w:rFonts w:ascii="Times New Roman" w:hAnsi="Times New Roman" w:eastAsia="仿宋_GB2312" w:cs="Times New Roman"/>
          <w:bCs/>
          <w:sz w:val="32"/>
          <w:szCs w:val="32"/>
        </w:rPr>
        <w:t>政府办公室对2020年各部门单位政务公开工作情况进行考核。</w:t>
      </w:r>
    </w:p>
    <w:p>
      <w:pPr>
        <w:pStyle w:val="2"/>
        <w:widowControl w:val="0"/>
        <w:spacing w:line="560" w:lineRule="exact"/>
        <w:ind w:firstLine="640" w:firstLineChars="200"/>
        <w:jc w:val="both"/>
        <w:rPr>
          <w:rFonts w:ascii="Times New Roman" w:hAnsi="Times New Roman" w:eastAsia="黑体" w:cs="Times New Roman"/>
          <w:b w:val="0"/>
          <w:sz w:val="32"/>
          <w:szCs w:val="32"/>
        </w:rPr>
      </w:pPr>
      <w:r>
        <w:rPr>
          <w:rFonts w:ascii="Times New Roman" w:hAnsi="Times New Roman" w:eastAsia="黑体" w:cs="Times New Roman"/>
          <w:b w:val="0"/>
          <w:sz w:val="32"/>
          <w:szCs w:val="32"/>
        </w:rPr>
        <w:t>一、考核依据</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color w:val="000000"/>
          <w:sz w:val="32"/>
          <w:szCs w:val="32"/>
        </w:rPr>
        <w:t>考核</w:t>
      </w:r>
      <w:r>
        <w:rPr>
          <w:rFonts w:ascii="Times New Roman" w:hAnsi="Times New Roman" w:eastAsia="仿宋_GB2312" w:cs="Times New Roman"/>
          <w:bCs/>
          <w:sz w:val="32"/>
          <w:szCs w:val="32"/>
        </w:rPr>
        <w:t>主要依据《中华人民共和国政府信息公开条例》等法律法规，党中央、国务院和省委、省政府近年来发布的关于政府信息公开、政务公开的一系列文件，特别是《中共中央办公厅国务院办公厅印发&lt;关于全面推进政务公开工作的意见&gt;的通知》（中办发〔2016〕8号）、《</w:t>
      </w:r>
      <w:r>
        <w:rPr>
          <w:rFonts w:ascii="Times New Roman" w:hAnsi="Times New Roman" w:eastAsia="仿宋_GB2312" w:cs="Times New Roman"/>
          <w:bCs/>
          <w:sz w:val="32"/>
          <w:szCs w:val="32"/>
          <w:shd w:val="clear" w:color="auto" w:fill="FFFFFF"/>
        </w:rPr>
        <w:t>国务院办公厅印发&lt;关于全面推进政务公开工作的意见&gt;实施细则的通知》（国办发〔2016〕80号）、</w:t>
      </w:r>
      <w:r>
        <w:rPr>
          <w:rFonts w:ascii="Times New Roman" w:hAnsi="Times New Roman" w:eastAsia="仿宋_GB2312" w:cs="Times New Roman"/>
          <w:bCs/>
          <w:sz w:val="32"/>
          <w:szCs w:val="32"/>
        </w:rPr>
        <w:t>《国务院办公厅关于印发2020年政务公开工作要点的通知》（国办发〔2020〕17号）、《省委办公厅省政府办公厅印发&lt;关于全面推进政务公开工作的实施意见&gt;的通知》（鲁办发〔2016〕43号）、《山东省人民政府办公厅关于印发2020年山东省政务公开工作要点的通知》（鲁政办字〔2020〕78号）、《淄博市人民政府办公室关于印发淄博市2020年政务公开工作要点的通知》（淄政办字〔2020〕67号）、《沂源县人民政府办公室关于印发沂源县2020年政务公开工作要点的通知》（源政办字〔2020〕66号）等。</w:t>
      </w:r>
    </w:p>
    <w:p>
      <w:pPr>
        <w:widowControl w:val="0"/>
        <w:spacing w:line="560" w:lineRule="exact"/>
        <w:ind w:firstLine="640" w:firstLineChars="200"/>
        <w:jc w:val="both"/>
        <w:rPr>
          <w:rFonts w:ascii="Times New Roman" w:hAnsi="Times New Roman" w:eastAsia="黑体" w:cs="Times New Roman"/>
          <w:bCs/>
          <w:sz w:val="32"/>
          <w:szCs w:val="32"/>
        </w:rPr>
      </w:pPr>
      <w:r>
        <w:rPr>
          <w:rFonts w:ascii="Times New Roman" w:hAnsi="Times New Roman" w:eastAsia="黑体" w:cs="Times New Roman"/>
          <w:bCs/>
          <w:sz w:val="32"/>
          <w:szCs w:val="32"/>
        </w:rPr>
        <w:t>二、考核指标</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本次考核重点内容包括行政权力运行公开、重点领域信息公开、依申请公开、政策解读回应和政务公开保障机制五个方面。</w:t>
      </w:r>
    </w:p>
    <w:p>
      <w:pPr>
        <w:pStyle w:val="3"/>
        <w:widowControl w:val="0"/>
        <w:numPr>
          <w:ilvl w:val="0"/>
          <w:numId w:val="2"/>
        </w:numPr>
        <w:spacing w:line="560" w:lineRule="exact"/>
        <w:ind w:left="0" w:firstLine="640" w:firstLineChars="200"/>
        <w:jc w:val="both"/>
        <w:rPr>
          <w:rFonts w:ascii="Times New Roman" w:hAnsi="Times New Roman" w:eastAsia="楷体_GB2312" w:cs="Times New Roman"/>
          <w:b w:val="0"/>
        </w:rPr>
      </w:pPr>
      <w:r>
        <w:rPr>
          <w:rFonts w:ascii="Times New Roman" w:hAnsi="Times New Roman" w:eastAsia="楷体_GB2312" w:cs="Times New Roman"/>
          <w:b w:val="0"/>
        </w:rPr>
        <w:t>行政权力运行公开</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行政权力运行公开指标包括“决策公开”“管理和服务公开”“执行和结果公开”3项二级指标。</w:t>
      </w:r>
    </w:p>
    <w:p>
      <w:pPr>
        <w:pStyle w:val="4"/>
        <w:widowControl w:val="0"/>
        <w:numPr>
          <w:ilvl w:val="0"/>
          <w:numId w:val="3"/>
        </w:numPr>
        <w:spacing w:line="560" w:lineRule="exact"/>
        <w:ind w:left="0" w:firstLine="640" w:firstLineChars="200"/>
        <w:jc w:val="both"/>
        <w:rPr>
          <w:rFonts w:ascii="Times New Roman" w:hAnsi="Times New Roman" w:eastAsia="仿宋_GB2312" w:cs="Times New Roman"/>
          <w:b w:val="0"/>
        </w:rPr>
      </w:pPr>
      <w:r>
        <w:rPr>
          <w:rFonts w:ascii="Times New Roman" w:hAnsi="Times New Roman" w:eastAsia="仿宋_GB2312" w:cs="Times New Roman"/>
          <w:b w:val="0"/>
        </w:rPr>
        <w:t>决策公开</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决策公开指标包括“重大决策预公开”“会议公开”“政策文件”3项下级指标。</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重大决策预公开是对考核对象制定重大决策过程中向社会征求意见以及对征集意见是否予以采纳做出的反馈进行</w:t>
      </w:r>
      <w:r>
        <w:rPr>
          <w:rFonts w:hint="eastAsia" w:ascii="Times New Roman" w:hAnsi="Times New Roman" w:eastAsia="仿宋_GB2312" w:cs="Times New Roman"/>
          <w:bCs/>
          <w:sz w:val="32"/>
          <w:szCs w:val="32"/>
        </w:rPr>
        <w:t>考核</w:t>
      </w:r>
      <w:r>
        <w:rPr>
          <w:rFonts w:ascii="Times New Roman" w:hAnsi="Times New Roman" w:eastAsia="仿宋_GB2312" w:cs="Times New Roman"/>
          <w:bCs/>
          <w:sz w:val="32"/>
          <w:szCs w:val="32"/>
        </w:rPr>
        <w:t>。</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会议公开是对考核对象涉及重大民生问题或社会关注度高的议题是否邀请利益相关方代表列席会议进行</w:t>
      </w:r>
      <w:r>
        <w:rPr>
          <w:rFonts w:hint="eastAsia" w:ascii="Times New Roman" w:hAnsi="Times New Roman" w:eastAsia="仿宋_GB2312" w:cs="Times New Roman"/>
          <w:bCs/>
          <w:sz w:val="32"/>
          <w:szCs w:val="32"/>
        </w:rPr>
        <w:t>考核</w:t>
      </w:r>
      <w:r>
        <w:rPr>
          <w:rFonts w:ascii="Times New Roman" w:hAnsi="Times New Roman" w:eastAsia="仿宋_GB2312" w:cs="Times New Roman"/>
          <w:bCs/>
          <w:sz w:val="32"/>
          <w:szCs w:val="32"/>
        </w:rPr>
        <w:t>。</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政策文件是对政策文件专栏目录建设情况，文件查询便利性和规范性文件发布、备案、清理情况等进行</w:t>
      </w:r>
      <w:r>
        <w:rPr>
          <w:rFonts w:hint="eastAsia" w:ascii="Times New Roman" w:hAnsi="Times New Roman" w:eastAsia="仿宋_GB2312" w:cs="Times New Roman"/>
          <w:bCs/>
          <w:sz w:val="32"/>
          <w:szCs w:val="32"/>
        </w:rPr>
        <w:t>考核</w:t>
      </w:r>
      <w:r>
        <w:rPr>
          <w:rFonts w:ascii="Times New Roman" w:hAnsi="Times New Roman" w:eastAsia="仿宋_GB2312" w:cs="Times New Roman"/>
          <w:bCs/>
          <w:sz w:val="32"/>
          <w:szCs w:val="32"/>
        </w:rPr>
        <w:t>。</w:t>
      </w:r>
    </w:p>
    <w:p>
      <w:pPr>
        <w:pStyle w:val="4"/>
        <w:widowControl w:val="0"/>
        <w:numPr>
          <w:ilvl w:val="0"/>
          <w:numId w:val="3"/>
        </w:numPr>
        <w:spacing w:line="560" w:lineRule="exact"/>
        <w:ind w:left="0" w:firstLine="640" w:firstLineChars="200"/>
        <w:jc w:val="both"/>
        <w:rPr>
          <w:rFonts w:ascii="Times New Roman" w:hAnsi="Times New Roman" w:eastAsia="仿宋_GB2312" w:cs="Times New Roman"/>
          <w:b w:val="0"/>
        </w:rPr>
      </w:pPr>
      <w:r>
        <w:rPr>
          <w:rFonts w:ascii="Times New Roman" w:hAnsi="Times New Roman" w:eastAsia="仿宋_GB2312" w:cs="Times New Roman"/>
          <w:b w:val="0"/>
        </w:rPr>
        <w:t>管理和服务公开</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管理和服务公开指标包括“机构职能”“权责清单”“‘双随机、一公开’监管”“行政执法公示”“减税降费”“统计信息”“规划计划”“优化服务”“优化营商环境”等9项下级指标。</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机构职能”主要考核单位基本信息（包括单位名称、办公时间、办公地址、联系电话、传真电话、通信地址、邮政编码）、“三定”方案所列职责、主要领导姓名及分工、内设机构名称及职责，直属单位名称、地址、职责、联系方式等信息。</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权责清单包括考核对象权责清单的公开情况，以及根据法律法规立改废释情况、机构和职能调整情况等，及时调整并公开。</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“双随机、一公开”监管是对随机抽查事项清单、抽查情况、查处结果的公开情况进行考核。</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行政执法公示主要考核服务指南和执法流程图等的公开情况以及执法结果和执法总体数据公开情况。</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减税降费包括行政事业性收费目录、政府定价或指导价经营服务性收费清单和政府性基金目录。</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统计信息主要评估国民经济和社会发展公报、统计年鉴的发布公开情况，以及对相关数据的分析解读。</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规划计划包括总体规划、专项规划以及部门年度工作计划和其他计划的完成情况。</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优化服务包括证明事项目录清单、事项划转清单、政务服务好差评、政务服务办事指南发布情况等。</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优化营商环境主要评估针对优化营商环境制定的配套措施和工作动态的公开情况。</w:t>
      </w:r>
    </w:p>
    <w:p>
      <w:pPr>
        <w:pStyle w:val="4"/>
        <w:widowControl w:val="0"/>
        <w:numPr>
          <w:ilvl w:val="0"/>
          <w:numId w:val="3"/>
        </w:numPr>
        <w:spacing w:line="560" w:lineRule="exact"/>
        <w:ind w:left="0" w:firstLine="640" w:firstLineChars="200"/>
        <w:jc w:val="both"/>
        <w:rPr>
          <w:rFonts w:ascii="Times New Roman" w:hAnsi="Times New Roman" w:eastAsia="仿宋_GB2312" w:cs="Times New Roman"/>
          <w:b w:val="0"/>
        </w:rPr>
      </w:pPr>
      <w:r>
        <w:rPr>
          <w:rFonts w:ascii="Times New Roman" w:hAnsi="Times New Roman" w:eastAsia="仿宋_GB2312" w:cs="Times New Roman"/>
          <w:b w:val="0"/>
        </w:rPr>
        <w:t>执行和结果公开</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执行和结果公开指标包括“重要部署执行公开”“审计与后评估”“建议提案办理结果”3项下级指标。</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执行公开主要是考核政府工作报告、年度重点工作、民生实事项目等重大决策部署的执行措施、实施步骤、责任分工、监督方式等执行过程信息。</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审计与后评估主要是考核预算执行审计报告和其他财政收支情况、重大政策措施落实情况跟踪审计报告等公开情况，同时对在重大行政决策执行过程中，跟踪决策的实施情况，并积极开展决策执行效果评估情况进行考核。</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建议提案办理结果是对考核对象公开人大代表建议和政协委员提案办理复文全文或摘要以及总体情况进行考核。</w:t>
      </w:r>
    </w:p>
    <w:p>
      <w:pPr>
        <w:pStyle w:val="3"/>
        <w:widowControl w:val="0"/>
        <w:numPr>
          <w:ilvl w:val="0"/>
          <w:numId w:val="2"/>
        </w:numPr>
        <w:spacing w:line="560" w:lineRule="exact"/>
        <w:ind w:left="0" w:firstLine="640" w:firstLineChars="200"/>
        <w:jc w:val="both"/>
        <w:rPr>
          <w:rFonts w:ascii="Times New Roman" w:hAnsi="Times New Roman" w:eastAsia="楷体_GB2312" w:cs="Times New Roman"/>
          <w:b w:val="0"/>
        </w:rPr>
      </w:pPr>
      <w:r>
        <w:rPr>
          <w:rFonts w:ascii="Times New Roman" w:hAnsi="Times New Roman" w:eastAsia="楷体_GB2312" w:cs="Times New Roman"/>
          <w:b w:val="0"/>
        </w:rPr>
        <w:t>重点领域信息公开</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重点领域信息公开指标包括“财政信息”“重大建设项目和公共资源配置”“重点民生与公益事业”“公共监管”4项二级指标。</w:t>
      </w:r>
    </w:p>
    <w:p>
      <w:pPr>
        <w:pStyle w:val="4"/>
        <w:widowControl w:val="0"/>
        <w:numPr>
          <w:ilvl w:val="0"/>
          <w:numId w:val="4"/>
        </w:numPr>
        <w:spacing w:line="560" w:lineRule="exact"/>
        <w:ind w:left="0" w:firstLine="640" w:firstLineChars="200"/>
        <w:jc w:val="both"/>
        <w:rPr>
          <w:rFonts w:ascii="Times New Roman" w:hAnsi="Times New Roman" w:eastAsia="仿宋_GB2312" w:cs="Times New Roman"/>
          <w:b w:val="0"/>
        </w:rPr>
      </w:pPr>
      <w:r>
        <w:rPr>
          <w:rFonts w:ascii="Times New Roman" w:hAnsi="Times New Roman" w:eastAsia="仿宋_GB2312" w:cs="Times New Roman"/>
          <w:b w:val="0"/>
        </w:rPr>
        <w:t>财政信息</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财政信息指标包括“财政预决算”“专项资金使用管理”“其他财政信息”3项下级指标。</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财政预决算是考核各单位2019年财政决算（含“三公”经费决算）和2020年财政预算（含“三公”经费预算）的公开情况，以及重点项目公开情况。</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专项资金使用管理主要是包括专项资金目录和资金管理办法等管理制度，以及专项资金分配相关信息的公开情况。</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其他财政信息主要是考核月度财政收支信息公开情况和债务限额、余额、债务率、偿债率以及经济财政状况、债券发行、存续期管理等信息。</w:t>
      </w:r>
    </w:p>
    <w:p>
      <w:pPr>
        <w:pStyle w:val="4"/>
        <w:widowControl w:val="0"/>
        <w:numPr>
          <w:ilvl w:val="0"/>
          <w:numId w:val="4"/>
        </w:numPr>
        <w:spacing w:line="560" w:lineRule="exact"/>
        <w:ind w:left="0" w:firstLine="640" w:firstLineChars="200"/>
        <w:jc w:val="both"/>
        <w:rPr>
          <w:rFonts w:ascii="Times New Roman" w:hAnsi="Times New Roman" w:eastAsia="仿宋_GB2312" w:cs="Times New Roman"/>
          <w:b w:val="0"/>
        </w:rPr>
      </w:pPr>
      <w:r>
        <w:rPr>
          <w:rFonts w:ascii="Times New Roman" w:hAnsi="Times New Roman" w:eastAsia="仿宋_GB2312" w:cs="Times New Roman"/>
          <w:b w:val="0"/>
        </w:rPr>
        <w:t>重大建设项目和公共资源配置</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重大建设项目和公共资源配置指标包括“重大建设项目批准和实施领域信息”“公共资源配置领域信息”2项下级指标。</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重大建设项目指标主要包括批准服务信息和批准结果信息招标投标信息，征收土地信息、重大设计变更信息、施工有关信息、质量安全监督信息、竣工等项目实施信息公开情况。</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公共资源配置领域信息主要是包括保障性安居工程的规划建设、分配、管理等信息</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农村危房的改造政策措施以及进展情况</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政府集中采购项目目录、标准和实施情况</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公共资源的交易信息。</w:t>
      </w:r>
    </w:p>
    <w:p>
      <w:pPr>
        <w:pStyle w:val="4"/>
        <w:widowControl w:val="0"/>
        <w:numPr>
          <w:ilvl w:val="0"/>
          <w:numId w:val="4"/>
        </w:numPr>
        <w:spacing w:line="560" w:lineRule="exact"/>
        <w:ind w:left="0" w:firstLine="640" w:firstLineChars="200"/>
        <w:jc w:val="both"/>
        <w:rPr>
          <w:rFonts w:ascii="Times New Roman" w:hAnsi="Times New Roman" w:eastAsia="仿宋_GB2312" w:cs="Times New Roman"/>
          <w:b w:val="0"/>
        </w:rPr>
      </w:pPr>
      <w:r>
        <w:rPr>
          <w:rFonts w:ascii="Times New Roman" w:hAnsi="Times New Roman" w:eastAsia="仿宋_GB2312" w:cs="Times New Roman"/>
          <w:b w:val="0"/>
        </w:rPr>
        <w:t>重点民生与公益事业</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重点民生与公益事业指标包括 “脱贫攻坚”“社会救助”“社会福利”“公共文化体育”“社会组织”“教育”“环境保护”“医疗卫生”8项下级指标。</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脱贫攻坚指标包括专项扶贫、行业扶贫、社会扶贫等相关政策措施、专项规划及其解读材料和年度扶贫资金项目计划安排、实施和完成情况。</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社会救助指标包括城乡低保、特困人员救助供养、医疗救助、临时救助等事救助对象认定程序、救助标准、申报指南，以及救助人次数、资金支出情况等基本数据。</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社会福利指标包括养老服务项目清单、服务指南、服务标准和老年人补贴发放公开情况，残疾人福利、儿童福利救助对象认定程序、救助标准，福利补贴申领及申请审批程序等相关政策，以及福利补贴发放等情况。</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公共文化体育包括公共文化体育保障政策、资金使用情况等相关信息</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公共文化活动及体育赛事活动的基本信息。</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社会组织包括社会组织的基本信息，成立注销等审批信息，以及社会组织评估工作开展情况和奖励处罚信息。</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教育指标包括义务教育、学前教育、特殊教育、职业教育等方面的信息；利益关系直接、现实矛盾突出事项相关政策、发展规划、经费投入和使用、困难学生资助实施情况等信息；民办学校办学资质、办学质量管理等信息；教育招生和收费信息。</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环境保护指标包括空气质量状况、饮水安全状况信息公开情况、公共突发环境事件应急预案和企事业单位环境信息。</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医疗卫生指标主要包括区域内医疗机构数量、布局以及床位、大型设备等资源配置公开情况，以及指导辖区内医疗机构公开常规医疗服务价格、常用药品和主要医用耗材价格信息情况。</w:t>
      </w:r>
    </w:p>
    <w:p>
      <w:pPr>
        <w:pStyle w:val="4"/>
        <w:widowControl w:val="0"/>
        <w:numPr>
          <w:ilvl w:val="0"/>
          <w:numId w:val="4"/>
        </w:numPr>
        <w:spacing w:line="560" w:lineRule="exact"/>
        <w:ind w:left="0" w:firstLine="640" w:firstLineChars="200"/>
        <w:jc w:val="both"/>
        <w:rPr>
          <w:rFonts w:ascii="Times New Roman" w:hAnsi="Times New Roman" w:eastAsia="仿宋_GB2312" w:cs="Times New Roman"/>
          <w:b w:val="0"/>
        </w:rPr>
      </w:pPr>
      <w:r>
        <w:rPr>
          <w:rFonts w:ascii="Times New Roman" w:hAnsi="Times New Roman" w:eastAsia="仿宋_GB2312" w:cs="Times New Roman"/>
          <w:b w:val="0"/>
        </w:rPr>
        <w:t>公共监管信息</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公共监管信息指标包括“国资国企”“</w:t>
      </w:r>
      <w:bookmarkStart w:id="1" w:name="_Hlk18488600"/>
      <w:r>
        <w:rPr>
          <w:rFonts w:ascii="Times New Roman" w:hAnsi="Times New Roman" w:eastAsia="仿宋_GB2312" w:cs="Times New Roman"/>
          <w:bCs/>
          <w:sz w:val="32"/>
          <w:szCs w:val="32"/>
        </w:rPr>
        <w:t>市场监管”“应急管理</w:t>
      </w:r>
      <w:bookmarkEnd w:id="1"/>
      <w:r>
        <w:rPr>
          <w:rFonts w:ascii="Times New Roman" w:hAnsi="Times New Roman" w:eastAsia="仿宋_GB2312" w:cs="Times New Roman"/>
          <w:bCs/>
          <w:sz w:val="32"/>
          <w:szCs w:val="32"/>
        </w:rPr>
        <w:t>”3项下级指标。</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国资国企是对国有企业信息披露情况、国有企业基本信息、管理信息、经营情况和履职情况等公开情况进行考核。</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市场监管包括产品质量监督抽查结果公告发布情况和食品药品抽检结果发布情况。</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应急管理包括本地区突发公共事件总体应急预案、预警信息及应对情况，以及安全生产监督检查情况。</w:t>
      </w:r>
    </w:p>
    <w:p>
      <w:pPr>
        <w:pStyle w:val="3"/>
        <w:widowControl w:val="0"/>
        <w:numPr>
          <w:ilvl w:val="0"/>
          <w:numId w:val="2"/>
        </w:numPr>
        <w:spacing w:line="560" w:lineRule="exact"/>
        <w:ind w:left="0" w:firstLine="640" w:firstLineChars="200"/>
        <w:jc w:val="both"/>
        <w:rPr>
          <w:rFonts w:ascii="Times New Roman" w:hAnsi="Times New Roman" w:eastAsia="楷体_GB2312" w:cs="Times New Roman"/>
          <w:b w:val="0"/>
        </w:rPr>
      </w:pPr>
      <w:r>
        <w:rPr>
          <w:rFonts w:ascii="Times New Roman" w:hAnsi="Times New Roman" w:eastAsia="楷体_GB2312" w:cs="Times New Roman"/>
          <w:b w:val="0"/>
        </w:rPr>
        <w:t>依申请公开</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依申请公开是为了满足社会对政府信息的特殊需求，保障公众获得政府信息的重要制度。本次考核的重点在于各单位依申请公开办理渠道的畅通情况，包括渠道畅通性和依法答复情况两项内容。渠道畅通性主要是考核在线和信函渠道的畅通性。依法答复主要是考核信函和在线渠道答复时限、形式规范性和内容规范性。</w:t>
      </w:r>
    </w:p>
    <w:p>
      <w:pPr>
        <w:pStyle w:val="3"/>
        <w:widowControl w:val="0"/>
        <w:numPr>
          <w:ilvl w:val="0"/>
          <w:numId w:val="2"/>
        </w:numPr>
        <w:spacing w:line="560" w:lineRule="exact"/>
        <w:ind w:left="0" w:firstLine="640" w:firstLineChars="200"/>
        <w:jc w:val="both"/>
        <w:rPr>
          <w:rFonts w:ascii="Times New Roman" w:hAnsi="Times New Roman" w:eastAsia="楷体_GB2312" w:cs="Times New Roman"/>
          <w:b w:val="0"/>
        </w:rPr>
      </w:pPr>
      <w:r>
        <w:rPr>
          <w:rFonts w:ascii="Times New Roman" w:hAnsi="Times New Roman" w:eastAsia="楷体_GB2312" w:cs="Times New Roman"/>
          <w:b w:val="0"/>
        </w:rPr>
        <w:t>政策解读与回应关切</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政策解读与回应关切指标包括“政策解读”“回应关切”2项二级指标。</w:t>
      </w:r>
    </w:p>
    <w:p>
      <w:pPr>
        <w:pStyle w:val="4"/>
        <w:widowControl w:val="0"/>
        <w:numPr>
          <w:ilvl w:val="0"/>
          <w:numId w:val="5"/>
        </w:numPr>
        <w:spacing w:line="560" w:lineRule="exact"/>
        <w:ind w:left="0" w:firstLine="640" w:firstLineChars="200"/>
        <w:jc w:val="both"/>
        <w:rPr>
          <w:rFonts w:ascii="Times New Roman" w:hAnsi="Times New Roman" w:eastAsia="仿宋_GB2312" w:cs="Times New Roman"/>
          <w:b w:val="0"/>
        </w:rPr>
      </w:pPr>
      <w:r>
        <w:rPr>
          <w:rFonts w:ascii="Times New Roman" w:hAnsi="Times New Roman" w:eastAsia="仿宋_GB2312" w:cs="Times New Roman"/>
          <w:b w:val="0"/>
        </w:rPr>
        <w:t>政策解读</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政策解读的考核内容包括解读文件发布的时效性，政策文件与解读材料关联性和解读比例情况，解读材料内容全面性等方面。同时还考核各单位是否采用数字化、图表图解、音频视频等多种方式解读政策文件。</w:t>
      </w:r>
    </w:p>
    <w:p>
      <w:pPr>
        <w:pStyle w:val="4"/>
        <w:widowControl w:val="0"/>
        <w:numPr>
          <w:ilvl w:val="0"/>
          <w:numId w:val="5"/>
        </w:numPr>
        <w:spacing w:line="560" w:lineRule="exact"/>
        <w:ind w:left="0" w:firstLine="640" w:firstLineChars="200"/>
        <w:jc w:val="both"/>
        <w:rPr>
          <w:rFonts w:ascii="Times New Roman" w:hAnsi="Times New Roman" w:eastAsia="仿宋_GB2312" w:cs="Times New Roman"/>
          <w:b w:val="0"/>
        </w:rPr>
      </w:pPr>
      <w:r>
        <w:rPr>
          <w:rFonts w:ascii="Times New Roman" w:hAnsi="Times New Roman" w:eastAsia="仿宋_GB2312" w:cs="Times New Roman"/>
          <w:b w:val="0"/>
        </w:rPr>
        <w:t>回应关切</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回应关切包括舆情回应、互动交流和办理答复三部分内容。舆情回应主要是考核政务舆情线索办理和回应情况。互动交流主要是考核互动交流内容设计、互动反馈、结果公开等情况。</w:t>
      </w:r>
    </w:p>
    <w:p>
      <w:pPr>
        <w:pStyle w:val="3"/>
        <w:widowControl w:val="0"/>
        <w:numPr>
          <w:ilvl w:val="0"/>
          <w:numId w:val="2"/>
        </w:numPr>
        <w:spacing w:line="560" w:lineRule="exact"/>
        <w:ind w:left="0" w:firstLine="640" w:firstLineChars="200"/>
        <w:jc w:val="both"/>
        <w:rPr>
          <w:rFonts w:ascii="Times New Roman" w:hAnsi="Times New Roman" w:eastAsia="楷体_GB2312" w:cs="Times New Roman"/>
          <w:b w:val="0"/>
        </w:rPr>
      </w:pPr>
      <w:r>
        <w:rPr>
          <w:rFonts w:ascii="Times New Roman" w:hAnsi="Times New Roman" w:eastAsia="楷体_GB2312" w:cs="Times New Roman"/>
          <w:b w:val="0"/>
        </w:rPr>
        <w:t>政务公开保障机制</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政务公开保障机制包括“信息发布质量”“基础建设”“组织管理”3项二级指标。</w:t>
      </w:r>
    </w:p>
    <w:p>
      <w:pPr>
        <w:pStyle w:val="4"/>
        <w:widowControl w:val="0"/>
        <w:numPr>
          <w:ilvl w:val="0"/>
          <w:numId w:val="6"/>
        </w:numPr>
        <w:spacing w:line="560" w:lineRule="exact"/>
        <w:ind w:left="0" w:firstLine="640" w:firstLineChars="200"/>
        <w:jc w:val="both"/>
        <w:rPr>
          <w:rFonts w:ascii="Times New Roman" w:hAnsi="Times New Roman" w:eastAsia="仿宋_GB2312" w:cs="Times New Roman"/>
          <w:b w:val="0"/>
        </w:rPr>
      </w:pPr>
      <w:r>
        <w:rPr>
          <w:rFonts w:ascii="Times New Roman" w:hAnsi="Times New Roman" w:eastAsia="仿宋_GB2312" w:cs="Times New Roman"/>
          <w:b w:val="0"/>
        </w:rPr>
        <w:t>信息发布质量</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信息发布质量指标包括网站和政务新媒体2项下级指标。政府网站信息发布质量（名称规范性、错别字、内容准确性等）、网站信息查询便利性等。政务新媒体信息发布内容包括各平台的开通情况、内容更新及时性、内容发布的原创性以及与公众的互动交流情况。</w:t>
      </w:r>
    </w:p>
    <w:p>
      <w:pPr>
        <w:pStyle w:val="4"/>
        <w:widowControl w:val="0"/>
        <w:numPr>
          <w:ilvl w:val="0"/>
          <w:numId w:val="6"/>
        </w:numPr>
        <w:spacing w:line="560" w:lineRule="exact"/>
        <w:ind w:left="0" w:firstLine="640" w:firstLineChars="200"/>
        <w:jc w:val="both"/>
        <w:rPr>
          <w:rFonts w:ascii="Times New Roman" w:hAnsi="Times New Roman" w:eastAsia="仿宋_GB2312" w:cs="Times New Roman"/>
          <w:b w:val="0"/>
        </w:rPr>
      </w:pPr>
      <w:r>
        <w:rPr>
          <w:rFonts w:ascii="Times New Roman" w:hAnsi="Times New Roman" w:eastAsia="仿宋_GB2312" w:cs="Times New Roman"/>
          <w:b w:val="0"/>
        </w:rPr>
        <w:t>基础建设</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基础建设指标包括政府信息公开专栏、主动公开基本目录2项下级指标。</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政府信息公开专栏主要考核政府信息公开指南、法定主动公开内容和政府信息公开工作年度报告的内容发布情况。</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主动公开基本目录指标的考核内容包括主动公开基本目录的编制完成情况、目录内容情况等。</w:t>
      </w:r>
    </w:p>
    <w:p>
      <w:pPr>
        <w:pStyle w:val="4"/>
        <w:widowControl w:val="0"/>
        <w:numPr>
          <w:ilvl w:val="0"/>
          <w:numId w:val="6"/>
        </w:numPr>
        <w:spacing w:line="560" w:lineRule="exact"/>
        <w:ind w:left="0" w:firstLine="640" w:firstLineChars="200"/>
        <w:jc w:val="both"/>
        <w:rPr>
          <w:rFonts w:ascii="Times New Roman" w:hAnsi="Times New Roman" w:eastAsia="仿宋_GB2312" w:cs="Times New Roman"/>
          <w:b w:val="0"/>
        </w:rPr>
      </w:pPr>
      <w:r>
        <w:rPr>
          <w:rFonts w:ascii="Times New Roman" w:hAnsi="Times New Roman" w:eastAsia="仿宋_GB2312" w:cs="Times New Roman"/>
          <w:b w:val="0"/>
        </w:rPr>
        <w:t>组织管理</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组织管理指标包括“组织领导”“业务培训”“工作推进”3项二级指标。</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组织领导包括在领导分工中明确政务公开分管领导，明确政务公开工作承担机构，并配备专职人员。</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业务培训主要考核2020年培训计划的制定和公开情况，以及组织实施的情况。</w:t>
      </w:r>
    </w:p>
    <w:p>
      <w:pPr>
        <w:widowControl w:val="0"/>
        <w:spacing w:line="560" w:lineRule="exact"/>
        <w:ind w:firstLine="640" w:firstLineChars="200"/>
        <w:jc w:val="both"/>
        <w:rPr>
          <w:rFonts w:ascii="Times New Roman" w:hAnsi="Times New Roman" w:eastAsia="方正小标宋简体" w:cs="Times New Roman"/>
          <w:bCs/>
          <w:sz w:val="40"/>
          <w:szCs w:val="40"/>
        </w:rPr>
      </w:pPr>
      <w:r>
        <w:rPr>
          <w:rFonts w:ascii="Times New Roman" w:hAnsi="Times New Roman" w:eastAsia="仿宋_GB2312" w:cs="Times New Roman"/>
          <w:bCs/>
          <w:sz w:val="32"/>
          <w:szCs w:val="32"/>
        </w:rPr>
        <w:t>工作推进的考核内容包括是否及时制发年度政务公开工作重点文件，制定配套制度，并组织实施。</w:t>
      </w:r>
    </w:p>
    <w:p>
      <w:pPr>
        <w:widowControl w:val="0"/>
        <w:adjustRightInd/>
        <w:snapToGrid/>
        <w:spacing w:line="560" w:lineRule="exact"/>
        <w:ind w:firstLine="640" w:firstLineChars="200"/>
        <w:jc w:val="both"/>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 xml:space="preserve">三、计分方法  </w:t>
      </w:r>
    </w:p>
    <w:p>
      <w:pPr>
        <w:widowControl w:val="0"/>
        <w:spacing w:line="560" w:lineRule="exact"/>
        <w:ind w:firstLine="640" w:firstLineChars="200"/>
        <w:jc w:val="both"/>
        <w:rPr>
          <w:rFonts w:ascii="Times New Roman" w:hAnsi="Times New Roman" w:eastAsia="文星标宋" w:cs="Times New Roman"/>
          <w:bCs/>
          <w:sz w:val="40"/>
          <w:szCs w:val="40"/>
        </w:rPr>
      </w:pPr>
      <w:r>
        <w:rPr>
          <w:rFonts w:ascii="Times New Roman" w:hAnsi="Times New Roman" w:eastAsia="仿宋_GB2312" w:cs="Times New Roman"/>
          <w:bCs/>
          <w:sz w:val="32"/>
          <w:szCs w:val="32"/>
        </w:rPr>
        <w:t>根据《2020年沂源县政务公开工作考核指标体系》，通过对考核对象在政府网站公开各类信息以及依申请公开答复的情况等，对各单位进行评估考核，总得分按照实际得分折合为百分制，形成各部门、单位考核最终成绩。如某单位总分35分，得分28分，最终得分为（28/35)×100=80分。</w:t>
      </w:r>
    </w:p>
    <w:p>
      <w:pPr>
        <w:widowControl w:val="0"/>
        <w:jc w:val="center"/>
        <w:rPr>
          <w:rFonts w:ascii="Times New Roman" w:hAnsi="Times New Roman" w:eastAsia="文星标宋" w:cs="Times New Roman"/>
          <w:bCs/>
          <w:sz w:val="40"/>
          <w:szCs w:val="40"/>
        </w:rPr>
        <w:sectPr>
          <w:footerReference r:id="rId3" w:type="default"/>
          <w:footerReference r:id="rId4" w:type="even"/>
          <w:pgSz w:w="11906" w:h="16838"/>
          <w:pgMar w:top="1985" w:right="1531" w:bottom="1701" w:left="1531" w:header="851" w:footer="1418" w:gutter="0"/>
          <w:cols w:space="425" w:num="1"/>
          <w:docGrid w:type="lines" w:linePitch="312" w:charSpace="0"/>
        </w:sectPr>
      </w:pPr>
    </w:p>
    <w:p>
      <w:pPr>
        <w:widowControl w:val="0"/>
        <w:rPr>
          <w:rFonts w:ascii="黑体" w:hAnsi="黑体" w:eastAsia="黑体" w:cs="Times New Roman"/>
          <w:bCs/>
          <w:sz w:val="32"/>
          <w:szCs w:val="44"/>
        </w:rPr>
      </w:pPr>
      <w:r>
        <w:rPr>
          <w:rFonts w:hint="eastAsia" w:ascii="黑体" w:hAnsi="黑体" w:eastAsia="黑体" w:cs="Times New Roman"/>
          <w:bCs/>
          <w:sz w:val="32"/>
          <w:szCs w:val="44"/>
        </w:rPr>
        <w:t>附件2</w:t>
      </w:r>
    </w:p>
    <w:p>
      <w:pPr>
        <w:widowControl w:val="0"/>
        <w:spacing w:beforeLines="100" w:afterLines="50"/>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2020年沂源县政务公开工作考核指标体系</w:t>
      </w:r>
    </w:p>
    <w:tbl>
      <w:tblPr>
        <w:tblStyle w:val="7"/>
        <w:tblW w:w="14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254"/>
        <w:gridCol w:w="1286"/>
        <w:gridCol w:w="1688"/>
        <w:gridCol w:w="5258"/>
        <w:gridCol w:w="818"/>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254" w:type="dxa"/>
            <w:noWrap/>
            <w:vAlign w:val="center"/>
          </w:tcPr>
          <w:p>
            <w:pPr>
              <w:widowControl w:val="0"/>
              <w:spacing w:line="32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一级指标</w:t>
            </w:r>
          </w:p>
        </w:tc>
        <w:tc>
          <w:tcPr>
            <w:tcW w:w="1254" w:type="dxa"/>
            <w:noWrap/>
            <w:vAlign w:val="center"/>
          </w:tcPr>
          <w:p>
            <w:pPr>
              <w:widowControl w:val="0"/>
              <w:spacing w:line="32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二级指标</w:t>
            </w:r>
          </w:p>
        </w:tc>
        <w:tc>
          <w:tcPr>
            <w:tcW w:w="1286" w:type="dxa"/>
            <w:noWrap/>
            <w:vAlign w:val="center"/>
          </w:tcPr>
          <w:p>
            <w:pPr>
              <w:widowControl w:val="0"/>
              <w:spacing w:line="32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三级指标</w:t>
            </w:r>
          </w:p>
        </w:tc>
        <w:tc>
          <w:tcPr>
            <w:tcW w:w="1688" w:type="dxa"/>
            <w:noWrap/>
            <w:vAlign w:val="center"/>
          </w:tcPr>
          <w:p>
            <w:pPr>
              <w:widowControl w:val="0"/>
              <w:spacing w:line="32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四级指标</w:t>
            </w:r>
          </w:p>
        </w:tc>
        <w:tc>
          <w:tcPr>
            <w:tcW w:w="5258" w:type="dxa"/>
            <w:noWrap/>
            <w:vAlign w:val="center"/>
          </w:tcPr>
          <w:p>
            <w:pPr>
              <w:widowControl w:val="0"/>
              <w:spacing w:line="320" w:lineRule="exact"/>
              <w:jc w:val="center"/>
              <w:rPr>
                <w:rStyle w:val="9"/>
                <w:i w:val="0"/>
              </w:rPr>
            </w:pPr>
            <w:r>
              <w:rPr>
                <w:rFonts w:ascii="Times New Roman" w:hAnsi="Times New Roman" w:eastAsia="黑体" w:cs="Times New Roman"/>
                <w:bCs/>
                <w:color w:val="000000"/>
                <w:sz w:val="24"/>
                <w:szCs w:val="24"/>
              </w:rPr>
              <w:t>五级指标</w:t>
            </w:r>
          </w:p>
        </w:tc>
        <w:tc>
          <w:tcPr>
            <w:tcW w:w="818" w:type="dxa"/>
            <w:noWrap/>
            <w:vAlign w:val="center"/>
          </w:tcPr>
          <w:p>
            <w:pPr>
              <w:widowControl w:val="0"/>
              <w:spacing w:line="32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分值</w:t>
            </w:r>
          </w:p>
        </w:tc>
        <w:tc>
          <w:tcPr>
            <w:tcW w:w="2530" w:type="dxa"/>
            <w:noWrap/>
            <w:vAlign w:val="center"/>
          </w:tcPr>
          <w:p>
            <w:pPr>
              <w:widowControl w:val="0"/>
              <w:spacing w:line="32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考核对象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行政权力运行公开（20）</w:t>
            </w:r>
          </w:p>
        </w:tc>
        <w:tc>
          <w:tcPr>
            <w:tcW w:w="1254"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决策公开（5）</w:t>
            </w: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重大决策预公开（2.25）</w:t>
            </w: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事项目录</w:t>
            </w:r>
          </w:p>
        </w:tc>
        <w:tc>
          <w:tcPr>
            <w:tcW w:w="5258" w:type="dxa"/>
            <w:noWrap/>
            <w:vAlign w:val="center"/>
          </w:tcPr>
          <w:p>
            <w:pPr>
              <w:widowControl w:val="0"/>
              <w:spacing w:line="320" w:lineRule="exact"/>
              <w:jc w:val="both"/>
              <w:rPr>
                <w:rFonts w:ascii="Times New Roman" w:hAnsi="Times New Roman" w:eastAsia="仿宋_GB2312" w:cs="Times New Roman"/>
                <w:bCs/>
                <w:spacing w:val="-6"/>
                <w:sz w:val="24"/>
                <w:szCs w:val="24"/>
              </w:rPr>
            </w:pPr>
            <w:r>
              <w:rPr>
                <w:rFonts w:ascii="Times New Roman" w:hAnsi="Times New Roman" w:eastAsia="仿宋_GB2312" w:cs="Times New Roman"/>
                <w:bCs/>
                <w:spacing w:val="-6"/>
                <w:sz w:val="24"/>
                <w:szCs w:val="24"/>
              </w:rPr>
              <w:t>是否结合职责权限和本单位实际，发布2020年度重大决策事项目录或明确重大决策事项范围</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各镇（街道、经济开发区）及县政府有关部门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jc w:val="center"/>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jc w:val="center"/>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jc w:val="center"/>
              <w:rPr>
                <w:rFonts w:ascii="Times New Roman" w:hAnsi="Times New Roman" w:eastAsia="仿宋_GB2312" w:cs="Times New Roman"/>
                <w:bCs/>
                <w:sz w:val="24"/>
                <w:szCs w:val="24"/>
              </w:rPr>
            </w:pP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意见征集</w:t>
            </w:r>
          </w:p>
        </w:tc>
        <w:tc>
          <w:tcPr>
            <w:tcW w:w="5258" w:type="dxa"/>
            <w:noWrap/>
            <w:vAlign w:val="center"/>
          </w:tcPr>
          <w:p>
            <w:pPr>
              <w:widowControl w:val="0"/>
              <w:spacing w:line="320" w:lineRule="exact"/>
              <w:jc w:val="both"/>
              <w:rPr>
                <w:rFonts w:ascii="Times New Roman" w:hAnsi="Times New Roman" w:eastAsia="仿宋_GB2312" w:cs="Times New Roman"/>
                <w:bCs/>
                <w:spacing w:val="-6"/>
                <w:sz w:val="24"/>
                <w:szCs w:val="24"/>
              </w:rPr>
            </w:pPr>
            <w:r>
              <w:rPr>
                <w:rFonts w:ascii="Times New Roman" w:hAnsi="Times New Roman" w:eastAsia="仿宋_GB2312" w:cs="Times New Roman"/>
                <w:bCs/>
                <w:spacing w:val="-6"/>
                <w:sz w:val="24"/>
                <w:szCs w:val="24"/>
              </w:rPr>
              <w:t>是否建立意见征集、调查征集等决策预公开专栏</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所有部门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54" w:type="dxa"/>
            <w:vMerge w:val="continue"/>
            <w:noWrap/>
            <w:vAlign w:val="center"/>
          </w:tcPr>
          <w:p>
            <w:pPr>
              <w:widowControl w:val="0"/>
              <w:spacing w:line="320" w:lineRule="exact"/>
              <w:jc w:val="center"/>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jc w:val="center"/>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jc w:val="center"/>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jc w:val="center"/>
              <w:rPr>
                <w:rFonts w:ascii="Times New Roman" w:hAnsi="Times New Roman" w:eastAsia="仿宋_GB2312" w:cs="Times New Roman"/>
                <w:bCs/>
                <w:sz w:val="24"/>
                <w:szCs w:val="24"/>
              </w:rPr>
            </w:pPr>
          </w:p>
        </w:tc>
        <w:tc>
          <w:tcPr>
            <w:tcW w:w="5258"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是否发布决策依据、决策草案，并提供意见反馈渠道，广泛征求公众意见</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各镇（街道、经济开发区）及县政府有关部门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jc w:val="center"/>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jc w:val="center"/>
              <w:rPr>
                <w:rFonts w:ascii="Times New Roman" w:hAnsi="Times New Roman" w:eastAsia="仿宋_GB2312" w:cs="Times New Roman"/>
                <w:bCs/>
                <w:sz w:val="24"/>
                <w:szCs w:val="24"/>
              </w:rPr>
            </w:pPr>
          </w:p>
        </w:tc>
        <w:tc>
          <w:tcPr>
            <w:tcW w:w="5258"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重大行政决策草案公开征求意见的期限是否不少于30日（因情况紧急等原因需要缩短期限的，公开征求意见时应当予以说明）</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0.25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jc w:val="center"/>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结果反馈</w:t>
            </w:r>
          </w:p>
        </w:tc>
        <w:tc>
          <w:tcPr>
            <w:tcW w:w="5258"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是否及时反馈意见收集情况、意见采纳情况和未予采纳的理由</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各镇（街道、经济开发区）、县司法局及县政府有关部门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会议公开（1）</w:t>
            </w: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会议议题</w:t>
            </w:r>
          </w:p>
        </w:tc>
        <w:tc>
          <w:tcPr>
            <w:tcW w:w="5258"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是否常态化公开本级、本部门办公会议议题，并邀请利益相关等列席</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各镇（街道、经济开发区）及县政府各部门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议定事项</w:t>
            </w:r>
          </w:p>
        </w:tc>
        <w:tc>
          <w:tcPr>
            <w:tcW w:w="5258"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是否公开会议议定事项并解读</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restart"/>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行政权力运行公开（20）</w:t>
            </w:r>
          </w:p>
        </w:tc>
        <w:tc>
          <w:tcPr>
            <w:tcW w:w="1254"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决策公开（5）</w:t>
            </w: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政策文件（1.75）</w:t>
            </w: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栏目建设</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是否设置专门栏目集中统一公开本单位制定及执行的行政法规、规章、规范性文件</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所有部门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是否提供多种形式的分类或高级查询</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0.25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所有部门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规范性文件</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是否列明规范性文件的文号、成文日期、发布日期、有效性等</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各镇（街道、经济开发区）及县政府有关部门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是否定期公开规范性文件备案目录</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0.25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是否公开近三年规范性文件清理结果</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0.25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restart"/>
            <w:noWrap/>
            <w:vAlign w:val="center"/>
          </w:tcPr>
          <w:p>
            <w:pPr>
              <w:widowControl w:val="0"/>
              <w:spacing w:line="320" w:lineRule="exact"/>
              <w:rPr>
                <w:rFonts w:ascii="Times New Roman" w:hAnsi="Times New Roman" w:eastAsia="仿宋_GB2312" w:cs="Times New Roman"/>
                <w:bCs/>
                <w:sz w:val="24"/>
                <w:szCs w:val="24"/>
              </w:rPr>
            </w:pPr>
          </w:p>
          <w:p>
            <w:pPr>
              <w:widowControl w:val="0"/>
              <w:spacing w:line="320" w:lineRule="exact"/>
              <w:rPr>
                <w:rFonts w:ascii="Times New Roman" w:hAnsi="Times New Roman" w:eastAsia="仿宋_GB2312" w:cs="Times New Roman"/>
                <w:bCs/>
                <w:sz w:val="24"/>
                <w:szCs w:val="24"/>
              </w:rPr>
            </w:pPr>
          </w:p>
          <w:p>
            <w:pPr>
              <w:widowControl w:val="0"/>
              <w:spacing w:line="320" w:lineRule="exact"/>
              <w:rPr>
                <w:rFonts w:ascii="Times New Roman" w:hAnsi="Times New Roman" w:eastAsia="仿宋_GB2312" w:cs="Times New Roman"/>
                <w:bCs/>
                <w:sz w:val="24"/>
                <w:szCs w:val="24"/>
              </w:rPr>
            </w:pPr>
          </w:p>
          <w:p>
            <w:pPr>
              <w:widowControl w:val="0"/>
              <w:spacing w:line="320" w:lineRule="exact"/>
              <w:rPr>
                <w:rFonts w:ascii="Times New Roman" w:hAnsi="Times New Roman" w:eastAsia="仿宋_GB2312" w:cs="Times New Roman"/>
                <w:bCs/>
                <w:sz w:val="24"/>
                <w:szCs w:val="24"/>
              </w:rPr>
            </w:pPr>
          </w:p>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管理和服务公开（9.5）</w:t>
            </w:r>
          </w:p>
          <w:p>
            <w:pPr>
              <w:widowControl w:val="0"/>
              <w:spacing w:line="320" w:lineRule="exact"/>
              <w:rPr>
                <w:rFonts w:ascii="Times New Roman" w:hAnsi="Times New Roman" w:eastAsia="仿宋_GB2312" w:cs="Times New Roman"/>
                <w:bCs/>
                <w:sz w:val="24"/>
                <w:szCs w:val="24"/>
              </w:rPr>
            </w:pPr>
          </w:p>
          <w:p>
            <w:pPr>
              <w:widowControl w:val="0"/>
              <w:spacing w:line="320" w:lineRule="exact"/>
              <w:rPr>
                <w:rFonts w:ascii="Times New Roman" w:hAnsi="Times New Roman" w:eastAsia="仿宋_GB2312" w:cs="Times New Roman"/>
                <w:bCs/>
                <w:sz w:val="24"/>
                <w:szCs w:val="24"/>
              </w:rPr>
            </w:pPr>
          </w:p>
          <w:p>
            <w:pPr>
              <w:widowControl w:val="0"/>
              <w:spacing w:line="320" w:lineRule="exact"/>
              <w:rPr>
                <w:rFonts w:ascii="Times New Roman" w:hAnsi="Times New Roman" w:eastAsia="仿宋_GB2312" w:cs="Times New Roman"/>
                <w:bCs/>
                <w:sz w:val="24"/>
                <w:szCs w:val="24"/>
              </w:rPr>
            </w:pPr>
          </w:p>
          <w:p>
            <w:pPr>
              <w:widowControl w:val="0"/>
              <w:spacing w:line="320" w:lineRule="exact"/>
              <w:rPr>
                <w:rFonts w:ascii="Times New Roman" w:hAnsi="Times New Roman" w:eastAsia="仿宋_GB2312" w:cs="Times New Roman"/>
                <w:bCs/>
                <w:sz w:val="24"/>
                <w:szCs w:val="24"/>
              </w:rPr>
            </w:pPr>
          </w:p>
          <w:p>
            <w:pPr>
              <w:widowControl w:val="0"/>
              <w:spacing w:line="320" w:lineRule="exact"/>
              <w:rPr>
                <w:rFonts w:ascii="Times New Roman" w:hAnsi="Times New Roman" w:eastAsia="仿宋_GB2312" w:cs="Times New Roman"/>
                <w:bCs/>
                <w:sz w:val="24"/>
                <w:szCs w:val="24"/>
              </w:rPr>
            </w:pPr>
          </w:p>
          <w:p>
            <w:pPr>
              <w:widowControl w:val="0"/>
              <w:spacing w:line="320" w:lineRule="exact"/>
              <w:rPr>
                <w:rFonts w:ascii="Times New Roman" w:hAnsi="Times New Roman" w:eastAsia="仿宋_GB2312" w:cs="Times New Roman"/>
                <w:bCs/>
                <w:sz w:val="24"/>
                <w:szCs w:val="24"/>
              </w:rPr>
            </w:pP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权责清单（0.5）</w:t>
            </w: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清单发布</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是否公开权责清单</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0.25</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县政府有关部门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动态调整</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是否根据法律法规立改废释情况、机构和职能调整情况等，及时调整</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0.25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职责边界清单（0.5）</w:t>
            </w: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政府部门职责边界清单</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是否于6月底前公布本级政府部门职责边界清单</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县委编办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“双随机、一公开”监管（2.25）</w:t>
            </w:r>
          </w:p>
          <w:p>
            <w:pPr>
              <w:widowControl w:val="0"/>
              <w:spacing w:line="320" w:lineRule="exact"/>
              <w:jc w:val="center"/>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平台建设</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是否建立专栏或平台，分级分类发布相关信息</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260" w:lineRule="exact"/>
              <w:jc w:val="both"/>
              <w:rPr>
                <w:rFonts w:ascii="Times New Roman" w:hAnsi="Times New Roman" w:eastAsia="仿宋_GB2312" w:cs="Times New Roman"/>
                <w:bCs/>
                <w:szCs w:val="24"/>
              </w:rPr>
            </w:pPr>
            <w:r>
              <w:rPr>
                <w:rFonts w:ascii="Times New Roman" w:hAnsi="Times New Roman" w:eastAsia="仿宋_GB2312" w:cs="Times New Roman"/>
                <w:bCs/>
                <w:szCs w:val="24"/>
              </w:rPr>
              <w:t>县发展改革局、县市场监管局、县司法局、县教育和体育局、县公安局、县人力资源社会保障局、市生态环境局沂源分局、县住房城乡建设局、县交通运输局、县农业农村局、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随机抽查事项清单</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是否及时更新并集中公开本部门随机抽查事项清单</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0.25 </w:t>
            </w:r>
          </w:p>
        </w:tc>
        <w:tc>
          <w:tcPr>
            <w:tcW w:w="2530" w:type="dxa"/>
            <w:vMerge w:val="continue"/>
            <w:noWrap/>
            <w:vAlign w:val="center"/>
          </w:tcPr>
          <w:p>
            <w:pPr>
              <w:widowControl w:val="0"/>
              <w:spacing w:line="28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54" w:type="dxa"/>
            <w:vMerge w:val="restart"/>
            <w:noWrap/>
            <w:vAlign w:val="center"/>
          </w:tcPr>
          <w:p>
            <w:pPr>
              <w:widowControl w:val="0"/>
              <w:spacing w:line="320" w:lineRule="exact"/>
              <w:rPr>
                <w:rFonts w:ascii="Times New Roman" w:hAnsi="Times New Roman" w:eastAsia="仿宋_GB2312" w:cs="Times New Roman"/>
                <w:bCs/>
                <w:sz w:val="24"/>
                <w:szCs w:val="24"/>
              </w:rPr>
            </w:pPr>
          </w:p>
          <w:p>
            <w:pPr>
              <w:widowControl w:val="0"/>
              <w:spacing w:line="320" w:lineRule="exact"/>
              <w:rPr>
                <w:rFonts w:ascii="Times New Roman" w:hAnsi="Times New Roman" w:eastAsia="仿宋_GB2312" w:cs="Times New Roman"/>
                <w:bCs/>
                <w:sz w:val="24"/>
                <w:szCs w:val="24"/>
              </w:rPr>
            </w:pPr>
          </w:p>
          <w:p>
            <w:pPr>
              <w:widowControl w:val="0"/>
              <w:spacing w:line="320" w:lineRule="exact"/>
              <w:rPr>
                <w:rFonts w:ascii="Times New Roman" w:hAnsi="Times New Roman" w:eastAsia="仿宋_GB2312" w:cs="Times New Roman"/>
                <w:bCs/>
                <w:sz w:val="24"/>
                <w:szCs w:val="24"/>
              </w:rPr>
            </w:pPr>
          </w:p>
          <w:p>
            <w:pPr>
              <w:widowControl w:val="0"/>
              <w:spacing w:line="320" w:lineRule="exact"/>
              <w:rPr>
                <w:rFonts w:ascii="Times New Roman" w:hAnsi="Times New Roman" w:eastAsia="仿宋_GB2312" w:cs="Times New Roman"/>
                <w:bCs/>
                <w:sz w:val="24"/>
                <w:szCs w:val="24"/>
              </w:rPr>
            </w:pPr>
          </w:p>
          <w:p>
            <w:pPr>
              <w:widowControl w:val="0"/>
              <w:spacing w:line="320" w:lineRule="exact"/>
              <w:rPr>
                <w:rFonts w:ascii="Times New Roman" w:hAnsi="Times New Roman" w:eastAsia="仿宋_GB2312" w:cs="Times New Roman"/>
                <w:bCs/>
                <w:sz w:val="24"/>
                <w:szCs w:val="24"/>
              </w:rPr>
            </w:pPr>
          </w:p>
          <w:p>
            <w:pPr>
              <w:widowControl w:val="0"/>
              <w:spacing w:line="320" w:lineRule="exact"/>
              <w:rPr>
                <w:rFonts w:ascii="Times New Roman" w:hAnsi="Times New Roman" w:eastAsia="仿宋_GB2312" w:cs="Times New Roman"/>
                <w:bCs/>
                <w:sz w:val="24"/>
                <w:szCs w:val="24"/>
              </w:rPr>
            </w:pPr>
          </w:p>
          <w:p>
            <w:pPr>
              <w:widowControl w:val="0"/>
              <w:spacing w:line="320" w:lineRule="exact"/>
              <w:rPr>
                <w:rFonts w:ascii="Times New Roman" w:hAnsi="Times New Roman" w:eastAsia="仿宋_GB2312" w:cs="Times New Roman"/>
                <w:bCs/>
                <w:sz w:val="24"/>
                <w:szCs w:val="24"/>
              </w:rPr>
            </w:pPr>
          </w:p>
          <w:p>
            <w:pPr>
              <w:widowControl w:val="0"/>
              <w:spacing w:line="320" w:lineRule="exact"/>
              <w:rPr>
                <w:rFonts w:ascii="Times New Roman" w:hAnsi="Times New Roman" w:eastAsia="仿宋_GB2312" w:cs="Times New Roman"/>
                <w:bCs/>
                <w:sz w:val="24"/>
                <w:szCs w:val="24"/>
              </w:rPr>
            </w:pPr>
          </w:p>
          <w:p>
            <w:pPr>
              <w:widowControl w:val="0"/>
              <w:spacing w:line="320" w:lineRule="exact"/>
              <w:rPr>
                <w:rFonts w:ascii="Times New Roman" w:hAnsi="Times New Roman" w:eastAsia="仿宋_GB2312" w:cs="Times New Roman"/>
                <w:bCs/>
                <w:sz w:val="24"/>
                <w:szCs w:val="24"/>
              </w:rPr>
            </w:pPr>
          </w:p>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行政权力运行公开（20）</w:t>
            </w:r>
          </w:p>
        </w:tc>
        <w:tc>
          <w:tcPr>
            <w:tcW w:w="1254" w:type="dxa"/>
            <w:vMerge w:val="restart"/>
            <w:noWrap/>
            <w:vAlign w:val="center"/>
          </w:tcPr>
          <w:p>
            <w:pPr>
              <w:widowControl w:val="0"/>
              <w:spacing w:line="320" w:lineRule="exact"/>
              <w:rPr>
                <w:rFonts w:ascii="Times New Roman" w:hAnsi="Times New Roman" w:eastAsia="仿宋_GB2312" w:cs="Times New Roman"/>
                <w:bCs/>
                <w:sz w:val="24"/>
                <w:szCs w:val="24"/>
              </w:rPr>
            </w:pPr>
          </w:p>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管理和服务公开（9.5）</w:t>
            </w:r>
          </w:p>
        </w:tc>
        <w:tc>
          <w:tcPr>
            <w:tcW w:w="1286" w:type="dxa"/>
            <w:vMerge w:val="restart"/>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“双随机、一公开”监管（2.25）</w:t>
            </w: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随机抽查事项清单</w:t>
            </w:r>
          </w:p>
        </w:tc>
        <w:tc>
          <w:tcPr>
            <w:tcW w:w="5258" w:type="dxa"/>
            <w:vMerge w:val="restart"/>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抽查依据、对象、内容、方式、比例和频次等清单要素是否完整</w:t>
            </w:r>
          </w:p>
        </w:tc>
        <w:tc>
          <w:tcPr>
            <w:tcW w:w="81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tcBorders>
              <w:bottom w:val="nil"/>
            </w:tcBorders>
            <w:noWrap/>
            <w:vAlign w:val="center"/>
          </w:tcPr>
          <w:p>
            <w:pPr>
              <w:widowControl w:val="0"/>
              <w:spacing w:line="28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jc w:val="center"/>
              <w:rPr>
                <w:rFonts w:ascii="Times New Roman" w:hAnsi="Times New Roman" w:eastAsia="仿宋_GB2312" w:cs="Times New Roman"/>
                <w:bCs/>
                <w:sz w:val="24"/>
                <w:szCs w:val="24"/>
              </w:rPr>
            </w:pPr>
          </w:p>
        </w:tc>
        <w:tc>
          <w:tcPr>
            <w:tcW w:w="525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818" w:type="dxa"/>
            <w:vMerge w:val="continue"/>
            <w:noWrap/>
            <w:vAlign w:val="center"/>
          </w:tcPr>
          <w:p>
            <w:pPr>
              <w:widowControl w:val="0"/>
              <w:spacing w:line="320" w:lineRule="exact"/>
              <w:jc w:val="center"/>
              <w:rPr>
                <w:rFonts w:ascii="Times New Roman" w:hAnsi="Times New Roman" w:eastAsia="仿宋_GB2312" w:cs="Times New Roman"/>
                <w:bCs/>
                <w:sz w:val="24"/>
                <w:szCs w:val="24"/>
              </w:rPr>
            </w:pPr>
          </w:p>
        </w:tc>
        <w:tc>
          <w:tcPr>
            <w:tcW w:w="2530" w:type="dxa"/>
            <w:vMerge w:val="restart"/>
            <w:tcBorders>
              <w:top w:val="nil"/>
            </w:tcBorders>
            <w:noWrap/>
          </w:tcPr>
          <w:p>
            <w:pPr>
              <w:widowControl w:val="0"/>
              <w:spacing w:line="28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Cs w:val="24"/>
              </w:rPr>
              <w:t>县商务局、县文化和旅游局、县卫生健康局、县应急局、县统计局、县综合行政执法局、县行政审批服务局等有关部门单位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抽查计划</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是否及时发布2020年随机抽查计划</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tcBorders>
              <w:top w:val="nil"/>
            </w:tcBorders>
            <w:noWrap/>
            <w:vAlign w:val="center"/>
          </w:tcPr>
          <w:p>
            <w:pPr>
              <w:widowControl w:val="0"/>
              <w:spacing w:line="28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抽查结果</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是否集中公开各抽查事项的抽查结果，并按相关规定公开对抽查发现的违法违规行为的查处结果</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tcBorders>
              <w:top w:val="nil"/>
            </w:tcBorders>
            <w:noWrap/>
            <w:vAlign w:val="center"/>
          </w:tcPr>
          <w:p>
            <w:pPr>
              <w:widowControl w:val="0"/>
              <w:spacing w:line="28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行政执法公示（1.75）</w:t>
            </w: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事前公开</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是否搭建或利用统一的执法信息公示平台</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0.25 </w:t>
            </w:r>
          </w:p>
        </w:tc>
        <w:tc>
          <w:tcPr>
            <w:tcW w:w="2530" w:type="dxa"/>
            <w:vMerge w:val="restart"/>
            <w:noWrap/>
            <w:vAlign w:val="center"/>
          </w:tcPr>
          <w:p>
            <w:pPr>
              <w:widowControl w:val="0"/>
              <w:spacing w:line="260" w:lineRule="exact"/>
              <w:jc w:val="both"/>
              <w:rPr>
                <w:rFonts w:ascii="Times New Roman" w:hAnsi="Times New Roman" w:eastAsia="仿宋_GB2312" w:cs="Times New Roman"/>
                <w:bCs/>
                <w:szCs w:val="24"/>
              </w:rPr>
            </w:pPr>
            <w:r>
              <w:rPr>
                <w:rFonts w:ascii="Times New Roman" w:hAnsi="Times New Roman" w:eastAsia="仿宋_GB2312" w:cs="Times New Roman"/>
                <w:bCs/>
                <w:szCs w:val="24"/>
              </w:rPr>
              <w:t>县发展改革局、县教育和体育局、县科技局、县工业和信息化局、县公安局、县民政局、县司法局、县财政局、县人力资源社会保障局、县自然资源局、市生态环境局沂源分局、县住房城乡建设局、县交通运输局、县水利局、县农业农村局、县商务局、县文化和旅游局、县卫生健康局、县退役军人局、县应急局、县行政审批服务局、县市场监管局、县统计局、市医疗保障局沂源分局、县信访局、县综合行政执法局、县投资促进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集中向社会依法公开行政执法职责、执法依据、执法程序、监督途径等信息</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是否编制并公开服务指南、执法流程图，明确执法事项名称、受理机构、审批机构、受理条件、办理时限等内容</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事后公开</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是否按时向社会公布执法机关、执法对象、执法类别、执法结论等执法结果信息</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0.25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是否于每年1月31日前公开本机关上年度行政执法总体情况有关数据</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0.25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减税降费（2.25）</w:t>
            </w: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行政事业性收费目录</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是否发布县级行政事业性收费目录</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0.25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县财政局等有关部门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项目名称、政策依据、执收部门及资金管理方式等要素是否完整</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restart"/>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行政权力运行公开（20）</w:t>
            </w:r>
          </w:p>
        </w:tc>
        <w:tc>
          <w:tcPr>
            <w:tcW w:w="1254" w:type="dxa"/>
            <w:vMerge w:val="restart"/>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管理和服务公开（9.5）</w:t>
            </w: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减税降费（2.25）</w:t>
            </w: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政府定价或指导价经营服务性收费清单</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是否发布政府定价或指导价经营服务性收费清单</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0.25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定价类别、收费项目、行业主管部门、定价部门、收费依据及标准等清单要素是否完整</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政府性基金目录</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是否发布政府性基金目录</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0.25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县财政局等有关部门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项目名称、政策依据、执收部门及资金管理方式等要素是否完整</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优化服务（2.25）</w:t>
            </w: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证明事项</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是否于7月底前统一发布本级证明事项实施清单</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事项划转清单</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是否于7月底前向社会公布本级行政许可等事项划转清单</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县行政审批服务局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政务服务“好差评”</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是否定期将政务服务情况、企业群众评价、差评处理结果向社会公开</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县行政审批服务局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办事指南</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是否发布政务服务事项目录和办事指南</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0.25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所有部门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事项名称、设定依据、申请条件、办理材料、办理地点、办理机构、收费标准、办理时间、联系电话、办理流程等基本要素是否完整</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restart"/>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行政权力运行公开（20）</w:t>
            </w:r>
          </w:p>
        </w:tc>
        <w:tc>
          <w:tcPr>
            <w:tcW w:w="1254" w:type="dxa"/>
            <w:vMerge w:val="restart"/>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执行和结果公开（5.5）</w:t>
            </w: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重要部署执行公开（2）</w:t>
            </w:r>
          </w:p>
        </w:tc>
        <w:tc>
          <w:tcPr>
            <w:tcW w:w="1688"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政府工作报告、十二大攻坚行动任务、20 项重点年度重点工作、民生实事项目等重大决策部署</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是否公开执行措施、实施步骤、责任分工、监督方式</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1.00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各镇（街道、经济开发区）及县政府有关部门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是否根据工作推进情况及时公开工作进展、取得成效、后续举措等</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1.00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审计与后评估（1.5）</w:t>
            </w: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审计信息</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是否公开本级预算执行审计报告和其他财政收支情况</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各镇（街道、经济开发区）、县财政局、县审计局等有关部门单位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是否公开本级预算执行和其他财政收支审计查出问题整改情况的报告</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执行效果评估</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是否在重大行政决策执行过程中，跟踪决策的实施情况，并积极开展决策执行效果的评估</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建议提案办理（2）</w:t>
            </w: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栏目建设</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是否设置建议提案办理结果公开专门栏目或目录</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所有部门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是否便于公众查找（名称规范性、分类、检索功能等）</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所有部门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办理结果</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是否公开办理复文全文或摘要</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所有部门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是否发布建议提案办理的总体情况</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所有部门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重点领域信息公开（30）</w:t>
            </w:r>
          </w:p>
        </w:tc>
        <w:tc>
          <w:tcPr>
            <w:tcW w:w="1254"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财政信息（4）</w:t>
            </w: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财政预决算（2.5）</w:t>
            </w: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专栏设置</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是否设立财政预决算信息公开统一平台（或专栏），并对内容进行分级分类</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所有部门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预决算说明</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是否公开本级政府和部门预决算说明</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所有部门</w:t>
            </w:r>
          </w:p>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预决算表格</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是否公开本级政府和部门预决算表格，且政府预决算全部细化到支出功能分类的项级科目，专项转移支付预决算细化到具体项目</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“三公”经费预决算</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公开本级政府和部门“三公”经费预决算信息，预算要说明“三公”经费增减原因说明，因公出国（境）费、公务车购置费、公务用车运行费，公务接待费；决算要细化说明因公出国（境）经费、组团数、人数，公务用车经费、购置数、保有量，公务接待经费、批次、人数，“三公”经费增减原因说明等信息</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所有部门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重点项目绩效</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是否向社会公开本级政府部门重点项目项目文本、绩效目标和绩效评价结果</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所有部门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其他财政信息（1.5）</w:t>
            </w: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财政收支</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是否按月公开财政收支情况，解读财政收支增减变化情况及原因、预判财政收入走势</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县财政局等有关部门单位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政府债务</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是否随同预决算公开地方政府债务限额、余额、使用安排及还本付息等信息</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县财政局等有关部门单位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是否定期公开债务率以及经济财政状况、债券存续期管理等信息</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restart"/>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重点领域信息公开（30）</w:t>
            </w:r>
          </w:p>
        </w:tc>
        <w:tc>
          <w:tcPr>
            <w:tcW w:w="1254"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重大建设项目和公共资源配置（5）</w:t>
            </w: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重大建设项目批准和实施（2）</w:t>
            </w: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项目范围</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是否根据本区域特点和工作侧重点，明确重大建设项目范围或发布重大建设项目清单</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批准服务</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是否集中发布重大建设项目相关的申报要求、申报材料清单、批准流程、办理时限、受理机构联系方式、监督举报方式等服务信息</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县发展改革局、县行政审批服务局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项目实施</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是否按照要求公开重大建设项目的批准结果信息、招标投标信息、征收土地信息、重大设计变更信息、施工有关信息、质量安全监督信息、竣工有关信息等</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1.00 </w:t>
            </w:r>
          </w:p>
        </w:tc>
        <w:tc>
          <w:tcPr>
            <w:tcW w:w="2530" w:type="dxa"/>
            <w:noWrap/>
            <w:vAlign w:val="center"/>
          </w:tcPr>
          <w:p>
            <w:pPr>
              <w:widowControl w:val="0"/>
              <w:spacing w:line="26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县发展改革局、县工业</w:t>
            </w:r>
            <w:r>
              <w:rPr>
                <w:rFonts w:ascii="Times New Roman" w:hAnsi="Times New Roman" w:eastAsia="仿宋_GB2312" w:cs="Times New Roman"/>
                <w:bCs/>
                <w:spacing w:val="-6"/>
                <w:sz w:val="24"/>
                <w:szCs w:val="24"/>
              </w:rPr>
              <w:t>和信息化局、县自然资源局、县住房城乡建设局、县交通运输局、县水利局等有关部门单位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公共资源配置（3）</w:t>
            </w: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住房保障</w:t>
            </w:r>
          </w:p>
        </w:tc>
        <w:tc>
          <w:tcPr>
            <w:tcW w:w="5258" w:type="dxa"/>
            <w:noWrap/>
            <w:vAlign w:val="center"/>
          </w:tcPr>
          <w:p>
            <w:pPr>
              <w:widowControl w:val="0"/>
              <w:spacing w:line="320" w:lineRule="exact"/>
              <w:rPr>
                <w:rFonts w:ascii="Times New Roman" w:hAnsi="Times New Roman" w:eastAsia="仿宋_GB2312" w:cs="Times New Roman"/>
                <w:bCs/>
                <w:spacing w:val="-6"/>
                <w:sz w:val="24"/>
                <w:szCs w:val="24"/>
              </w:rPr>
            </w:pPr>
            <w:r>
              <w:rPr>
                <w:rFonts w:ascii="Times New Roman" w:hAnsi="Times New Roman" w:eastAsia="仿宋_GB2312" w:cs="Times New Roman"/>
                <w:bCs/>
                <w:spacing w:val="-6"/>
                <w:sz w:val="24"/>
                <w:szCs w:val="24"/>
              </w:rPr>
              <w:t>是否公开城镇保障性安居工程规划建设方案、年度建设计划信息、建设计划完成情况信息、农村危房改造和棚户区改造相关政策措施执行情况信息等</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1.00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县住房城乡建设局、县扶贫办等有关部门单位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是否公开保障性住房分配政策、分配对象、分配房源、分配程序、分配过程、分配结果等信息</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1.00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县住房城乡建设局等有关部门单位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政府集中采购</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是否公开本地区政府集中采购项目目录、标准和实施情况</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交易信息</w:t>
            </w:r>
          </w:p>
        </w:tc>
        <w:tc>
          <w:tcPr>
            <w:tcW w:w="5258" w:type="dxa"/>
            <w:noWrap/>
            <w:vAlign w:val="center"/>
          </w:tcPr>
          <w:p>
            <w:pPr>
              <w:widowControl w:val="0"/>
              <w:spacing w:line="320" w:lineRule="exact"/>
              <w:rPr>
                <w:rFonts w:ascii="Times New Roman" w:hAnsi="Times New Roman" w:eastAsia="仿宋_GB2312" w:cs="Times New Roman"/>
                <w:bCs/>
                <w:spacing w:val="-8"/>
                <w:sz w:val="24"/>
                <w:szCs w:val="24"/>
              </w:rPr>
            </w:pPr>
            <w:r>
              <w:rPr>
                <w:rFonts w:ascii="Times New Roman" w:hAnsi="Times New Roman" w:eastAsia="仿宋_GB2312" w:cs="Times New Roman"/>
                <w:bCs/>
                <w:spacing w:val="-8"/>
                <w:sz w:val="24"/>
                <w:szCs w:val="24"/>
              </w:rPr>
              <w:t>是否及时公开公共资源交易公告、资格审查结果、交易过程信息、成交信息、履约信息以及有关变更信息</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公共资源交易中心沂源分中心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重点民生与公益事业（17）</w:t>
            </w: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脱贫攻坚（1）</w:t>
            </w: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扶贫政策措施</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是否公开专项扶贫、行业扶贫、社会扶贫等相关政策措施、专项规划及其解读材料</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扶贫资金项目</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是否及时公开年度扶贫资金项目计划安排、实施和完成情况</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restart"/>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重点领域信息公开（30）</w:t>
            </w:r>
          </w:p>
        </w:tc>
        <w:tc>
          <w:tcPr>
            <w:tcW w:w="1254" w:type="dxa"/>
            <w:vMerge w:val="restart"/>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重点民生与公益事业（17）</w:t>
            </w: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社会救助（1.5）</w:t>
            </w: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救助标准</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是否及时公开城乡低保、特困人员救助供养、医疗救助、临时救助的救助对象认定、救助标准</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县民政局、市医疗保障局沂源分局、县残疾人联合会等有关部门单位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申报指南</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是否公开城乡低保、特困人员救助供养、医疗救助、临时救助的申报指南</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人数和资金支出情况</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是否公开城乡低保、特困人员救助供养、医疗救助、临时救助的救助人次数、资金支出情况等基本数据</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社会福利（2）</w:t>
            </w: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养老服务</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是否制定并发布本区县基本养老公共服务清单，明确服务对象、服务标准和支出责任</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县民政局、市医疗保障局沂源分局、县残疾人联合会等有关部门单位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是否定期公开老年人福利补贴发放情况</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残疾人福利</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是否公开残疾人福利补贴对象认定条件、申领范围、补贴标准、申请审批程序和补贴发放情况</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儿童福利</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是否公开孤儿、事实无人抚养儿童、重点困境儿童等儿童福利补贴对象认定条件、申领范围、补贴标准、申请审批程序和补贴发放情况</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教育（5.5）</w:t>
            </w: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学前教育</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是否向社会及时公布最新的本区域内公办幼儿园名单</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是否向社会及时公布最新的本区县教育行政主管部门认定通过的普惠性民办幼儿园名单</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restart"/>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重点领域信息公开（30）</w:t>
            </w:r>
          </w:p>
        </w:tc>
        <w:tc>
          <w:tcPr>
            <w:tcW w:w="1254" w:type="dxa"/>
            <w:vMerge w:val="restart"/>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重点民生与公益事业（17）</w:t>
            </w:r>
          </w:p>
        </w:tc>
        <w:tc>
          <w:tcPr>
            <w:tcW w:w="1286" w:type="dxa"/>
            <w:vMerge w:val="restart"/>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教育（5.5）</w:t>
            </w: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学前教育</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是否及时公布本区域内幼儿园办园评估结果（包括省级示范、一类、二类、三类幼儿园）</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义务教育</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是否公开本地区义务教育学校名录（包括学校名称、学校地址、办学层次、办学类型、办公电话等）</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是否及时公开义务教育招生方案、招生范围、招生程序、报名条件、学校情况、咨询方式等信息</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是否在招生工作结束后及时公开招生结果</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中小学信息公开</w:t>
            </w:r>
            <w:r>
              <w:rPr>
                <w:rFonts w:ascii="Times New Roman" w:hAnsi="Times New Roman" w:eastAsia="仿宋_GB2312" w:cs="Times New Roman"/>
                <w:bCs/>
                <w:sz w:val="24"/>
                <w:szCs w:val="24"/>
              </w:rPr>
              <w:br w:type="textWrapping"/>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是否及时公开本学校基本情况，包括历史沿革、办学性质、办学地点、办学规模、办学基本条件、机构职能、联系方式等</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县教育和体育局</w:t>
            </w:r>
          </w:p>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是否及时公开学校发展规划、年度工作计划及其执行情况</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是否公开学校课程设置方案与教学计划及执行情况</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是否及时公开学校招生的计划、范围、对象，学生学籍管理规定和评优奖励办法</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是否及时公开本年度招生结果</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环境保护（2.5）</w:t>
            </w: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空气质量状况</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是否按月发布本地区环境空气质量状况</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1.00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市生态环境局沂源分局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restart"/>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重点领域信息公开（30）</w:t>
            </w:r>
          </w:p>
        </w:tc>
        <w:tc>
          <w:tcPr>
            <w:tcW w:w="1254" w:type="dxa"/>
            <w:vMerge w:val="restart"/>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重点民生与公益事业（17）</w:t>
            </w: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环境保护（2.5）</w:t>
            </w: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饮水安全状况</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是否按季度向社会公开饮用水水源水质状况</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县水利局</w:t>
            </w:r>
          </w:p>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是否按季度向社会公开供水厂出水安全状况</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是否按季度向社会公开用户水龙头（管网末梢）水质状况</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医疗卫生（4.5）</w:t>
            </w: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医疗服务</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是否及时公开本行政区域内基本公共卫生服务项目承担机构名录</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市医疗保障局沂源分局、县卫生健康局等有关部门单位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是否定期公开公布区域内医疗机构数量、布局以及床位、大型设备等资源配置情况</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医疗机构院务公开</w:t>
            </w:r>
            <w:r>
              <w:rPr>
                <w:rFonts w:ascii="Times New Roman" w:hAnsi="Times New Roman" w:eastAsia="仿宋_GB2312" w:cs="Times New Roman"/>
                <w:bCs/>
                <w:sz w:val="24"/>
                <w:szCs w:val="24"/>
              </w:rPr>
              <w:br w:type="textWrapping"/>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是否公开本院临床、医技科室名称、服务内容等基本情况 </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是否公开本院专科、专业门诊服务内容、特色；出诊专家姓名、专长及出诊时间等就诊信息 </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是否公开本院门诊、急诊服务时间（含节假日），办理入出院时间，住院查房时间、探视时间等服务时间信息 </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是否公开本院门诊、急诊挂号，就诊、取药、交费等事项的流程与服务地点 </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是否公开本院预约挂号的时间、流程与方法 </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restart"/>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重点领域信息公开（30）</w:t>
            </w:r>
          </w:p>
        </w:tc>
        <w:tc>
          <w:tcPr>
            <w:tcW w:w="1254" w:type="dxa"/>
            <w:vMerge w:val="restart"/>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重点民生与公益事业（17）</w:t>
            </w: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医疗卫生（4.5）</w:t>
            </w: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医疗机构院务公开</w:t>
            </w:r>
            <w:r>
              <w:rPr>
                <w:rFonts w:ascii="Times New Roman" w:hAnsi="Times New Roman" w:eastAsia="仿宋_GB2312" w:cs="Times New Roman"/>
                <w:bCs/>
                <w:sz w:val="24"/>
                <w:szCs w:val="24"/>
              </w:rPr>
              <w:br w:type="textWrapping"/>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是否公开本院留观、入院、出院、转科、转院等的服务流程 </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是否提供常见疾病健康教育、合理用药咨询服务的时间、地点</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公共监管（4）</w:t>
            </w: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国资国企（1.5）</w:t>
            </w: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信息披露</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是否按月公开国有企业主要经济效益指标、主要行业盈利、重大变化事项等情况</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是否及时公开国有企业经营情况和业绩考核结果</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社会责任</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是否及时公开企业履行社会责任重点工作情况</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市场监管（1）</w:t>
            </w: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产品质量</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是否依法向社会发布产品质量监督抽查结果公告</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食品安全</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及时公开食品名称、标称生产（养殖）企业名称、标称生产（养殖）企业地址、被抽样单位名称、被抽样单位地址、规格型号、商标、生产(购进）日期/批号、不合格项目、检验结果、标准值、分类、品种、检验机构等监督抽检信息</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应急管理（1.5）</w:t>
            </w: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应急救援</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是否及时发布本地区突发事件总体应急预案、预警信息及应对情况</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县自然资源局、县应急局、市医疗保障局沂源分局、县卫生健康局、县民政局、县水利局等有关部门单位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是否及时发布本地区自然灾害类和安全生产类突发公共事件应急预案信息</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安全生产</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是否公开常规检查执法、暗查暗访、突击检查、随机抽查等执法检查信息</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254"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依申请公开（10）</w:t>
            </w:r>
          </w:p>
        </w:tc>
        <w:tc>
          <w:tcPr>
            <w:tcW w:w="1254"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渠道畅通性（3）</w:t>
            </w: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提交申请（3）</w:t>
            </w: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在线渠道</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是否开通在线申请渠道或提供电子邮箱申请方式</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所有单位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在线渠道是否畅通</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1.00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信函渠道</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是否开通信函申请渠道，并提供受理机构名称、通讯地址、邮编等信息</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信函渠道是否畅通</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1.00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答复规范性（7）</w:t>
            </w: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互联网/信函渠道（7）</w:t>
            </w:r>
          </w:p>
        </w:tc>
        <w:tc>
          <w:tcPr>
            <w:tcW w:w="168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答复时限</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是否在规定时限内予以答复</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2.00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所有单位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形式规范性</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是否按照申请人要求的形式答复</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1.00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是否出具书面告知书、答复书（正式文号并加盖单位公章）</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1.00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内容规范性</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答复内容是否有文字性错误</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1.00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是否说明法律依据、理由</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1.00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是否告知救济渠道，并明确救济机关名称、地址、时限等信息</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1.00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54" w:type="dxa"/>
            <w:vMerge w:val="restart"/>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政策解读与回应关切（20）</w:t>
            </w:r>
          </w:p>
        </w:tc>
        <w:tc>
          <w:tcPr>
            <w:tcW w:w="1254" w:type="dxa"/>
            <w:vMerge w:val="restart"/>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政策解读（12）</w:t>
            </w: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解读材料（4）</w:t>
            </w:r>
          </w:p>
        </w:tc>
        <w:tc>
          <w:tcPr>
            <w:tcW w:w="1688" w:type="dxa"/>
            <w:vMerge w:val="restart"/>
            <w:noWrap/>
            <w:vAlign w:val="center"/>
          </w:tcPr>
          <w:p>
            <w:pPr>
              <w:widowControl w:val="0"/>
              <w:spacing w:line="28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解读材料发布</w:t>
            </w:r>
          </w:p>
        </w:tc>
        <w:tc>
          <w:tcPr>
            <w:tcW w:w="5258" w:type="dxa"/>
            <w:noWrap/>
            <w:vAlign w:val="center"/>
          </w:tcPr>
          <w:p>
            <w:pPr>
              <w:widowControl w:val="0"/>
              <w:spacing w:line="28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是否设置政策解读专门栏目</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1.00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所有单位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jc w:val="center"/>
              <w:rPr>
                <w:rFonts w:ascii="Times New Roman" w:hAnsi="Times New Roman" w:eastAsia="仿宋_GB2312" w:cs="Times New Roman"/>
                <w:bCs/>
                <w:sz w:val="24"/>
                <w:szCs w:val="24"/>
              </w:rPr>
            </w:pPr>
          </w:p>
        </w:tc>
        <w:tc>
          <w:tcPr>
            <w:tcW w:w="1688" w:type="dxa"/>
            <w:vMerge w:val="continue"/>
            <w:noWrap/>
            <w:vAlign w:val="center"/>
          </w:tcPr>
          <w:p>
            <w:pPr>
              <w:widowControl w:val="0"/>
              <w:spacing w:line="280" w:lineRule="exact"/>
              <w:jc w:val="center"/>
              <w:rPr>
                <w:rFonts w:ascii="Times New Roman" w:hAnsi="Times New Roman" w:eastAsia="仿宋_GB2312" w:cs="Times New Roman"/>
                <w:bCs/>
                <w:sz w:val="24"/>
                <w:szCs w:val="24"/>
              </w:rPr>
            </w:pPr>
          </w:p>
        </w:tc>
        <w:tc>
          <w:tcPr>
            <w:tcW w:w="5258" w:type="dxa"/>
            <w:noWrap/>
            <w:vAlign w:val="center"/>
          </w:tcPr>
          <w:p>
            <w:pPr>
              <w:widowControl w:val="0"/>
              <w:spacing w:line="28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是否文件公开后3个工作日内发布相关解读材料</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2.00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所有单位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28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政策文件与解读材料关联性</w:t>
            </w:r>
          </w:p>
        </w:tc>
        <w:tc>
          <w:tcPr>
            <w:tcW w:w="5258" w:type="dxa"/>
            <w:noWrap/>
            <w:vAlign w:val="center"/>
          </w:tcPr>
          <w:p>
            <w:pPr>
              <w:widowControl w:val="0"/>
              <w:spacing w:line="28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是否在政策文件页面提供解读材料页面入口，在解读材料页面关联政策文件有关内容</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1.00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解读情况（8）</w:t>
            </w:r>
          </w:p>
        </w:tc>
        <w:tc>
          <w:tcPr>
            <w:tcW w:w="1688" w:type="dxa"/>
            <w:noWrap/>
            <w:vAlign w:val="center"/>
          </w:tcPr>
          <w:p>
            <w:pPr>
              <w:widowControl w:val="0"/>
              <w:spacing w:line="28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解读比例</w:t>
            </w:r>
          </w:p>
        </w:tc>
        <w:tc>
          <w:tcPr>
            <w:tcW w:w="5258" w:type="dxa"/>
            <w:noWrap/>
            <w:vAlign w:val="center"/>
          </w:tcPr>
          <w:p>
            <w:pPr>
              <w:widowControl w:val="0"/>
              <w:spacing w:line="28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本级政府或本级政府办公室名义印发的涉及面广、社会关注度高的政策文件的解读比例</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2.00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所有单位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28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解读内容</w:t>
            </w:r>
          </w:p>
        </w:tc>
        <w:tc>
          <w:tcPr>
            <w:tcW w:w="5258" w:type="dxa"/>
            <w:noWrap/>
            <w:vAlign w:val="center"/>
          </w:tcPr>
          <w:p>
            <w:pPr>
              <w:widowControl w:val="0"/>
              <w:spacing w:line="28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政策背景、决策依据、出台目的、重要举措等解读内容要素是否全面</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2.00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noWrap/>
            <w:vAlign w:val="center"/>
          </w:tcPr>
          <w:p>
            <w:pPr>
              <w:widowControl w:val="0"/>
              <w:spacing w:line="28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解读形式</w:t>
            </w:r>
          </w:p>
        </w:tc>
        <w:tc>
          <w:tcPr>
            <w:tcW w:w="5258" w:type="dxa"/>
            <w:noWrap/>
            <w:vAlign w:val="center"/>
          </w:tcPr>
          <w:p>
            <w:pPr>
              <w:widowControl w:val="0"/>
              <w:spacing w:line="280" w:lineRule="exact"/>
              <w:rPr>
                <w:rFonts w:ascii="Times New Roman" w:hAnsi="Times New Roman" w:eastAsia="仿宋_GB2312" w:cs="Times New Roman"/>
                <w:bCs/>
                <w:spacing w:val="-8"/>
                <w:sz w:val="24"/>
                <w:szCs w:val="24"/>
              </w:rPr>
            </w:pPr>
            <w:r>
              <w:rPr>
                <w:rFonts w:ascii="Times New Roman" w:hAnsi="Times New Roman" w:eastAsia="仿宋_GB2312" w:cs="Times New Roman"/>
                <w:bCs/>
                <w:spacing w:val="-8"/>
                <w:sz w:val="24"/>
                <w:szCs w:val="24"/>
              </w:rPr>
              <w:t>是否从公众生产生活实际需求出发，对政策文件及解读材料进行梳理、分类、提炼、精简，重新归纳组织，通过数字化、新闻发布会、吹风会、简明问答、图表图解、音频、视频、动漫等形式予以展现</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4.00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回应关切（8）</w:t>
            </w: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互动交流（8）</w:t>
            </w:r>
          </w:p>
        </w:tc>
        <w:tc>
          <w:tcPr>
            <w:tcW w:w="1688" w:type="dxa"/>
            <w:vMerge w:val="restart"/>
            <w:noWrap/>
            <w:vAlign w:val="center"/>
          </w:tcPr>
          <w:p>
            <w:pPr>
              <w:widowControl w:val="0"/>
              <w:spacing w:line="28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平台功能建设</w:t>
            </w:r>
          </w:p>
        </w:tc>
        <w:tc>
          <w:tcPr>
            <w:tcW w:w="5258" w:type="dxa"/>
            <w:noWrap/>
            <w:vAlign w:val="center"/>
          </w:tcPr>
          <w:p>
            <w:pPr>
              <w:widowControl w:val="0"/>
              <w:spacing w:line="28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是否在门户网站搭建统一的互动交流平台</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1.00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280" w:lineRule="exact"/>
              <w:rPr>
                <w:rFonts w:ascii="Times New Roman" w:hAnsi="Times New Roman" w:eastAsia="仿宋_GB2312" w:cs="Times New Roman"/>
                <w:bCs/>
                <w:sz w:val="24"/>
                <w:szCs w:val="24"/>
              </w:rPr>
            </w:pPr>
          </w:p>
        </w:tc>
        <w:tc>
          <w:tcPr>
            <w:tcW w:w="5258" w:type="dxa"/>
            <w:noWrap/>
            <w:vAlign w:val="center"/>
          </w:tcPr>
          <w:p>
            <w:pPr>
              <w:widowControl w:val="0"/>
              <w:spacing w:line="28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是否可实现留言评论、在线访谈、征集调查、咨询投诉等功能</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1.00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restart"/>
            <w:noWrap/>
            <w:vAlign w:val="center"/>
          </w:tcPr>
          <w:p>
            <w:pPr>
              <w:widowControl w:val="0"/>
              <w:spacing w:line="28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反馈信息公开</w:t>
            </w:r>
          </w:p>
        </w:tc>
        <w:tc>
          <w:tcPr>
            <w:tcW w:w="5258" w:type="dxa"/>
            <w:noWrap/>
            <w:vAlign w:val="center"/>
          </w:tcPr>
          <w:p>
            <w:pPr>
              <w:widowControl w:val="0"/>
              <w:spacing w:line="28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是否公开咨询建言类栏目（网上信访、纪检举报等专门渠道除外）的网民留言</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1.00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280" w:lineRule="exact"/>
              <w:rPr>
                <w:rFonts w:ascii="Times New Roman" w:hAnsi="Times New Roman" w:eastAsia="仿宋_GB2312" w:cs="Times New Roman"/>
                <w:bCs/>
                <w:sz w:val="24"/>
                <w:szCs w:val="24"/>
              </w:rPr>
            </w:pPr>
          </w:p>
        </w:tc>
        <w:tc>
          <w:tcPr>
            <w:tcW w:w="5258" w:type="dxa"/>
            <w:noWrap/>
            <w:vAlign w:val="center"/>
          </w:tcPr>
          <w:p>
            <w:pPr>
              <w:widowControl w:val="0"/>
              <w:spacing w:line="28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留言时间、答复时间、答复单位、答复内容等要素是否齐全</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2.00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280" w:lineRule="exact"/>
              <w:rPr>
                <w:rFonts w:ascii="Times New Roman" w:hAnsi="Times New Roman" w:eastAsia="仿宋_GB2312" w:cs="Times New Roman"/>
                <w:bCs/>
                <w:sz w:val="24"/>
                <w:szCs w:val="24"/>
              </w:rPr>
            </w:pPr>
          </w:p>
        </w:tc>
        <w:tc>
          <w:tcPr>
            <w:tcW w:w="5258" w:type="dxa"/>
            <w:noWrap/>
            <w:vAlign w:val="center"/>
          </w:tcPr>
          <w:p>
            <w:pPr>
              <w:widowControl w:val="0"/>
              <w:spacing w:line="28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是否公开留言受理反馈情况统计数据</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1.00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jc w:val="center"/>
              <w:rPr>
                <w:rFonts w:ascii="Times New Roman" w:hAnsi="Times New Roman" w:eastAsia="仿宋_GB2312" w:cs="Times New Roman"/>
                <w:bCs/>
                <w:sz w:val="24"/>
                <w:szCs w:val="24"/>
              </w:rPr>
            </w:pPr>
          </w:p>
        </w:tc>
        <w:tc>
          <w:tcPr>
            <w:tcW w:w="1688" w:type="dxa"/>
            <w:vMerge w:val="restart"/>
            <w:noWrap/>
            <w:vAlign w:val="center"/>
          </w:tcPr>
          <w:p>
            <w:pPr>
              <w:widowControl w:val="0"/>
              <w:spacing w:line="28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答复时效和内容</w:t>
            </w:r>
          </w:p>
        </w:tc>
        <w:tc>
          <w:tcPr>
            <w:tcW w:w="5258" w:type="dxa"/>
            <w:noWrap/>
            <w:vAlign w:val="center"/>
          </w:tcPr>
          <w:p>
            <w:pPr>
              <w:widowControl w:val="0"/>
              <w:spacing w:line="28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是否能在5个工作日内答复</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1.00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答复内容质量情况，是否有推诿、敷衍等现象</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1.00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4" w:type="dxa"/>
            <w:vMerge w:val="restart"/>
            <w:shd w:val="clear" w:color="auto" w:fill="auto"/>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政务公开保障机制（20）</w:t>
            </w:r>
          </w:p>
        </w:tc>
        <w:tc>
          <w:tcPr>
            <w:tcW w:w="1254" w:type="dxa"/>
            <w:vMerge w:val="restart"/>
            <w:shd w:val="clear" w:color="auto" w:fill="auto"/>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平台建设（8.75）</w:t>
            </w:r>
          </w:p>
        </w:tc>
        <w:tc>
          <w:tcPr>
            <w:tcW w:w="1286" w:type="dxa"/>
            <w:vMerge w:val="restart"/>
            <w:shd w:val="clear" w:color="auto" w:fill="auto"/>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政府网站（4）</w:t>
            </w:r>
          </w:p>
        </w:tc>
        <w:tc>
          <w:tcPr>
            <w:tcW w:w="1688" w:type="dxa"/>
            <w:vMerge w:val="restart"/>
            <w:shd w:val="clear" w:color="auto" w:fill="auto"/>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建设管理</w:t>
            </w: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是否提供信息发布、解读回应、互动交流和办事服务功能</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信息发布质量（名称规范性、错别字、内容准确性等）</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所有单位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法规文件和办事文件是否提供下载渠道（包括word版本、PDF版本）</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restart"/>
            <w:shd w:val="clear" w:color="auto" w:fill="auto"/>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站内检索</w:t>
            </w: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是否提供搜索查询功能，包括简单检索、高级检索和智能检索等</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搜索结果的准确性、易用性情况</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搜索结果是否实现分类展现</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688" w:type="dxa"/>
            <w:shd w:val="clear" w:color="auto" w:fill="auto"/>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无障碍建设</w:t>
            </w: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为特殊人群及老人提供的便捷浏览服务，例如在原有基础上支持字体放大、特殊界面设置、色调调整、辅助线添加、语音等功能，为视觉障碍、老年人等特殊人群提供网上通道</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1.00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4" w:type="dxa"/>
            <w:vMerge w:val="restart"/>
            <w:shd w:val="clear" w:color="auto" w:fill="auto"/>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政务公开保障机制（20）</w:t>
            </w:r>
          </w:p>
        </w:tc>
        <w:tc>
          <w:tcPr>
            <w:tcW w:w="1254" w:type="dxa"/>
            <w:vMerge w:val="restart"/>
            <w:shd w:val="clear" w:color="auto" w:fill="auto"/>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平台建设（8.75）</w:t>
            </w:r>
          </w:p>
        </w:tc>
        <w:tc>
          <w:tcPr>
            <w:tcW w:w="1286" w:type="dxa"/>
            <w:vMerge w:val="restart"/>
            <w:shd w:val="clear" w:color="auto" w:fill="auto"/>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政务新媒体（2）</w:t>
            </w:r>
          </w:p>
        </w:tc>
        <w:tc>
          <w:tcPr>
            <w:tcW w:w="1688" w:type="dxa"/>
            <w:vMerge w:val="restart"/>
            <w:shd w:val="clear" w:color="auto" w:fill="auto"/>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建设管理</w:t>
            </w: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是否开通并在门户网站提供有效的链接</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信息更新的及时性</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已开通政务新媒体的单位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shd w:val="clear" w:color="auto" w:fill="auto"/>
            <w:noWrap/>
            <w:vAlign w:val="center"/>
          </w:tcPr>
          <w:p>
            <w:pPr>
              <w:widowControl w:val="0"/>
              <w:spacing w:line="320" w:lineRule="exact"/>
              <w:jc w:val="center"/>
              <w:rPr>
                <w:rFonts w:ascii="Times New Roman" w:hAnsi="Times New Roman" w:eastAsia="仿宋_GB2312" w:cs="Times New Roman"/>
                <w:bCs/>
                <w:sz w:val="24"/>
                <w:szCs w:val="24"/>
              </w:rPr>
            </w:pPr>
          </w:p>
        </w:tc>
        <w:tc>
          <w:tcPr>
            <w:tcW w:w="1688" w:type="dxa"/>
            <w:vMerge w:val="restart"/>
            <w:shd w:val="clear" w:color="auto" w:fill="auto"/>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功能应用</w:t>
            </w: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发布内容是否与本机关工作相关</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已开通政务新媒体的单位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是否提供有效互动功能</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restart"/>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政府公报（2.75）</w:t>
            </w:r>
          </w:p>
        </w:tc>
        <w:tc>
          <w:tcPr>
            <w:tcW w:w="1688" w:type="dxa"/>
            <w:vMerge w:val="restart"/>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可获取性</w:t>
            </w: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是否在政府网站首页设立政府公报专栏链接</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0.25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是否可获取本年度政府公报电子版</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是否明确纸质版政府公报赠阅范围</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0.25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68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发布时效</w:t>
            </w: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是否能够定期出版发行政府公报</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68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发布内容</w:t>
            </w: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是否统一刊登政府规范性文件以及所属部门规范性文件</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0.25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restart"/>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数字化情况</w:t>
            </w: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创刊以来的所有政府公报是否均实现入库管理</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0.25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是否提供政府公报的目录导航和内容检索服务</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是否适应移动互联网发展趋势，推出适合移动平台展示的电子版</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0.25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54" w:type="dxa"/>
            <w:vMerge w:val="restart"/>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政务公开保障机制（20）</w:t>
            </w:r>
          </w:p>
        </w:tc>
        <w:tc>
          <w:tcPr>
            <w:tcW w:w="1254"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基础建设（8.25）</w:t>
            </w:r>
          </w:p>
        </w:tc>
        <w:tc>
          <w:tcPr>
            <w:tcW w:w="2974" w:type="dxa"/>
            <w:gridSpan w:val="2"/>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政府信息公开专栏（5）</w:t>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是否按照国办公开办函〔2019〕61 号要求完善改版内容</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5.00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县政府办公室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restart"/>
            <w:shd w:val="clear" w:color="auto" w:fill="auto"/>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主动公开基本目录（1.25）</w:t>
            </w:r>
          </w:p>
        </w:tc>
        <w:tc>
          <w:tcPr>
            <w:tcW w:w="1688" w:type="dxa"/>
            <w:shd w:val="clear" w:color="auto" w:fill="auto"/>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发布更新情况</w:t>
            </w:r>
          </w:p>
        </w:tc>
        <w:tc>
          <w:tcPr>
            <w:tcW w:w="5258" w:type="dxa"/>
            <w:shd w:val="clear" w:color="auto" w:fill="auto"/>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是否在政府网站公开主动公开基本目录，并动态调整更新</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0.25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所有单位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restart"/>
            <w:shd w:val="clear" w:color="auto" w:fill="auto"/>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内容规范性</w:t>
            </w: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是否明确了各公开事项的主体、内容、时限、方式等</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所有单位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是否涵盖了全部法定主动公开内容</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0.25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5258" w:type="dxa"/>
            <w:shd w:val="clear" w:color="auto" w:fill="auto"/>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是否将重点领域信息公开纳入</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0.25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基层政务公开标准化规范化推进情况（2）</w:t>
            </w: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标准目录完成情况</w:t>
            </w:r>
            <w:r>
              <w:rPr>
                <w:rFonts w:ascii="Times New Roman" w:hAnsi="Times New Roman" w:eastAsia="仿宋_GB2312" w:cs="Times New Roman"/>
                <w:bCs/>
                <w:sz w:val="24"/>
                <w:szCs w:val="24"/>
              </w:rPr>
              <w:br w:type="textWrapping"/>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是否编制完成本级26个试点领域政务公开事项标准目录，并在政府门户网站公开发布</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编制26个试点领域的单位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是否编制完成乡镇街道试点领域政务公开事项标准目录（未涉及的领域需做出说明），并在政府门户网站公开发布</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各镇（街道、经济开发区）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restart"/>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标准目录规范性</w:t>
            </w:r>
            <w:r>
              <w:rPr>
                <w:rFonts w:ascii="Times New Roman" w:hAnsi="Times New Roman" w:eastAsia="仿宋_GB2312" w:cs="Times New Roman"/>
                <w:bCs/>
                <w:sz w:val="24"/>
                <w:szCs w:val="24"/>
              </w:rPr>
              <w:br w:type="textWrapping"/>
            </w: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标准目录是否包括了公开事项的名称、内容、依据、时限、主体、方式、渠道、公开对象等要素</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所有单位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noWrap/>
            <w:vAlign w:val="center"/>
          </w:tcPr>
          <w:p>
            <w:pPr>
              <w:widowControl w:val="0"/>
              <w:spacing w:line="320" w:lineRule="exact"/>
              <w:rPr>
                <w:rFonts w:ascii="Times New Roman" w:hAnsi="Times New Roman" w:eastAsia="仿宋_GB2312" w:cs="Times New Roman"/>
                <w:bCs/>
                <w:sz w:val="24"/>
                <w:szCs w:val="24"/>
              </w:rPr>
            </w:pPr>
          </w:p>
        </w:tc>
        <w:tc>
          <w:tcPr>
            <w:tcW w:w="5258" w:type="dxa"/>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标准目录是否因地制宜、实事求是，体现地区和领域特点</w:t>
            </w:r>
          </w:p>
        </w:tc>
        <w:tc>
          <w:tcPr>
            <w:tcW w:w="818" w:type="dxa"/>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restart"/>
            <w:shd w:val="clear" w:color="auto" w:fill="auto"/>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政务公开保障机制（20）</w:t>
            </w:r>
          </w:p>
        </w:tc>
        <w:tc>
          <w:tcPr>
            <w:tcW w:w="1254" w:type="dxa"/>
            <w:vMerge w:val="restart"/>
            <w:shd w:val="clear" w:color="auto" w:fill="auto"/>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组织管理（3）</w:t>
            </w:r>
          </w:p>
        </w:tc>
        <w:tc>
          <w:tcPr>
            <w:tcW w:w="1286" w:type="dxa"/>
            <w:vMerge w:val="restart"/>
            <w:shd w:val="clear" w:color="auto" w:fill="auto"/>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组织领导（1）</w:t>
            </w:r>
          </w:p>
        </w:tc>
        <w:tc>
          <w:tcPr>
            <w:tcW w:w="1688" w:type="dxa"/>
            <w:shd w:val="clear" w:color="auto" w:fill="auto"/>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领导体制</w:t>
            </w:r>
          </w:p>
        </w:tc>
        <w:tc>
          <w:tcPr>
            <w:tcW w:w="5258" w:type="dxa"/>
            <w:shd w:val="clear" w:color="auto" w:fill="auto"/>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是否在领导分工中明确政务公开分管领导</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各镇（街道、经济开发区）、县政府各部门、各有关单位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688" w:type="dxa"/>
            <w:shd w:val="clear" w:color="auto" w:fill="auto"/>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机构设置</w:t>
            </w:r>
          </w:p>
        </w:tc>
        <w:tc>
          <w:tcPr>
            <w:tcW w:w="5258" w:type="dxa"/>
            <w:shd w:val="clear" w:color="auto" w:fill="auto"/>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是否明确政务公开工作承担机构，并配备专职人员</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restart"/>
            <w:shd w:val="clear" w:color="auto" w:fill="auto"/>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业务培训（1）</w:t>
            </w:r>
          </w:p>
        </w:tc>
        <w:tc>
          <w:tcPr>
            <w:tcW w:w="1688" w:type="dxa"/>
            <w:shd w:val="clear" w:color="auto" w:fill="auto"/>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培训计划</w:t>
            </w:r>
          </w:p>
        </w:tc>
        <w:tc>
          <w:tcPr>
            <w:tcW w:w="5258" w:type="dxa"/>
            <w:shd w:val="clear" w:color="auto" w:fill="auto"/>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是否发布政务公开业务培训计划</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各镇（街道、经济开发区）、县政府各部门、各有关单位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688" w:type="dxa"/>
            <w:shd w:val="clear" w:color="auto" w:fill="auto"/>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开展情况</w:t>
            </w:r>
          </w:p>
        </w:tc>
        <w:tc>
          <w:tcPr>
            <w:tcW w:w="5258" w:type="dxa"/>
            <w:shd w:val="clear" w:color="auto" w:fill="auto"/>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是否按照计划开展或参加政务公开业务培训</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both"/>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restart"/>
            <w:shd w:val="clear" w:color="auto" w:fill="auto"/>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工作推进（1）</w:t>
            </w:r>
          </w:p>
        </w:tc>
        <w:tc>
          <w:tcPr>
            <w:tcW w:w="1688" w:type="dxa"/>
            <w:vMerge w:val="restart"/>
            <w:shd w:val="clear" w:color="auto" w:fill="auto"/>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实施方案或工作措施</w:t>
            </w: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是否发布2020年度政务公开工作实施方案或工作安排</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restart"/>
            <w:noWrap/>
            <w:vAlign w:val="center"/>
          </w:tcPr>
          <w:p>
            <w:pPr>
              <w:widowControl w:val="0"/>
              <w:spacing w:line="320" w:lineRule="exact"/>
              <w:jc w:val="both"/>
              <w:rPr>
                <w:rFonts w:ascii="Times New Roman" w:hAnsi="Times New Roman" w:eastAsia="仿宋_GB2312" w:cs="Times New Roman"/>
                <w:bCs/>
                <w:sz w:val="24"/>
                <w:szCs w:val="24"/>
              </w:rPr>
            </w:pPr>
            <w:r>
              <w:rPr>
                <w:rFonts w:ascii="Times New Roman" w:hAnsi="Times New Roman" w:eastAsia="仿宋_GB2312" w:cs="Times New Roman"/>
                <w:bCs/>
                <w:sz w:val="24"/>
                <w:szCs w:val="24"/>
              </w:rPr>
              <w:t>各镇（街道、经济开发区）、县政府各部门、各有关单位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54"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286"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1688" w:type="dxa"/>
            <w:vMerge w:val="continue"/>
            <w:shd w:val="clear" w:color="auto" w:fill="auto"/>
            <w:noWrap/>
            <w:vAlign w:val="center"/>
          </w:tcPr>
          <w:p>
            <w:pPr>
              <w:widowControl w:val="0"/>
              <w:spacing w:line="320" w:lineRule="exact"/>
              <w:rPr>
                <w:rFonts w:ascii="Times New Roman" w:hAnsi="Times New Roman" w:eastAsia="仿宋_GB2312" w:cs="Times New Roman"/>
                <w:bCs/>
                <w:sz w:val="24"/>
                <w:szCs w:val="24"/>
              </w:rPr>
            </w:pPr>
          </w:p>
        </w:tc>
        <w:tc>
          <w:tcPr>
            <w:tcW w:w="5258" w:type="dxa"/>
            <w:shd w:val="clear" w:color="000000" w:fill="FFFFFF"/>
            <w:noWrap/>
            <w:vAlign w:val="center"/>
          </w:tcPr>
          <w:p>
            <w:pPr>
              <w:widowControl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实施方案或工作安排与本地区实际结合情况</w:t>
            </w:r>
          </w:p>
        </w:tc>
        <w:tc>
          <w:tcPr>
            <w:tcW w:w="818" w:type="dxa"/>
            <w:shd w:val="clear" w:color="000000" w:fill="FFFFFF"/>
            <w:noWrap/>
            <w:vAlign w:val="center"/>
          </w:tcPr>
          <w:p>
            <w:pPr>
              <w:widowControl w:val="0"/>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0.50 </w:t>
            </w:r>
          </w:p>
        </w:tc>
        <w:tc>
          <w:tcPr>
            <w:tcW w:w="2530" w:type="dxa"/>
            <w:vMerge w:val="continue"/>
            <w:noWrap/>
            <w:vAlign w:val="center"/>
          </w:tcPr>
          <w:p>
            <w:pPr>
              <w:widowControl w:val="0"/>
              <w:spacing w:line="320" w:lineRule="exact"/>
              <w:jc w:val="center"/>
              <w:rPr>
                <w:rFonts w:ascii="Times New Roman" w:hAnsi="Times New Roman" w:eastAsia="仿宋_GB2312" w:cs="Times New Roman"/>
                <w:bCs/>
                <w:sz w:val="24"/>
                <w:szCs w:val="24"/>
              </w:rPr>
            </w:pPr>
          </w:p>
        </w:tc>
      </w:tr>
    </w:tbl>
    <w:p>
      <w:pPr>
        <w:pStyle w:val="2"/>
        <w:widowControl w:val="0"/>
        <w:spacing w:line="560" w:lineRule="exact"/>
        <w:jc w:val="both"/>
        <w:rPr>
          <w:rFonts w:ascii="Times New Roman" w:hAnsi="Times New Roman" w:eastAsia="黑体" w:cs="Times New Roman"/>
          <w:b w:val="0"/>
          <w:sz w:val="32"/>
          <w:szCs w:val="32"/>
        </w:rPr>
        <w:sectPr>
          <w:pgSz w:w="16838" w:h="11906" w:orient="landscape"/>
          <w:pgMar w:top="1588" w:right="1440" w:bottom="1474" w:left="1440" w:header="851" w:footer="992" w:gutter="0"/>
          <w:cols w:space="0" w:num="1"/>
          <w:docGrid w:type="lines" w:linePitch="319" w:charSpace="0"/>
        </w:sectPr>
      </w:pPr>
    </w:p>
    <w:p>
      <w:pPr>
        <w:pStyle w:val="2"/>
        <w:widowControl w:val="0"/>
        <w:spacing w:line="560" w:lineRule="exact"/>
        <w:jc w:val="both"/>
        <w:rPr>
          <w:rFonts w:ascii="Times New Roman" w:hAnsi="Times New Roman" w:eastAsia="黑体" w:cs="Times New Roman"/>
          <w:b w:val="0"/>
          <w:sz w:val="32"/>
          <w:szCs w:val="32"/>
        </w:rPr>
      </w:pPr>
      <w:r>
        <w:rPr>
          <w:rFonts w:ascii="Times New Roman" w:hAnsi="Times New Roman" w:eastAsia="黑体" w:cs="Times New Roman"/>
          <w:b w:val="0"/>
          <w:sz w:val="32"/>
          <w:szCs w:val="32"/>
        </w:rPr>
        <w:t>附件3</w:t>
      </w:r>
    </w:p>
    <w:p>
      <w:pPr>
        <w:widowControl w:val="0"/>
        <w:rPr>
          <w:rFonts w:ascii="Times New Roman" w:hAnsi="Times New Roman" w:cs="Times New Roman"/>
          <w:bCs/>
        </w:rPr>
      </w:pPr>
    </w:p>
    <w:p>
      <w:pPr>
        <w:widowControl w:val="0"/>
        <w:spacing w:line="560" w:lineRule="exact"/>
        <w:jc w:val="center"/>
        <w:rPr>
          <w:rFonts w:ascii="Times New Roman" w:hAnsi="Times New Roman" w:eastAsia="方正小标宋简体" w:cs="Times New Roman"/>
          <w:bCs/>
          <w:spacing w:val="-10"/>
          <w:sz w:val="44"/>
          <w:szCs w:val="44"/>
        </w:rPr>
      </w:pPr>
      <w:bookmarkStart w:id="2" w:name="_Hlk22125477"/>
      <w:r>
        <w:rPr>
          <w:rFonts w:ascii="Times New Roman" w:hAnsi="Times New Roman" w:eastAsia="方正小标宋简体" w:cs="Times New Roman"/>
          <w:bCs/>
          <w:spacing w:val="-10"/>
          <w:sz w:val="44"/>
          <w:szCs w:val="44"/>
        </w:rPr>
        <w:t>2020年沂源县政务公开工作考核报送材料清单</w:t>
      </w:r>
    </w:p>
    <w:bookmarkEnd w:id="2"/>
    <w:p>
      <w:pPr>
        <w:widowControl w:val="0"/>
        <w:spacing w:line="560" w:lineRule="exact"/>
        <w:ind w:firstLine="640" w:firstLineChars="200"/>
        <w:jc w:val="both"/>
        <w:rPr>
          <w:rFonts w:ascii="Times New Roman" w:hAnsi="Times New Roman" w:eastAsia="黑体" w:cs="Times New Roman"/>
          <w:bCs/>
          <w:sz w:val="32"/>
          <w:szCs w:val="32"/>
        </w:rPr>
      </w:pPr>
    </w:p>
    <w:p>
      <w:pPr>
        <w:widowControl w:val="0"/>
        <w:spacing w:line="560" w:lineRule="exact"/>
        <w:ind w:firstLine="640" w:firstLineChars="200"/>
        <w:jc w:val="both"/>
        <w:rPr>
          <w:rFonts w:ascii="Times New Roman" w:hAnsi="Times New Roman" w:eastAsia="黑体" w:cs="Times New Roman"/>
          <w:bCs/>
          <w:sz w:val="32"/>
          <w:szCs w:val="32"/>
        </w:rPr>
      </w:pPr>
      <w:r>
        <w:rPr>
          <w:rFonts w:ascii="Times New Roman" w:hAnsi="Times New Roman" w:eastAsia="黑体" w:cs="Times New Roman"/>
          <w:bCs/>
          <w:sz w:val="32"/>
          <w:szCs w:val="32"/>
        </w:rPr>
        <w:t>一、镇政府、街道办事处、经济开发区</w:t>
      </w:r>
    </w:p>
    <w:p>
      <w:pPr>
        <w:pStyle w:val="10"/>
        <w:widowControl w:val="0"/>
        <w:numPr>
          <w:ilvl w:val="0"/>
          <w:numId w:val="7"/>
        </w:numPr>
        <w:spacing w:line="560" w:lineRule="exact"/>
        <w:ind w:left="0" w:firstLine="640" w:firstLineChars="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2020年度，</w:t>
      </w:r>
      <w:r>
        <w:rPr>
          <w:rFonts w:ascii="Times New Roman" w:hAnsi="Times New Roman" w:eastAsia="仿宋_GB2312" w:cs="Times New Roman"/>
          <w:bCs/>
          <w:w w:val="95"/>
          <w:sz w:val="32"/>
          <w:szCs w:val="32"/>
        </w:rPr>
        <w:t>本部门</w:t>
      </w:r>
      <w:r>
        <w:rPr>
          <w:rFonts w:ascii="Times New Roman" w:hAnsi="Times New Roman" w:eastAsia="仿宋_GB2312" w:cs="Times New Roman"/>
          <w:bCs/>
          <w:sz w:val="32"/>
          <w:szCs w:val="32"/>
        </w:rPr>
        <w:t>发布的所有文件列表。</w:t>
      </w:r>
    </w:p>
    <w:tbl>
      <w:tblPr>
        <w:tblStyle w:val="7"/>
        <w:tblW w:w="0" w:type="auto"/>
        <w:jc w:val="center"/>
        <w:tblLayout w:type="fixed"/>
        <w:tblCellMar>
          <w:top w:w="0" w:type="dxa"/>
          <w:left w:w="108" w:type="dxa"/>
          <w:bottom w:w="0" w:type="dxa"/>
          <w:right w:w="108" w:type="dxa"/>
        </w:tblCellMar>
      </w:tblPr>
      <w:tblGrid>
        <w:gridCol w:w="765"/>
        <w:gridCol w:w="893"/>
        <w:gridCol w:w="959"/>
        <w:gridCol w:w="3720"/>
        <w:gridCol w:w="1175"/>
        <w:gridCol w:w="1844"/>
      </w:tblGrid>
      <w:tr>
        <w:tblPrEx>
          <w:tblCellMar>
            <w:top w:w="0" w:type="dxa"/>
            <w:left w:w="108" w:type="dxa"/>
            <w:bottom w:w="0" w:type="dxa"/>
            <w:right w:w="108" w:type="dxa"/>
          </w:tblCellMar>
        </w:tblPrEx>
        <w:trPr>
          <w:trHeight w:val="567" w:hRule="atLeas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序号</w:t>
            </w:r>
          </w:p>
        </w:tc>
        <w:tc>
          <w:tcPr>
            <w:tcW w:w="893" w:type="dxa"/>
            <w:tcBorders>
              <w:top w:val="single" w:color="auto" w:sz="4" w:space="0"/>
              <w:left w:val="nil"/>
              <w:bottom w:val="single" w:color="auto" w:sz="4" w:space="0"/>
              <w:right w:val="single" w:color="auto" w:sz="4" w:space="0"/>
            </w:tcBorders>
            <w:noWrap/>
            <w:vAlign w:val="center"/>
          </w:tcPr>
          <w:p>
            <w:pPr>
              <w:widowControl w:val="0"/>
              <w:spacing w:line="40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标题</w:t>
            </w:r>
          </w:p>
        </w:tc>
        <w:tc>
          <w:tcPr>
            <w:tcW w:w="959" w:type="dxa"/>
            <w:tcBorders>
              <w:top w:val="single" w:color="auto" w:sz="4" w:space="0"/>
              <w:left w:val="nil"/>
              <w:bottom w:val="single" w:color="auto" w:sz="4" w:space="0"/>
              <w:right w:val="single" w:color="auto" w:sz="4" w:space="0"/>
            </w:tcBorders>
            <w:noWrap/>
            <w:vAlign w:val="center"/>
          </w:tcPr>
          <w:p>
            <w:pPr>
              <w:widowControl w:val="0"/>
              <w:spacing w:line="40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文号</w:t>
            </w:r>
          </w:p>
        </w:tc>
        <w:tc>
          <w:tcPr>
            <w:tcW w:w="3720" w:type="dxa"/>
            <w:tcBorders>
              <w:top w:val="single" w:color="auto" w:sz="4" w:space="0"/>
              <w:left w:val="nil"/>
              <w:bottom w:val="single" w:color="auto" w:sz="4" w:space="0"/>
              <w:right w:val="single" w:color="auto" w:sz="4" w:space="0"/>
            </w:tcBorders>
            <w:noWrap/>
            <w:vAlign w:val="center"/>
          </w:tcPr>
          <w:p>
            <w:pPr>
              <w:widowControl w:val="0"/>
              <w:spacing w:line="40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公开属性（主动公开、依申请公开、不予公开）</w:t>
            </w:r>
          </w:p>
        </w:tc>
        <w:tc>
          <w:tcPr>
            <w:tcW w:w="1175" w:type="dxa"/>
            <w:tcBorders>
              <w:top w:val="single" w:color="auto" w:sz="4" w:space="0"/>
              <w:left w:val="nil"/>
              <w:bottom w:val="single" w:color="auto" w:sz="4" w:space="0"/>
              <w:right w:val="single" w:color="auto" w:sz="4" w:space="0"/>
            </w:tcBorders>
            <w:noWrap/>
            <w:vAlign w:val="center"/>
          </w:tcPr>
          <w:p>
            <w:pPr>
              <w:widowControl w:val="0"/>
              <w:spacing w:line="400" w:lineRule="exact"/>
              <w:ind w:left="-1" w:leftChars="-42" w:right="-81" w:rightChars="-37" w:hanging="91" w:hangingChars="38"/>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公开网址</w:t>
            </w:r>
          </w:p>
        </w:tc>
        <w:tc>
          <w:tcPr>
            <w:tcW w:w="1844" w:type="dxa"/>
            <w:tcBorders>
              <w:top w:val="single" w:color="auto" w:sz="4" w:space="0"/>
              <w:left w:val="nil"/>
              <w:bottom w:val="single" w:color="auto" w:sz="4" w:space="0"/>
              <w:right w:val="single" w:color="auto" w:sz="4" w:space="0"/>
            </w:tcBorders>
            <w:noWrap/>
            <w:vAlign w:val="center"/>
          </w:tcPr>
          <w:p>
            <w:pPr>
              <w:widowControl w:val="0"/>
              <w:spacing w:line="40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解读材料网址</w:t>
            </w:r>
          </w:p>
        </w:tc>
      </w:tr>
      <w:tr>
        <w:tblPrEx>
          <w:tblCellMar>
            <w:top w:w="0" w:type="dxa"/>
            <w:left w:w="108" w:type="dxa"/>
            <w:bottom w:w="0" w:type="dxa"/>
            <w:right w:w="108" w:type="dxa"/>
          </w:tblCellMar>
        </w:tblPrEx>
        <w:trPr>
          <w:trHeight w:val="567" w:hRule="atLeast"/>
          <w:jc w:val="center"/>
        </w:trPr>
        <w:tc>
          <w:tcPr>
            <w:tcW w:w="765" w:type="dxa"/>
            <w:tcBorders>
              <w:top w:val="nil"/>
              <w:left w:val="single" w:color="auto" w:sz="4" w:space="0"/>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893"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959"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3720"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1175"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1844"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p>
        </w:tc>
      </w:tr>
      <w:tr>
        <w:tblPrEx>
          <w:tblCellMar>
            <w:top w:w="0" w:type="dxa"/>
            <w:left w:w="108" w:type="dxa"/>
            <w:bottom w:w="0" w:type="dxa"/>
            <w:right w:w="108" w:type="dxa"/>
          </w:tblCellMar>
        </w:tblPrEx>
        <w:trPr>
          <w:trHeight w:val="567" w:hRule="atLeast"/>
          <w:jc w:val="center"/>
        </w:trPr>
        <w:tc>
          <w:tcPr>
            <w:tcW w:w="765" w:type="dxa"/>
            <w:tcBorders>
              <w:top w:val="nil"/>
              <w:left w:val="single" w:color="auto" w:sz="4" w:space="0"/>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893"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959"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3720"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1175"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1844"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p>
        </w:tc>
      </w:tr>
      <w:tr>
        <w:tblPrEx>
          <w:tblCellMar>
            <w:top w:w="0" w:type="dxa"/>
            <w:left w:w="108" w:type="dxa"/>
            <w:bottom w:w="0" w:type="dxa"/>
            <w:right w:w="108" w:type="dxa"/>
          </w:tblCellMar>
        </w:tblPrEx>
        <w:trPr>
          <w:trHeight w:val="567" w:hRule="atLeast"/>
          <w:jc w:val="center"/>
        </w:trPr>
        <w:tc>
          <w:tcPr>
            <w:tcW w:w="765" w:type="dxa"/>
            <w:tcBorders>
              <w:top w:val="nil"/>
              <w:left w:val="single" w:color="auto" w:sz="4" w:space="0"/>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汇总</w:t>
            </w:r>
          </w:p>
        </w:tc>
        <w:tc>
          <w:tcPr>
            <w:tcW w:w="8591" w:type="dxa"/>
            <w:gridSpan w:val="5"/>
            <w:tcBorders>
              <w:top w:val="single" w:color="auto" w:sz="4" w:space="0"/>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主动公开件、依申请公开件、不予公开件，网上公开了件，配发解读材料件</w:t>
            </w:r>
          </w:p>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（同一政策文件发布的不同形式解读材料，算作1件解读材料），其中，主要负责人带头解读政策件</w:t>
            </w:r>
          </w:p>
        </w:tc>
      </w:tr>
    </w:tbl>
    <w:p>
      <w:pPr>
        <w:pStyle w:val="10"/>
        <w:widowControl w:val="0"/>
        <w:spacing w:line="500" w:lineRule="exact"/>
        <w:ind w:firstLine="480"/>
        <w:jc w:val="both"/>
        <w:rPr>
          <w:rFonts w:ascii="Times New Roman" w:hAnsi="Times New Roman" w:eastAsia="仿宋_GB2312" w:cs="Times New Roman"/>
          <w:bCs/>
          <w:sz w:val="24"/>
          <w:szCs w:val="32"/>
        </w:rPr>
      </w:pPr>
      <w:r>
        <w:rPr>
          <w:rFonts w:ascii="Times New Roman" w:hAnsi="Times New Roman" w:eastAsia="仿宋_GB2312" w:cs="Times New Roman"/>
          <w:bCs/>
          <w:sz w:val="24"/>
          <w:szCs w:val="32"/>
        </w:rPr>
        <w:t>注：请提供2020年度本部门主要负责同志带头解读政策的相关证明材料，如在互联网公开，请提供相关网址链接和截图。</w:t>
      </w:r>
    </w:p>
    <w:p>
      <w:pPr>
        <w:pStyle w:val="10"/>
        <w:widowControl w:val="0"/>
        <w:spacing w:line="560" w:lineRule="exact"/>
        <w:ind w:left="440" w:leftChars="200" w:firstLine="0" w:firstLineChars="0"/>
        <w:jc w:val="both"/>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2.本部门召开的所有部门会议、专题会议列表。</w:t>
      </w:r>
    </w:p>
    <w:tbl>
      <w:tblPr>
        <w:tblStyle w:val="7"/>
        <w:tblW w:w="9270" w:type="dxa"/>
        <w:jc w:val="center"/>
        <w:tblLayout w:type="fixed"/>
        <w:tblCellMar>
          <w:top w:w="0" w:type="dxa"/>
          <w:left w:w="108" w:type="dxa"/>
          <w:bottom w:w="0" w:type="dxa"/>
          <w:right w:w="108" w:type="dxa"/>
        </w:tblCellMar>
      </w:tblPr>
      <w:tblGrid>
        <w:gridCol w:w="1020"/>
        <w:gridCol w:w="4133"/>
        <w:gridCol w:w="4117"/>
      </w:tblGrid>
      <w:tr>
        <w:tblPrEx>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序号</w:t>
            </w:r>
          </w:p>
        </w:tc>
        <w:tc>
          <w:tcPr>
            <w:tcW w:w="4133" w:type="dxa"/>
            <w:tcBorders>
              <w:top w:val="single" w:color="auto" w:sz="4" w:space="0"/>
              <w:left w:val="nil"/>
              <w:bottom w:val="single" w:color="auto" w:sz="4" w:space="0"/>
              <w:right w:val="single" w:color="auto" w:sz="4" w:space="0"/>
            </w:tcBorders>
            <w:noWrap/>
            <w:vAlign w:val="center"/>
          </w:tcPr>
          <w:p>
            <w:pPr>
              <w:widowControl w:val="0"/>
              <w:spacing w:line="40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部门会议、专题会议编号</w:t>
            </w:r>
          </w:p>
        </w:tc>
        <w:tc>
          <w:tcPr>
            <w:tcW w:w="4117" w:type="dxa"/>
            <w:tcBorders>
              <w:top w:val="single" w:color="auto" w:sz="4" w:space="0"/>
              <w:left w:val="nil"/>
              <w:bottom w:val="single" w:color="auto" w:sz="4" w:space="0"/>
              <w:right w:val="single" w:color="auto" w:sz="4" w:space="0"/>
            </w:tcBorders>
            <w:noWrap/>
            <w:vAlign w:val="center"/>
          </w:tcPr>
          <w:p>
            <w:pPr>
              <w:widowControl w:val="0"/>
              <w:spacing w:line="40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公开网址（或平台媒介）</w:t>
            </w:r>
          </w:p>
        </w:tc>
      </w:tr>
      <w:tr>
        <w:tblPrEx>
          <w:tblCellMar>
            <w:top w:w="0" w:type="dxa"/>
            <w:left w:w="108" w:type="dxa"/>
            <w:bottom w:w="0" w:type="dxa"/>
            <w:right w:w="108" w:type="dxa"/>
          </w:tblCellMar>
        </w:tblPrEx>
        <w:trPr>
          <w:trHeight w:val="567" w:hRule="atLeast"/>
          <w:jc w:val="center"/>
        </w:trPr>
        <w:tc>
          <w:tcPr>
            <w:tcW w:w="1020" w:type="dxa"/>
            <w:tcBorders>
              <w:top w:val="nil"/>
              <w:left w:val="single" w:color="auto" w:sz="4" w:space="0"/>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4133"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4117"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r>
      <w:tr>
        <w:tblPrEx>
          <w:tblCellMar>
            <w:top w:w="0" w:type="dxa"/>
            <w:left w:w="108" w:type="dxa"/>
            <w:bottom w:w="0" w:type="dxa"/>
            <w:right w:w="108" w:type="dxa"/>
          </w:tblCellMar>
        </w:tblPrEx>
        <w:trPr>
          <w:trHeight w:val="567" w:hRule="atLeast"/>
          <w:jc w:val="center"/>
        </w:trPr>
        <w:tc>
          <w:tcPr>
            <w:tcW w:w="1020" w:type="dxa"/>
            <w:tcBorders>
              <w:top w:val="nil"/>
              <w:left w:val="single" w:color="auto" w:sz="4" w:space="0"/>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4133"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4117"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r>
      <w:tr>
        <w:tblPrEx>
          <w:tblCellMar>
            <w:top w:w="0" w:type="dxa"/>
            <w:left w:w="108" w:type="dxa"/>
            <w:bottom w:w="0" w:type="dxa"/>
            <w:right w:w="108" w:type="dxa"/>
          </w:tblCellMar>
        </w:tblPrEx>
        <w:trPr>
          <w:trHeight w:val="1888" w:hRule="atLeast"/>
          <w:jc w:val="center"/>
        </w:trPr>
        <w:tc>
          <w:tcPr>
            <w:tcW w:w="1020" w:type="dxa"/>
            <w:tcBorders>
              <w:top w:val="nil"/>
              <w:left w:val="single" w:color="auto" w:sz="4" w:space="0"/>
              <w:bottom w:val="single" w:color="auto" w:sz="4" w:space="0"/>
              <w:right w:val="single" w:color="auto" w:sz="4" w:space="0"/>
            </w:tcBorders>
            <w:noWrap/>
            <w:vAlign w:val="center"/>
          </w:tcPr>
          <w:p>
            <w:pPr>
              <w:widowControl w:val="0"/>
              <w:spacing w:line="400" w:lineRule="exact"/>
              <w:jc w:val="center"/>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汇总</w:t>
            </w:r>
          </w:p>
        </w:tc>
        <w:tc>
          <w:tcPr>
            <w:tcW w:w="8250" w:type="dxa"/>
            <w:gridSpan w:val="2"/>
            <w:tcBorders>
              <w:top w:val="single" w:color="auto" w:sz="4" w:space="0"/>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2020年共召开次部门会议、次专题会议；共公开了次部门会议、次专题会议。其中，发布新闻通稿形式公开了次部门会议、次专题会议，采取广播电视、网络和新媒体直播等形式向社会公开了次部门会议、次专题会议，邀请利益相关方、公众代表、专家、媒体等列席部门会议次、专题会议次</w:t>
            </w:r>
          </w:p>
        </w:tc>
      </w:tr>
    </w:tbl>
    <w:p>
      <w:pPr>
        <w:pStyle w:val="10"/>
        <w:widowControl w:val="0"/>
        <w:spacing w:line="560" w:lineRule="exact"/>
        <w:ind w:firstLine="64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3.请提供本</w:t>
      </w:r>
      <w:r>
        <w:rPr>
          <w:rFonts w:ascii="Times New Roman" w:hAnsi="Times New Roman" w:eastAsia="仿宋_GB2312" w:cs="Times New Roman"/>
          <w:bCs/>
          <w:spacing w:val="-20"/>
          <w:sz w:val="32"/>
          <w:szCs w:val="32"/>
        </w:rPr>
        <w:t>部门</w:t>
      </w:r>
      <w:r>
        <w:rPr>
          <w:rFonts w:ascii="Times New Roman" w:hAnsi="Times New Roman" w:eastAsia="仿宋_GB2312" w:cs="Times New Roman"/>
          <w:bCs/>
          <w:sz w:val="32"/>
          <w:szCs w:val="32"/>
        </w:rPr>
        <w:t>机构职能、领导信息、履职依据、权责清单、财政预决算、应急管理等基础信息公开位置的网址链接和截图。</w:t>
      </w:r>
    </w:p>
    <w:p>
      <w:pPr>
        <w:pStyle w:val="10"/>
        <w:widowControl w:val="0"/>
        <w:spacing w:line="560" w:lineRule="exact"/>
        <w:ind w:firstLine="64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4.请提供本</w:t>
      </w:r>
      <w:r>
        <w:rPr>
          <w:rFonts w:ascii="Times New Roman" w:hAnsi="Times New Roman" w:eastAsia="仿宋_GB2312" w:cs="Times New Roman"/>
          <w:bCs/>
          <w:spacing w:val="-20"/>
          <w:sz w:val="32"/>
          <w:szCs w:val="32"/>
        </w:rPr>
        <w:t>部门</w:t>
      </w:r>
      <w:r>
        <w:rPr>
          <w:rFonts w:ascii="Times New Roman" w:hAnsi="Times New Roman" w:eastAsia="仿宋_GB2312" w:cs="Times New Roman"/>
          <w:bCs/>
          <w:sz w:val="32"/>
          <w:szCs w:val="32"/>
        </w:rPr>
        <w:t>编制完成的主动公开基本目录公开网址。</w:t>
      </w:r>
    </w:p>
    <w:p>
      <w:pPr>
        <w:pStyle w:val="10"/>
        <w:widowControl w:val="0"/>
        <w:spacing w:line="560" w:lineRule="exact"/>
        <w:ind w:firstLine="64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5.请提供2020年本</w:t>
      </w:r>
      <w:r>
        <w:rPr>
          <w:rFonts w:ascii="Times New Roman" w:hAnsi="Times New Roman" w:eastAsia="仿宋_GB2312" w:cs="Times New Roman"/>
          <w:bCs/>
          <w:spacing w:val="-20"/>
          <w:sz w:val="32"/>
          <w:szCs w:val="32"/>
        </w:rPr>
        <w:t>部门</w:t>
      </w:r>
      <w:r>
        <w:rPr>
          <w:rFonts w:ascii="Times New Roman" w:hAnsi="Times New Roman" w:eastAsia="仿宋_GB2312" w:cs="Times New Roman"/>
          <w:bCs/>
          <w:sz w:val="32"/>
          <w:szCs w:val="32"/>
        </w:rPr>
        <w:t>全年共收到的政府信息公开申请数量和按时答复的数量；提供本</w:t>
      </w:r>
      <w:r>
        <w:rPr>
          <w:rFonts w:ascii="Times New Roman" w:hAnsi="Times New Roman" w:eastAsia="仿宋_GB2312" w:cs="Times New Roman"/>
          <w:bCs/>
          <w:spacing w:val="-20"/>
          <w:sz w:val="32"/>
          <w:szCs w:val="32"/>
        </w:rPr>
        <w:t>部门</w:t>
      </w:r>
      <w:r>
        <w:rPr>
          <w:rFonts w:ascii="Times New Roman" w:hAnsi="Times New Roman" w:eastAsia="仿宋_GB2312" w:cs="Times New Roman"/>
          <w:bCs/>
          <w:sz w:val="32"/>
          <w:szCs w:val="32"/>
        </w:rPr>
        <w:t>全年政府信息公开行政复议总数、行政复议败诉案件数、行政诉讼总数和行政诉讼败诉案件数。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22"/>
        <w:gridCol w:w="1220"/>
        <w:gridCol w:w="1153"/>
        <w:gridCol w:w="1155"/>
        <w:gridCol w:w="1152"/>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22" w:type="dxa"/>
            <w:vMerge w:val="restart"/>
            <w:noWrap/>
            <w:vAlign w:val="center"/>
          </w:tcPr>
          <w:p>
            <w:pPr>
              <w:widowControl w:val="0"/>
              <w:spacing w:line="420" w:lineRule="exact"/>
              <w:jc w:val="center"/>
              <w:rPr>
                <w:rFonts w:ascii="Times New Roman" w:hAnsi="Times New Roman" w:eastAsia="黑体" w:cs="Times New Roman"/>
                <w:bCs/>
                <w:color w:val="000000"/>
                <w:sz w:val="24"/>
                <w:szCs w:val="24"/>
              </w:rPr>
            </w:pPr>
          </w:p>
        </w:tc>
        <w:tc>
          <w:tcPr>
            <w:tcW w:w="1222" w:type="dxa"/>
            <w:vMerge w:val="restart"/>
            <w:noWrap/>
            <w:vAlign w:val="center"/>
          </w:tcPr>
          <w:p>
            <w:pPr>
              <w:widowControl w:val="0"/>
              <w:spacing w:line="42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收到申请</w:t>
            </w:r>
          </w:p>
          <w:p>
            <w:pPr>
              <w:widowControl w:val="0"/>
              <w:spacing w:line="42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数量</w:t>
            </w:r>
          </w:p>
        </w:tc>
        <w:tc>
          <w:tcPr>
            <w:tcW w:w="1220" w:type="dxa"/>
            <w:vMerge w:val="restart"/>
            <w:noWrap/>
            <w:vAlign w:val="center"/>
          </w:tcPr>
          <w:p>
            <w:pPr>
              <w:widowControl w:val="0"/>
              <w:spacing w:line="42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按时答复</w:t>
            </w:r>
          </w:p>
          <w:p>
            <w:pPr>
              <w:widowControl w:val="0"/>
              <w:spacing w:line="42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数量</w:t>
            </w:r>
          </w:p>
        </w:tc>
        <w:tc>
          <w:tcPr>
            <w:tcW w:w="2308" w:type="dxa"/>
            <w:gridSpan w:val="2"/>
            <w:noWrap/>
            <w:vAlign w:val="center"/>
          </w:tcPr>
          <w:p>
            <w:pPr>
              <w:widowControl w:val="0"/>
              <w:spacing w:line="42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行政复议情况</w:t>
            </w:r>
          </w:p>
        </w:tc>
        <w:tc>
          <w:tcPr>
            <w:tcW w:w="2306" w:type="dxa"/>
            <w:gridSpan w:val="2"/>
            <w:noWrap/>
            <w:vAlign w:val="center"/>
          </w:tcPr>
          <w:p>
            <w:pPr>
              <w:widowControl w:val="0"/>
              <w:spacing w:line="42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行政诉讼情况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2" w:type="dxa"/>
            <w:vMerge w:val="continue"/>
            <w:noWrap/>
            <w:vAlign w:val="center"/>
          </w:tcPr>
          <w:p>
            <w:pPr>
              <w:widowControl w:val="0"/>
              <w:spacing w:line="420" w:lineRule="exact"/>
              <w:jc w:val="center"/>
              <w:rPr>
                <w:rFonts w:ascii="Times New Roman" w:hAnsi="Times New Roman" w:eastAsia="黑体" w:cs="Times New Roman"/>
                <w:bCs/>
                <w:color w:val="000000"/>
                <w:sz w:val="24"/>
                <w:szCs w:val="24"/>
              </w:rPr>
            </w:pPr>
          </w:p>
        </w:tc>
        <w:tc>
          <w:tcPr>
            <w:tcW w:w="1222" w:type="dxa"/>
            <w:vMerge w:val="continue"/>
            <w:noWrap/>
            <w:vAlign w:val="center"/>
          </w:tcPr>
          <w:p>
            <w:pPr>
              <w:widowControl w:val="0"/>
              <w:spacing w:line="420" w:lineRule="exact"/>
              <w:jc w:val="center"/>
              <w:rPr>
                <w:rFonts w:ascii="Times New Roman" w:hAnsi="Times New Roman" w:eastAsia="黑体" w:cs="Times New Roman"/>
                <w:bCs/>
                <w:color w:val="000000"/>
                <w:sz w:val="24"/>
                <w:szCs w:val="24"/>
              </w:rPr>
            </w:pPr>
          </w:p>
        </w:tc>
        <w:tc>
          <w:tcPr>
            <w:tcW w:w="1220" w:type="dxa"/>
            <w:vMerge w:val="continue"/>
            <w:noWrap/>
            <w:vAlign w:val="center"/>
          </w:tcPr>
          <w:p>
            <w:pPr>
              <w:widowControl w:val="0"/>
              <w:spacing w:line="420" w:lineRule="exact"/>
              <w:jc w:val="center"/>
              <w:rPr>
                <w:rFonts w:ascii="Times New Roman" w:hAnsi="Times New Roman" w:eastAsia="黑体" w:cs="Times New Roman"/>
                <w:bCs/>
                <w:color w:val="000000"/>
                <w:sz w:val="24"/>
                <w:szCs w:val="24"/>
              </w:rPr>
            </w:pPr>
          </w:p>
        </w:tc>
        <w:tc>
          <w:tcPr>
            <w:tcW w:w="1153" w:type="dxa"/>
            <w:noWrap/>
            <w:vAlign w:val="center"/>
          </w:tcPr>
          <w:p>
            <w:pPr>
              <w:widowControl w:val="0"/>
              <w:spacing w:line="42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复议</w:t>
            </w:r>
          </w:p>
          <w:p>
            <w:pPr>
              <w:widowControl w:val="0"/>
              <w:spacing w:line="42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案件数</w:t>
            </w:r>
          </w:p>
        </w:tc>
        <w:tc>
          <w:tcPr>
            <w:tcW w:w="1155" w:type="dxa"/>
            <w:noWrap/>
            <w:vAlign w:val="center"/>
          </w:tcPr>
          <w:p>
            <w:pPr>
              <w:widowControl w:val="0"/>
              <w:spacing w:line="42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败诉</w:t>
            </w:r>
          </w:p>
          <w:p>
            <w:pPr>
              <w:widowControl w:val="0"/>
              <w:spacing w:line="42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案件数</w:t>
            </w:r>
          </w:p>
        </w:tc>
        <w:tc>
          <w:tcPr>
            <w:tcW w:w="1152" w:type="dxa"/>
            <w:noWrap/>
            <w:vAlign w:val="center"/>
          </w:tcPr>
          <w:p>
            <w:pPr>
              <w:widowControl w:val="0"/>
              <w:spacing w:line="42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诉讼</w:t>
            </w:r>
          </w:p>
          <w:p>
            <w:pPr>
              <w:widowControl w:val="0"/>
              <w:spacing w:line="42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案件数</w:t>
            </w:r>
          </w:p>
        </w:tc>
        <w:tc>
          <w:tcPr>
            <w:tcW w:w="1154" w:type="dxa"/>
            <w:noWrap/>
            <w:vAlign w:val="center"/>
          </w:tcPr>
          <w:p>
            <w:pPr>
              <w:widowControl w:val="0"/>
              <w:spacing w:line="42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败诉</w:t>
            </w:r>
          </w:p>
          <w:p>
            <w:pPr>
              <w:widowControl w:val="0"/>
              <w:spacing w:line="42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22" w:type="dxa"/>
            <w:noWrap/>
            <w:vAlign w:val="center"/>
          </w:tcPr>
          <w:p>
            <w:pPr>
              <w:widowControl w:val="0"/>
              <w:spacing w:line="420" w:lineRule="exac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本部门</w:t>
            </w:r>
          </w:p>
        </w:tc>
        <w:tc>
          <w:tcPr>
            <w:tcW w:w="1222" w:type="dxa"/>
            <w:noWrap/>
            <w:vAlign w:val="center"/>
          </w:tcPr>
          <w:p>
            <w:pPr>
              <w:widowControl w:val="0"/>
              <w:spacing w:line="420" w:lineRule="exact"/>
              <w:jc w:val="center"/>
              <w:rPr>
                <w:rFonts w:ascii="Times New Roman" w:hAnsi="Times New Roman" w:cs="Times New Roman"/>
                <w:bCs/>
                <w:sz w:val="24"/>
                <w:szCs w:val="24"/>
              </w:rPr>
            </w:pPr>
          </w:p>
        </w:tc>
        <w:tc>
          <w:tcPr>
            <w:tcW w:w="1220" w:type="dxa"/>
            <w:noWrap/>
            <w:vAlign w:val="center"/>
          </w:tcPr>
          <w:p>
            <w:pPr>
              <w:widowControl w:val="0"/>
              <w:spacing w:line="420" w:lineRule="exact"/>
              <w:jc w:val="center"/>
              <w:rPr>
                <w:rFonts w:ascii="Times New Roman" w:hAnsi="Times New Roman" w:cs="Times New Roman"/>
                <w:bCs/>
                <w:sz w:val="24"/>
                <w:szCs w:val="24"/>
              </w:rPr>
            </w:pPr>
          </w:p>
        </w:tc>
        <w:tc>
          <w:tcPr>
            <w:tcW w:w="1153" w:type="dxa"/>
            <w:noWrap/>
            <w:vAlign w:val="center"/>
          </w:tcPr>
          <w:p>
            <w:pPr>
              <w:widowControl w:val="0"/>
              <w:spacing w:line="420" w:lineRule="exact"/>
              <w:jc w:val="center"/>
              <w:rPr>
                <w:rFonts w:ascii="Times New Roman" w:hAnsi="Times New Roman" w:cs="Times New Roman"/>
                <w:bCs/>
                <w:sz w:val="24"/>
                <w:szCs w:val="24"/>
              </w:rPr>
            </w:pPr>
          </w:p>
        </w:tc>
        <w:tc>
          <w:tcPr>
            <w:tcW w:w="1155" w:type="dxa"/>
            <w:noWrap/>
            <w:vAlign w:val="center"/>
          </w:tcPr>
          <w:p>
            <w:pPr>
              <w:widowControl w:val="0"/>
              <w:spacing w:line="420" w:lineRule="exact"/>
              <w:jc w:val="center"/>
              <w:rPr>
                <w:rFonts w:ascii="Times New Roman" w:hAnsi="Times New Roman" w:cs="Times New Roman"/>
                <w:bCs/>
                <w:sz w:val="24"/>
                <w:szCs w:val="24"/>
              </w:rPr>
            </w:pPr>
          </w:p>
        </w:tc>
        <w:tc>
          <w:tcPr>
            <w:tcW w:w="1152" w:type="dxa"/>
            <w:noWrap/>
            <w:vAlign w:val="center"/>
          </w:tcPr>
          <w:p>
            <w:pPr>
              <w:widowControl w:val="0"/>
              <w:spacing w:line="420" w:lineRule="exact"/>
              <w:jc w:val="center"/>
              <w:rPr>
                <w:rFonts w:ascii="Times New Roman" w:hAnsi="Times New Roman" w:cs="Times New Roman"/>
                <w:bCs/>
                <w:sz w:val="24"/>
                <w:szCs w:val="24"/>
              </w:rPr>
            </w:pPr>
          </w:p>
        </w:tc>
        <w:tc>
          <w:tcPr>
            <w:tcW w:w="1154" w:type="dxa"/>
            <w:noWrap/>
            <w:vAlign w:val="center"/>
          </w:tcPr>
          <w:p>
            <w:pPr>
              <w:widowControl w:val="0"/>
              <w:spacing w:line="420" w:lineRule="exact"/>
              <w:jc w:val="center"/>
              <w:rPr>
                <w:rFonts w:ascii="Times New Roman" w:hAnsi="Times New Roman" w:cs="Times New Roman"/>
                <w:bCs/>
                <w:sz w:val="24"/>
                <w:szCs w:val="24"/>
              </w:rPr>
            </w:pPr>
          </w:p>
        </w:tc>
      </w:tr>
    </w:tbl>
    <w:p>
      <w:pPr>
        <w:pStyle w:val="10"/>
        <w:widowControl w:val="0"/>
        <w:spacing w:line="560" w:lineRule="exact"/>
        <w:ind w:firstLine="64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6.请提供本</w:t>
      </w:r>
      <w:r>
        <w:rPr>
          <w:rFonts w:ascii="Times New Roman" w:hAnsi="Times New Roman" w:eastAsia="仿宋_GB2312" w:cs="Times New Roman"/>
          <w:bCs/>
          <w:spacing w:val="-20"/>
          <w:sz w:val="32"/>
          <w:szCs w:val="32"/>
        </w:rPr>
        <w:t>部门</w:t>
      </w:r>
      <w:r>
        <w:rPr>
          <w:rFonts w:ascii="Times New Roman" w:hAnsi="Times New Roman" w:eastAsia="仿宋_GB2312" w:cs="Times New Roman"/>
          <w:bCs/>
          <w:sz w:val="32"/>
          <w:szCs w:val="32"/>
        </w:rPr>
        <w:t>最新的政务公开领导小组公开网址。</w:t>
      </w:r>
    </w:p>
    <w:p>
      <w:pPr>
        <w:pStyle w:val="10"/>
        <w:widowControl w:val="0"/>
        <w:spacing w:line="560" w:lineRule="exact"/>
        <w:ind w:firstLine="64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7.请提供本</w:t>
      </w:r>
      <w:r>
        <w:rPr>
          <w:rFonts w:ascii="Times New Roman" w:hAnsi="Times New Roman" w:eastAsia="仿宋_GB2312" w:cs="Times New Roman"/>
          <w:bCs/>
          <w:spacing w:val="-20"/>
          <w:sz w:val="32"/>
          <w:szCs w:val="32"/>
        </w:rPr>
        <w:t>部门</w:t>
      </w:r>
      <w:r>
        <w:rPr>
          <w:rFonts w:ascii="Times New Roman" w:hAnsi="Times New Roman" w:eastAsia="仿宋_GB2312" w:cs="Times New Roman"/>
          <w:bCs/>
          <w:sz w:val="32"/>
          <w:szCs w:val="32"/>
        </w:rPr>
        <w:t>分管政务公开工作的负责同志姓名、职务，并提供公开网址或链接；2020年度本</w:t>
      </w:r>
      <w:r>
        <w:rPr>
          <w:rFonts w:ascii="Times New Roman" w:hAnsi="Times New Roman" w:eastAsia="仿宋_GB2312" w:cs="Times New Roman"/>
          <w:bCs/>
          <w:spacing w:val="-20"/>
          <w:sz w:val="32"/>
          <w:szCs w:val="32"/>
        </w:rPr>
        <w:t>部门</w:t>
      </w:r>
      <w:r>
        <w:rPr>
          <w:rFonts w:ascii="Times New Roman" w:hAnsi="Times New Roman" w:eastAsia="仿宋_GB2312" w:cs="Times New Roman"/>
          <w:bCs/>
          <w:sz w:val="32"/>
          <w:szCs w:val="32"/>
        </w:rPr>
        <w:t>主要负责同志在年内听取政务公开工作汇报和分管领导同志研究部署推进工作的会议纪要或批示（请提供会议议程、会议纪要、党政领导同志对政务公开工作的批示等材料）。</w:t>
      </w:r>
    </w:p>
    <w:p>
      <w:pPr>
        <w:pStyle w:val="10"/>
        <w:widowControl w:val="0"/>
        <w:spacing w:line="560" w:lineRule="exact"/>
        <w:ind w:firstLine="64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8.本</w:t>
      </w:r>
      <w:r>
        <w:rPr>
          <w:rFonts w:ascii="Times New Roman" w:hAnsi="Times New Roman" w:eastAsia="仿宋_GB2312" w:cs="Times New Roman"/>
          <w:bCs/>
          <w:spacing w:val="-20"/>
          <w:sz w:val="32"/>
          <w:szCs w:val="32"/>
        </w:rPr>
        <w:t>部门</w:t>
      </w:r>
      <w:r>
        <w:rPr>
          <w:rFonts w:ascii="Times New Roman" w:hAnsi="Times New Roman" w:eastAsia="仿宋_GB2312" w:cs="Times New Roman"/>
          <w:bCs/>
          <w:sz w:val="32"/>
          <w:szCs w:val="32"/>
        </w:rPr>
        <w:t>是否设立并公开了政务公开工作负责机构，是否有专职人员专门负责政务公开工作及专职人员人数。请提供明确政务公开工作机构的相关证明文件或文件公开网址。</w:t>
      </w:r>
    </w:p>
    <w:p>
      <w:pPr>
        <w:pStyle w:val="10"/>
        <w:widowControl w:val="0"/>
        <w:spacing w:line="560" w:lineRule="exact"/>
        <w:ind w:firstLine="640"/>
        <w:jc w:val="both"/>
        <w:rPr>
          <w:rFonts w:ascii="Times New Roman" w:hAnsi="Times New Roman" w:eastAsia="仿宋_GB2312" w:cs="Times New Roman"/>
          <w:bCs/>
          <w:spacing w:val="-6"/>
          <w:sz w:val="32"/>
          <w:szCs w:val="32"/>
        </w:rPr>
      </w:pPr>
      <w:r>
        <w:rPr>
          <w:rFonts w:ascii="Times New Roman" w:hAnsi="Times New Roman" w:eastAsia="仿宋_GB2312" w:cs="Times New Roman"/>
          <w:bCs/>
          <w:sz w:val="32"/>
          <w:szCs w:val="32"/>
        </w:rPr>
        <w:t>9.请提</w:t>
      </w:r>
      <w:r>
        <w:rPr>
          <w:rFonts w:ascii="Times New Roman" w:hAnsi="Times New Roman" w:eastAsia="仿宋_GB2312" w:cs="Times New Roman"/>
          <w:bCs/>
          <w:spacing w:val="-6"/>
          <w:sz w:val="32"/>
          <w:szCs w:val="32"/>
        </w:rPr>
        <w:t>供2020年度本部门开展的政务公开工作专项培训的材料，请提供培训计划、培训通知、开会报道网址链接或报纸相关版页或内部简报材料。如在互联网公开，请提供网址链接和截图。</w:t>
      </w:r>
    </w:p>
    <w:p>
      <w:pPr>
        <w:pStyle w:val="10"/>
        <w:widowControl w:val="0"/>
        <w:spacing w:line="560" w:lineRule="exact"/>
        <w:ind w:firstLine="64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10.本部门制定的2020年度部署安排政务公开工作的证明材料，如工作要点、实施方案等；建立协调机制的证明材料；利用各媒体平台、运用全媒体手段做好政务公开工作的证明材料。</w:t>
      </w:r>
    </w:p>
    <w:p>
      <w:pPr>
        <w:pStyle w:val="10"/>
        <w:widowControl w:val="0"/>
        <w:spacing w:line="560" w:lineRule="exact"/>
        <w:ind w:firstLine="64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11.本</w:t>
      </w:r>
      <w:r>
        <w:rPr>
          <w:rFonts w:ascii="Times New Roman" w:hAnsi="Times New Roman" w:eastAsia="仿宋_GB2312" w:cs="Times New Roman"/>
          <w:bCs/>
          <w:spacing w:val="-20"/>
          <w:sz w:val="32"/>
          <w:szCs w:val="32"/>
        </w:rPr>
        <w:t>部门</w:t>
      </w:r>
      <w:r>
        <w:rPr>
          <w:rFonts w:ascii="Times New Roman" w:hAnsi="Times New Roman" w:eastAsia="仿宋_GB2312" w:cs="Times New Roman"/>
          <w:bCs/>
          <w:sz w:val="32"/>
          <w:szCs w:val="32"/>
        </w:rPr>
        <w:t>年度工作要点落实、基层政务公开标准化规范化建设等创新举措；请提供开展“政府开放日”活动（提供开展次数，相关通知、报道链接或截图）等有关材料。</w:t>
      </w:r>
    </w:p>
    <w:p>
      <w:pPr>
        <w:widowControl w:val="0"/>
        <w:spacing w:line="560" w:lineRule="exact"/>
        <w:ind w:firstLine="640" w:firstLineChars="200"/>
        <w:jc w:val="both"/>
        <w:rPr>
          <w:rFonts w:ascii="Times New Roman" w:hAnsi="Times New Roman" w:eastAsia="黑体" w:cs="Times New Roman"/>
          <w:bCs/>
          <w:sz w:val="32"/>
          <w:szCs w:val="32"/>
        </w:rPr>
      </w:pPr>
      <w:r>
        <w:rPr>
          <w:rFonts w:ascii="Times New Roman" w:hAnsi="Times New Roman" w:eastAsia="黑体" w:cs="Times New Roman"/>
          <w:bCs/>
          <w:sz w:val="32"/>
          <w:szCs w:val="32"/>
        </w:rPr>
        <w:t>二、县直部门、单位</w:t>
      </w:r>
    </w:p>
    <w:p>
      <w:pPr>
        <w:pStyle w:val="10"/>
        <w:widowControl w:val="0"/>
        <w:numPr>
          <w:ilvl w:val="0"/>
          <w:numId w:val="8"/>
        </w:numPr>
        <w:spacing w:line="560" w:lineRule="exact"/>
        <w:ind w:left="0" w:firstLine="64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2020年度本单位发布的所有文件（使用单位公文字号的文件）列表。</w:t>
      </w:r>
    </w:p>
    <w:tbl>
      <w:tblPr>
        <w:tblStyle w:val="7"/>
        <w:tblW w:w="0" w:type="auto"/>
        <w:jc w:val="center"/>
        <w:tblLayout w:type="fixed"/>
        <w:tblCellMar>
          <w:top w:w="0" w:type="dxa"/>
          <w:left w:w="108" w:type="dxa"/>
          <w:bottom w:w="0" w:type="dxa"/>
          <w:right w:w="108" w:type="dxa"/>
        </w:tblCellMar>
      </w:tblPr>
      <w:tblGrid>
        <w:gridCol w:w="699"/>
        <w:gridCol w:w="816"/>
        <w:gridCol w:w="877"/>
        <w:gridCol w:w="3204"/>
        <w:gridCol w:w="1274"/>
        <w:gridCol w:w="1687"/>
      </w:tblGrid>
      <w:tr>
        <w:tblPrEx>
          <w:tblCellMar>
            <w:top w:w="0" w:type="dxa"/>
            <w:left w:w="108" w:type="dxa"/>
            <w:bottom w:w="0" w:type="dxa"/>
            <w:right w:w="108" w:type="dxa"/>
          </w:tblCellMar>
        </w:tblPrEx>
        <w:trPr>
          <w:trHeight w:val="890" w:hRule="atLeast"/>
          <w:jc w:val="center"/>
        </w:trPr>
        <w:tc>
          <w:tcPr>
            <w:tcW w:w="699"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序号</w:t>
            </w:r>
          </w:p>
        </w:tc>
        <w:tc>
          <w:tcPr>
            <w:tcW w:w="816" w:type="dxa"/>
            <w:tcBorders>
              <w:top w:val="single" w:color="auto" w:sz="4" w:space="0"/>
              <w:left w:val="nil"/>
              <w:bottom w:val="single" w:color="auto" w:sz="4" w:space="0"/>
              <w:right w:val="single" w:color="auto" w:sz="4" w:space="0"/>
            </w:tcBorders>
            <w:noWrap/>
            <w:vAlign w:val="center"/>
          </w:tcPr>
          <w:p>
            <w:pPr>
              <w:widowControl w:val="0"/>
              <w:spacing w:line="40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标题</w:t>
            </w:r>
          </w:p>
        </w:tc>
        <w:tc>
          <w:tcPr>
            <w:tcW w:w="877" w:type="dxa"/>
            <w:tcBorders>
              <w:top w:val="single" w:color="auto" w:sz="4" w:space="0"/>
              <w:left w:val="nil"/>
              <w:bottom w:val="single" w:color="auto" w:sz="4" w:space="0"/>
              <w:right w:val="single" w:color="auto" w:sz="4" w:space="0"/>
            </w:tcBorders>
            <w:noWrap/>
            <w:vAlign w:val="center"/>
          </w:tcPr>
          <w:p>
            <w:pPr>
              <w:widowControl w:val="0"/>
              <w:spacing w:line="40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文号</w:t>
            </w:r>
          </w:p>
        </w:tc>
        <w:tc>
          <w:tcPr>
            <w:tcW w:w="3204" w:type="dxa"/>
            <w:tcBorders>
              <w:top w:val="single" w:color="auto" w:sz="4" w:space="0"/>
              <w:left w:val="nil"/>
              <w:bottom w:val="single" w:color="auto" w:sz="4" w:space="0"/>
              <w:right w:val="single" w:color="auto" w:sz="4" w:space="0"/>
            </w:tcBorders>
            <w:noWrap/>
            <w:vAlign w:val="center"/>
          </w:tcPr>
          <w:p>
            <w:pPr>
              <w:widowControl w:val="0"/>
              <w:spacing w:line="40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公开属性（主动公开、依申请公开、不予公开）</w:t>
            </w:r>
          </w:p>
        </w:tc>
        <w:tc>
          <w:tcPr>
            <w:tcW w:w="1274" w:type="dxa"/>
            <w:tcBorders>
              <w:top w:val="single" w:color="auto" w:sz="4" w:space="0"/>
              <w:left w:val="nil"/>
              <w:bottom w:val="single" w:color="auto" w:sz="4" w:space="0"/>
              <w:right w:val="single" w:color="auto" w:sz="4" w:space="0"/>
            </w:tcBorders>
            <w:noWrap/>
            <w:vAlign w:val="center"/>
          </w:tcPr>
          <w:p>
            <w:pPr>
              <w:widowControl w:val="0"/>
              <w:spacing w:line="40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公开网址</w:t>
            </w:r>
          </w:p>
        </w:tc>
        <w:tc>
          <w:tcPr>
            <w:tcW w:w="1687" w:type="dxa"/>
            <w:tcBorders>
              <w:top w:val="single" w:color="auto" w:sz="4" w:space="0"/>
              <w:left w:val="nil"/>
              <w:bottom w:val="single" w:color="auto" w:sz="4" w:space="0"/>
              <w:right w:val="single" w:color="auto" w:sz="4" w:space="0"/>
            </w:tcBorders>
            <w:noWrap/>
            <w:vAlign w:val="center"/>
          </w:tcPr>
          <w:p>
            <w:pPr>
              <w:widowControl w:val="0"/>
              <w:spacing w:line="40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sz w:val="24"/>
                <w:szCs w:val="24"/>
              </w:rPr>
              <w:t>解读材料网址</w:t>
            </w:r>
          </w:p>
        </w:tc>
      </w:tr>
      <w:tr>
        <w:tblPrEx>
          <w:tblCellMar>
            <w:top w:w="0" w:type="dxa"/>
            <w:left w:w="108" w:type="dxa"/>
            <w:bottom w:w="0" w:type="dxa"/>
            <w:right w:w="108" w:type="dxa"/>
          </w:tblCellMar>
        </w:tblPrEx>
        <w:trPr>
          <w:trHeight w:val="440" w:hRule="atLeast"/>
          <w:jc w:val="center"/>
        </w:trPr>
        <w:tc>
          <w:tcPr>
            <w:tcW w:w="699" w:type="dxa"/>
            <w:tcBorders>
              <w:top w:val="nil"/>
              <w:left w:val="single" w:color="auto" w:sz="4" w:space="0"/>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816"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877"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3204"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1274"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1687"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p>
        </w:tc>
      </w:tr>
      <w:tr>
        <w:tblPrEx>
          <w:tblCellMar>
            <w:top w:w="0" w:type="dxa"/>
            <w:left w:w="108" w:type="dxa"/>
            <w:bottom w:w="0" w:type="dxa"/>
            <w:right w:w="108" w:type="dxa"/>
          </w:tblCellMar>
        </w:tblPrEx>
        <w:trPr>
          <w:trHeight w:val="440" w:hRule="atLeast"/>
          <w:jc w:val="center"/>
        </w:trPr>
        <w:tc>
          <w:tcPr>
            <w:tcW w:w="699" w:type="dxa"/>
            <w:tcBorders>
              <w:top w:val="nil"/>
              <w:left w:val="single" w:color="auto" w:sz="4" w:space="0"/>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816"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877"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3204"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1274"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　</w:t>
            </w:r>
          </w:p>
        </w:tc>
        <w:tc>
          <w:tcPr>
            <w:tcW w:w="1687"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p>
        </w:tc>
      </w:tr>
      <w:tr>
        <w:tblPrEx>
          <w:tblCellMar>
            <w:top w:w="0" w:type="dxa"/>
            <w:left w:w="108" w:type="dxa"/>
            <w:bottom w:w="0" w:type="dxa"/>
            <w:right w:w="108" w:type="dxa"/>
          </w:tblCellMar>
        </w:tblPrEx>
        <w:trPr>
          <w:trHeight w:val="1403" w:hRule="atLeast"/>
          <w:jc w:val="center"/>
        </w:trPr>
        <w:tc>
          <w:tcPr>
            <w:tcW w:w="699"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汇总</w:t>
            </w:r>
          </w:p>
        </w:tc>
        <w:tc>
          <w:tcPr>
            <w:tcW w:w="7858" w:type="dxa"/>
            <w:gridSpan w:val="5"/>
            <w:tcBorders>
              <w:top w:val="single" w:color="auto" w:sz="4" w:space="0"/>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主动公开件、依申请公开件、不予公开件，网上公开了件，配发解读材料件（同一政策文件发布的不同形式解读材料，算作1件解读材料），其中，主要负责人带头解读政策件</w:t>
            </w:r>
          </w:p>
        </w:tc>
      </w:tr>
    </w:tbl>
    <w:p>
      <w:pPr>
        <w:pStyle w:val="10"/>
        <w:widowControl w:val="0"/>
        <w:spacing w:line="560" w:lineRule="exact"/>
        <w:ind w:firstLine="480"/>
        <w:jc w:val="both"/>
        <w:rPr>
          <w:rFonts w:ascii="Times New Roman" w:hAnsi="Times New Roman" w:eastAsia="仿宋_GB2312" w:cs="Times New Roman"/>
          <w:bCs/>
          <w:sz w:val="24"/>
          <w:szCs w:val="32"/>
        </w:rPr>
      </w:pPr>
      <w:r>
        <w:rPr>
          <w:rFonts w:ascii="Times New Roman" w:hAnsi="Times New Roman" w:eastAsia="仿宋_GB2312" w:cs="Times New Roman"/>
          <w:bCs/>
          <w:sz w:val="24"/>
          <w:szCs w:val="32"/>
        </w:rPr>
        <w:t>注：请提供2020年度本单位主要负责同志带头解读政策的相关证明材料，如在互联网公开，请提供相关网址链接和截图。</w:t>
      </w:r>
    </w:p>
    <w:p>
      <w:pPr>
        <w:pStyle w:val="10"/>
        <w:widowControl w:val="0"/>
        <w:numPr>
          <w:ilvl w:val="0"/>
          <w:numId w:val="8"/>
        </w:numPr>
        <w:spacing w:line="560" w:lineRule="exact"/>
        <w:ind w:left="0" w:firstLine="64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2020年度本单位召开的所有部门办公会列表。</w:t>
      </w:r>
    </w:p>
    <w:tbl>
      <w:tblPr>
        <w:tblStyle w:val="7"/>
        <w:tblW w:w="0" w:type="auto"/>
        <w:jc w:val="center"/>
        <w:tblLayout w:type="fixed"/>
        <w:tblCellMar>
          <w:top w:w="0" w:type="dxa"/>
          <w:left w:w="108" w:type="dxa"/>
          <w:bottom w:w="0" w:type="dxa"/>
          <w:right w:w="108" w:type="dxa"/>
        </w:tblCellMar>
      </w:tblPr>
      <w:tblGrid>
        <w:gridCol w:w="851"/>
        <w:gridCol w:w="3689"/>
        <w:gridCol w:w="3847"/>
      </w:tblGrid>
      <w:tr>
        <w:tblPrEx>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ascii="Times New Roman" w:hAnsi="Times New Roman" w:eastAsia="黑体" w:cs="Times New Roman"/>
                <w:bCs/>
                <w:color w:val="000000"/>
                <w:sz w:val="24"/>
              </w:rPr>
            </w:pPr>
            <w:r>
              <w:rPr>
                <w:rFonts w:ascii="Times New Roman" w:hAnsi="Times New Roman" w:eastAsia="黑体" w:cs="Times New Roman"/>
                <w:bCs/>
                <w:color w:val="000000"/>
                <w:sz w:val="24"/>
              </w:rPr>
              <w:t>序号</w:t>
            </w:r>
          </w:p>
        </w:tc>
        <w:tc>
          <w:tcPr>
            <w:tcW w:w="3689" w:type="dxa"/>
            <w:tcBorders>
              <w:top w:val="single" w:color="auto" w:sz="4" w:space="0"/>
              <w:left w:val="nil"/>
              <w:bottom w:val="single" w:color="auto" w:sz="4" w:space="0"/>
              <w:right w:val="single" w:color="auto" w:sz="4" w:space="0"/>
            </w:tcBorders>
            <w:noWrap/>
            <w:vAlign w:val="center"/>
          </w:tcPr>
          <w:p>
            <w:pPr>
              <w:widowControl w:val="0"/>
              <w:spacing w:line="400" w:lineRule="exact"/>
              <w:jc w:val="center"/>
              <w:rPr>
                <w:rFonts w:ascii="Times New Roman" w:hAnsi="Times New Roman" w:eastAsia="黑体" w:cs="Times New Roman"/>
                <w:bCs/>
                <w:color w:val="000000"/>
                <w:sz w:val="24"/>
              </w:rPr>
            </w:pPr>
            <w:r>
              <w:rPr>
                <w:rFonts w:ascii="Times New Roman" w:hAnsi="Times New Roman" w:eastAsia="黑体" w:cs="Times New Roman"/>
                <w:bCs/>
                <w:color w:val="000000"/>
                <w:sz w:val="24"/>
              </w:rPr>
              <w:t>部门办公会编号</w:t>
            </w:r>
          </w:p>
        </w:tc>
        <w:tc>
          <w:tcPr>
            <w:tcW w:w="3847" w:type="dxa"/>
            <w:tcBorders>
              <w:top w:val="single" w:color="auto" w:sz="4" w:space="0"/>
              <w:left w:val="nil"/>
              <w:bottom w:val="single" w:color="auto" w:sz="4" w:space="0"/>
              <w:right w:val="single" w:color="auto" w:sz="4" w:space="0"/>
            </w:tcBorders>
            <w:noWrap/>
            <w:vAlign w:val="center"/>
          </w:tcPr>
          <w:p>
            <w:pPr>
              <w:widowControl w:val="0"/>
              <w:spacing w:line="400" w:lineRule="exact"/>
              <w:jc w:val="center"/>
              <w:rPr>
                <w:rFonts w:ascii="Times New Roman" w:hAnsi="Times New Roman" w:eastAsia="黑体" w:cs="Times New Roman"/>
                <w:bCs/>
                <w:color w:val="000000"/>
                <w:sz w:val="24"/>
              </w:rPr>
            </w:pPr>
            <w:r>
              <w:rPr>
                <w:rFonts w:ascii="Times New Roman" w:hAnsi="Times New Roman" w:eastAsia="黑体" w:cs="Times New Roman"/>
                <w:bCs/>
                <w:color w:val="000000"/>
                <w:sz w:val="24"/>
              </w:rPr>
              <w:t>公开网址（或平台媒介）</w:t>
            </w:r>
          </w:p>
        </w:tc>
      </w:tr>
      <w:tr>
        <w:tblPrEx>
          <w:tblCellMar>
            <w:top w:w="0" w:type="dxa"/>
            <w:left w:w="108" w:type="dxa"/>
            <w:bottom w:w="0" w:type="dxa"/>
            <w:right w:w="108" w:type="dxa"/>
          </w:tblCellMar>
        </w:tblPrEx>
        <w:trPr>
          <w:trHeight w:val="529" w:hRule="atLeast"/>
          <w:jc w:val="center"/>
        </w:trPr>
        <w:tc>
          <w:tcPr>
            <w:tcW w:w="851" w:type="dxa"/>
            <w:tcBorders>
              <w:top w:val="nil"/>
              <w:left w:val="single" w:color="auto" w:sz="4" w:space="0"/>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rPr>
            </w:pPr>
            <w:r>
              <w:rPr>
                <w:rFonts w:ascii="Times New Roman" w:hAnsi="Times New Roman" w:eastAsia="仿宋_GB2312" w:cs="Times New Roman"/>
                <w:bCs/>
                <w:color w:val="000000"/>
              </w:rPr>
              <w:t>　</w:t>
            </w:r>
          </w:p>
        </w:tc>
        <w:tc>
          <w:tcPr>
            <w:tcW w:w="3689"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rPr>
            </w:pPr>
            <w:r>
              <w:rPr>
                <w:rFonts w:ascii="Times New Roman" w:hAnsi="Times New Roman" w:eastAsia="仿宋_GB2312" w:cs="Times New Roman"/>
                <w:bCs/>
                <w:color w:val="000000"/>
              </w:rPr>
              <w:t>　</w:t>
            </w:r>
          </w:p>
        </w:tc>
        <w:tc>
          <w:tcPr>
            <w:tcW w:w="3847"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rPr>
            </w:pPr>
            <w:r>
              <w:rPr>
                <w:rFonts w:ascii="Times New Roman" w:hAnsi="Times New Roman" w:eastAsia="仿宋_GB2312" w:cs="Times New Roman"/>
                <w:bCs/>
                <w:color w:val="000000"/>
              </w:rPr>
              <w:t>　</w:t>
            </w:r>
          </w:p>
        </w:tc>
      </w:tr>
      <w:tr>
        <w:tblPrEx>
          <w:tblCellMar>
            <w:top w:w="0" w:type="dxa"/>
            <w:left w:w="108" w:type="dxa"/>
            <w:bottom w:w="0" w:type="dxa"/>
            <w:right w:w="108" w:type="dxa"/>
          </w:tblCellMar>
        </w:tblPrEx>
        <w:trPr>
          <w:trHeight w:val="567" w:hRule="atLeast"/>
          <w:jc w:val="center"/>
        </w:trPr>
        <w:tc>
          <w:tcPr>
            <w:tcW w:w="851" w:type="dxa"/>
            <w:tcBorders>
              <w:top w:val="nil"/>
              <w:left w:val="single" w:color="auto" w:sz="4" w:space="0"/>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rPr>
            </w:pPr>
            <w:r>
              <w:rPr>
                <w:rFonts w:ascii="Times New Roman" w:hAnsi="Times New Roman" w:eastAsia="仿宋_GB2312" w:cs="Times New Roman"/>
                <w:bCs/>
                <w:color w:val="000000"/>
              </w:rPr>
              <w:t>　</w:t>
            </w:r>
          </w:p>
        </w:tc>
        <w:tc>
          <w:tcPr>
            <w:tcW w:w="3689"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rPr>
            </w:pPr>
            <w:r>
              <w:rPr>
                <w:rFonts w:ascii="Times New Roman" w:hAnsi="Times New Roman" w:eastAsia="仿宋_GB2312" w:cs="Times New Roman"/>
                <w:bCs/>
                <w:color w:val="000000"/>
              </w:rPr>
              <w:t>　</w:t>
            </w:r>
          </w:p>
        </w:tc>
        <w:tc>
          <w:tcPr>
            <w:tcW w:w="3847" w:type="dxa"/>
            <w:tcBorders>
              <w:top w:val="nil"/>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rPr>
            </w:pPr>
            <w:r>
              <w:rPr>
                <w:rFonts w:ascii="Times New Roman" w:hAnsi="Times New Roman" w:eastAsia="仿宋_GB2312" w:cs="Times New Roman"/>
                <w:bCs/>
                <w:color w:val="000000"/>
              </w:rPr>
              <w:t>　</w:t>
            </w:r>
          </w:p>
        </w:tc>
      </w:tr>
      <w:tr>
        <w:tblPrEx>
          <w:tblCellMar>
            <w:top w:w="0" w:type="dxa"/>
            <w:left w:w="108" w:type="dxa"/>
            <w:bottom w:w="0" w:type="dxa"/>
            <w:right w:w="108" w:type="dxa"/>
          </w:tblCellMar>
        </w:tblPrEx>
        <w:trPr>
          <w:trHeight w:val="567" w:hRule="atLeast"/>
          <w:jc w:val="center"/>
        </w:trPr>
        <w:tc>
          <w:tcPr>
            <w:tcW w:w="851" w:type="dxa"/>
            <w:tcBorders>
              <w:top w:val="nil"/>
              <w:left w:val="single" w:color="auto" w:sz="4" w:space="0"/>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rPr>
            </w:pPr>
            <w:r>
              <w:rPr>
                <w:rFonts w:ascii="Times New Roman" w:hAnsi="Times New Roman" w:eastAsia="仿宋_GB2312" w:cs="Times New Roman"/>
                <w:bCs/>
                <w:color w:val="000000"/>
              </w:rPr>
              <w:t>汇总</w:t>
            </w:r>
          </w:p>
        </w:tc>
        <w:tc>
          <w:tcPr>
            <w:tcW w:w="7536" w:type="dxa"/>
            <w:gridSpan w:val="2"/>
            <w:tcBorders>
              <w:top w:val="single" w:color="auto" w:sz="4" w:space="0"/>
              <w:left w:val="nil"/>
              <w:bottom w:val="single" w:color="auto" w:sz="4" w:space="0"/>
              <w:right w:val="single" w:color="auto" w:sz="4" w:space="0"/>
            </w:tcBorders>
            <w:noWrap/>
            <w:vAlign w:val="center"/>
          </w:tcPr>
          <w:p>
            <w:pPr>
              <w:widowControl w:val="0"/>
              <w:spacing w:line="400" w:lineRule="exact"/>
              <w:jc w:val="both"/>
              <w:rPr>
                <w:rFonts w:ascii="Times New Roman" w:hAnsi="Times New Roman" w:eastAsia="仿宋_GB2312" w:cs="Times New Roman"/>
                <w:bCs/>
                <w:color w:val="000000"/>
              </w:rPr>
            </w:pPr>
            <w:r>
              <w:rPr>
                <w:rFonts w:ascii="Times New Roman" w:hAnsi="Times New Roman" w:eastAsia="仿宋_GB2312" w:cs="Times New Roman"/>
                <w:bCs/>
                <w:color w:val="000000"/>
              </w:rPr>
              <w:t>2020年共召开次部门办公会议；共公开了次部门办公会议，其中，发布新闻通稿形式公开了次部门办公会议，采取广播电视、网络和新媒体直播等形式向社会公开了次部门办公会议，邀请利益相关方</w:t>
            </w:r>
            <w:bookmarkStart w:id="3" w:name="_Hlk18498953"/>
            <w:r>
              <w:rPr>
                <w:rFonts w:ascii="Times New Roman" w:hAnsi="Times New Roman" w:eastAsia="仿宋_GB2312" w:cs="Times New Roman"/>
                <w:bCs/>
                <w:color w:val="000000"/>
              </w:rPr>
              <w:t>、公众代表、专家、媒体等</w:t>
            </w:r>
            <w:bookmarkEnd w:id="3"/>
            <w:r>
              <w:rPr>
                <w:rFonts w:ascii="Times New Roman" w:hAnsi="Times New Roman" w:eastAsia="仿宋_GB2312" w:cs="Times New Roman"/>
                <w:bCs/>
                <w:color w:val="000000"/>
              </w:rPr>
              <w:t>列席部门办公会议</w:t>
            </w:r>
            <w:r>
              <w:rPr>
                <w:rFonts w:hint="eastAsia" w:ascii="Times New Roman" w:hAnsi="Times New Roman" w:eastAsia="仿宋_GB2312" w:cs="Times New Roman"/>
                <w:bCs/>
                <w:color w:val="000000"/>
              </w:rPr>
              <w:t>次</w:t>
            </w:r>
          </w:p>
        </w:tc>
      </w:tr>
    </w:tbl>
    <w:p>
      <w:pPr>
        <w:pStyle w:val="10"/>
        <w:widowControl w:val="0"/>
        <w:spacing w:line="420" w:lineRule="exact"/>
        <w:ind w:firstLine="480"/>
        <w:jc w:val="both"/>
        <w:rPr>
          <w:rFonts w:ascii="Times New Roman" w:hAnsi="Times New Roman" w:eastAsia="仿宋_GB2312" w:cs="Times New Roman"/>
          <w:bCs/>
          <w:sz w:val="24"/>
          <w:szCs w:val="32"/>
        </w:rPr>
      </w:pPr>
      <w:r>
        <w:rPr>
          <w:rFonts w:ascii="Times New Roman" w:hAnsi="Times New Roman" w:eastAsia="仿宋_GB2312" w:cs="Times New Roman"/>
          <w:bCs/>
          <w:sz w:val="24"/>
          <w:szCs w:val="32"/>
        </w:rPr>
        <w:t>注：2020年度所有本部门邀请利益相关方</w:t>
      </w:r>
      <w:r>
        <w:rPr>
          <w:rFonts w:ascii="Times New Roman" w:hAnsi="Times New Roman" w:eastAsia="仿宋_GB2312" w:cs="Times New Roman"/>
          <w:bCs/>
          <w:color w:val="000000"/>
          <w:szCs w:val="22"/>
        </w:rPr>
        <w:t>、公众代表、专家、媒体等</w:t>
      </w:r>
      <w:r>
        <w:rPr>
          <w:rFonts w:ascii="Times New Roman" w:hAnsi="Times New Roman" w:eastAsia="仿宋_GB2312" w:cs="Times New Roman"/>
          <w:bCs/>
          <w:sz w:val="24"/>
          <w:szCs w:val="32"/>
        </w:rPr>
        <w:t>列席部门办公会议的会议纪要或参会人员名单（注明参会代表身份），以及对议定事项进行解读的渠道和解读内容（提供媒体报道、网站链接和截图）。</w:t>
      </w:r>
    </w:p>
    <w:p>
      <w:pPr>
        <w:pStyle w:val="10"/>
        <w:widowControl w:val="0"/>
        <w:numPr>
          <w:ilvl w:val="0"/>
          <w:numId w:val="8"/>
        </w:numPr>
        <w:spacing w:line="560" w:lineRule="exact"/>
        <w:ind w:left="0" w:firstLine="64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请提供本单位编制完成的主动公开基本目录公开网址。</w:t>
      </w:r>
    </w:p>
    <w:p>
      <w:pPr>
        <w:pStyle w:val="10"/>
        <w:widowControl w:val="0"/>
        <w:numPr>
          <w:ilvl w:val="0"/>
          <w:numId w:val="8"/>
        </w:numPr>
        <w:spacing w:line="560" w:lineRule="exact"/>
        <w:ind w:left="0" w:firstLine="64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请提供2</w:t>
      </w:r>
      <w:bookmarkStart w:id="4" w:name="_Hlk26868609"/>
      <w:r>
        <w:rPr>
          <w:rFonts w:ascii="Times New Roman" w:hAnsi="Times New Roman" w:eastAsia="仿宋_GB2312" w:cs="Times New Roman"/>
          <w:bCs/>
          <w:sz w:val="32"/>
          <w:szCs w:val="32"/>
        </w:rPr>
        <w:t>020年本单位全年共收到的政府信息公开申请数量和按时答复的数量</w:t>
      </w:r>
      <w:bookmarkEnd w:id="4"/>
      <w:r>
        <w:rPr>
          <w:rFonts w:ascii="Times New Roman" w:hAnsi="Times New Roman" w:eastAsia="仿宋_GB2312" w:cs="Times New Roman"/>
          <w:bCs/>
          <w:sz w:val="32"/>
          <w:szCs w:val="32"/>
        </w:rPr>
        <w:t>；提供本单位全年政府信息公开行政复议总数、行政复议败诉案件数、行政诉讼总数和行政诉讼败诉案件数。（须于12月25日之前将报县大数据发展服务中心汇总报市）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51"/>
        <w:gridCol w:w="1449"/>
        <w:gridCol w:w="1369"/>
        <w:gridCol w:w="1372"/>
        <w:gridCol w:w="1367"/>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1451" w:type="dxa"/>
            <w:vMerge w:val="restart"/>
            <w:noWrap/>
            <w:vAlign w:val="center"/>
          </w:tcPr>
          <w:p>
            <w:pPr>
              <w:widowControl w:val="0"/>
              <w:spacing w:line="400" w:lineRule="exact"/>
              <w:jc w:val="center"/>
              <w:rPr>
                <w:rFonts w:ascii="Times New Roman" w:hAnsi="Times New Roman" w:eastAsia="黑体" w:cs="Times New Roman"/>
                <w:bCs/>
                <w:color w:val="000000"/>
                <w:sz w:val="24"/>
              </w:rPr>
            </w:pPr>
            <w:r>
              <w:rPr>
                <w:rFonts w:ascii="Times New Roman" w:hAnsi="Times New Roman" w:eastAsia="黑体" w:cs="Times New Roman"/>
                <w:bCs/>
                <w:color w:val="000000"/>
                <w:sz w:val="24"/>
              </w:rPr>
              <w:t>收到申请</w:t>
            </w:r>
          </w:p>
          <w:p>
            <w:pPr>
              <w:widowControl w:val="0"/>
              <w:spacing w:line="400" w:lineRule="exact"/>
              <w:jc w:val="center"/>
              <w:rPr>
                <w:rFonts w:ascii="Times New Roman" w:hAnsi="Times New Roman" w:eastAsia="黑体" w:cs="Times New Roman"/>
                <w:bCs/>
                <w:color w:val="000000"/>
                <w:sz w:val="24"/>
              </w:rPr>
            </w:pPr>
            <w:r>
              <w:rPr>
                <w:rFonts w:ascii="Times New Roman" w:hAnsi="Times New Roman" w:eastAsia="黑体" w:cs="Times New Roman"/>
                <w:bCs/>
                <w:color w:val="000000"/>
                <w:sz w:val="24"/>
              </w:rPr>
              <w:t>数量</w:t>
            </w:r>
          </w:p>
        </w:tc>
        <w:tc>
          <w:tcPr>
            <w:tcW w:w="1449" w:type="dxa"/>
            <w:vMerge w:val="restart"/>
            <w:noWrap/>
            <w:vAlign w:val="center"/>
          </w:tcPr>
          <w:p>
            <w:pPr>
              <w:widowControl w:val="0"/>
              <w:spacing w:line="400" w:lineRule="exact"/>
              <w:jc w:val="center"/>
              <w:rPr>
                <w:rFonts w:ascii="Times New Roman" w:hAnsi="Times New Roman" w:eastAsia="黑体" w:cs="Times New Roman"/>
                <w:bCs/>
                <w:color w:val="000000"/>
                <w:sz w:val="24"/>
              </w:rPr>
            </w:pPr>
            <w:r>
              <w:rPr>
                <w:rFonts w:ascii="Times New Roman" w:hAnsi="Times New Roman" w:eastAsia="黑体" w:cs="Times New Roman"/>
                <w:bCs/>
                <w:color w:val="000000"/>
                <w:sz w:val="24"/>
              </w:rPr>
              <w:t>按时答复</w:t>
            </w:r>
          </w:p>
          <w:p>
            <w:pPr>
              <w:widowControl w:val="0"/>
              <w:spacing w:line="400" w:lineRule="exact"/>
              <w:jc w:val="center"/>
              <w:rPr>
                <w:rFonts w:ascii="Times New Roman" w:hAnsi="Times New Roman" w:eastAsia="黑体" w:cs="Times New Roman"/>
                <w:bCs/>
                <w:color w:val="000000"/>
                <w:sz w:val="24"/>
              </w:rPr>
            </w:pPr>
            <w:r>
              <w:rPr>
                <w:rFonts w:ascii="Times New Roman" w:hAnsi="Times New Roman" w:eastAsia="黑体" w:cs="Times New Roman"/>
                <w:bCs/>
                <w:color w:val="000000"/>
                <w:sz w:val="24"/>
              </w:rPr>
              <w:t>数量</w:t>
            </w:r>
          </w:p>
        </w:tc>
        <w:tc>
          <w:tcPr>
            <w:tcW w:w="2741" w:type="dxa"/>
            <w:gridSpan w:val="2"/>
            <w:noWrap/>
            <w:vAlign w:val="center"/>
          </w:tcPr>
          <w:p>
            <w:pPr>
              <w:widowControl w:val="0"/>
              <w:spacing w:line="400" w:lineRule="exact"/>
              <w:jc w:val="center"/>
              <w:rPr>
                <w:rFonts w:ascii="Times New Roman" w:hAnsi="Times New Roman" w:eastAsia="黑体" w:cs="Times New Roman"/>
                <w:bCs/>
                <w:color w:val="000000"/>
                <w:sz w:val="24"/>
              </w:rPr>
            </w:pPr>
            <w:r>
              <w:rPr>
                <w:rFonts w:ascii="Times New Roman" w:hAnsi="Times New Roman" w:eastAsia="黑体" w:cs="Times New Roman"/>
                <w:bCs/>
                <w:color w:val="000000"/>
                <w:sz w:val="24"/>
              </w:rPr>
              <w:t>行政复议情况</w:t>
            </w:r>
          </w:p>
        </w:tc>
        <w:tc>
          <w:tcPr>
            <w:tcW w:w="2739" w:type="dxa"/>
            <w:gridSpan w:val="2"/>
            <w:noWrap/>
            <w:vAlign w:val="center"/>
          </w:tcPr>
          <w:p>
            <w:pPr>
              <w:widowControl w:val="0"/>
              <w:spacing w:line="400" w:lineRule="exact"/>
              <w:jc w:val="center"/>
              <w:rPr>
                <w:rFonts w:ascii="Times New Roman" w:hAnsi="Times New Roman" w:eastAsia="黑体" w:cs="Times New Roman"/>
                <w:bCs/>
                <w:color w:val="000000"/>
                <w:sz w:val="24"/>
              </w:rPr>
            </w:pPr>
            <w:r>
              <w:rPr>
                <w:rFonts w:ascii="Times New Roman" w:hAnsi="Times New Roman" w:eastAsia="黑体" w:cs="Times New Roman"/>
                <w:bCs/>
                <w:color w:val="000000"/>
                <w:sz w:val="24"/>
              </w:rPr>
              <w:t>行政诉讼情况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451" w:type="dxa"/>
            <w:vMerge w:val="continue"/>
            <w:noWrap/>
            <w:vAlign w:val="center"/>
          </w:tcPr>
          <w:p>
            <w:pPr>
              <w:widowControl w:val="0"/>
              <w:spacing w:line="400" w:lineRule="exact"/>
              <w:jc w:val="center"/>
              <w:rPr>
                <w:rFonts w:ascii="Times New Roman" w:hAnsi="Times New Roman" w:eastAsia="黑体" w:cs="Times New Roman"/>
                <w:bCs/>
                <w:color w:val="000000"/>
                <w:sz w:val="24"/>
              </w:rPr>
            </w:pPr>
          </w:p>
        </w:tc>
        <w:tc>
          <w:tcPr>
            <w:tcW w:w="1449" w:type="dxa"/>
            <w:vMerge w:val="continue"/>
            <w:noWrap/>
            <w:vAlign w:val="center"/>
          </w:tcPr>
          <w:p>
            <w:pPr>
              <w:widowControl w:val="0"/>
              <w:spacing w:line="400" w:lineRule="exact"/>
              <w:jc w:val="center"/>
              <w:rPr>
                <w:rFonts w:ascii="Times New Roman" w:hAnsi="Times New Roman" w:eastAsia="黑体" w:cs="Times New Roman"/>
                <w:bCs/>
                <w:color w:val="000000"/>
                <w:sz w:val="24"/>
              </w:rPr>
            </w:pPr>
          </w:p>
        </w:tc>
        <w:tc>
          <w:tcPr>
            <w:tcW w:w="1369" w:type="dxa"/>
            <w:noWrap/>
            <w:vAlign w:val="center"/>
          </w:tcPr>
          <w:p>
            <w:pPr>
              <w:widowControl w:val="0"/>
              <w:spacing w:line="400" w:lineRule="exact"/>
              <w:jc w:val="center"/>
              <w:rPr>
                <w:rFonts w:ascii="Times New Roman" w:hAnsi="Times New Roman" w:eastAsia="黑体" w:cs="Times New Roman"/>
                <w:bCs/>
                <w:color w:val="000000"/>
                <w:sz w:val="24"/>
              </w:rPr>
            </w:pPr>
            <w:r>
              <w:rPr>
                <w:rFonts w:ascii="Times New Roman" w:hAnsi="Times New Roman" w:eastAsia="黑体" w:cs="Times New Roman"/>
                <w:bCs/>
                <w:color w:val="000000"/>
                <w:sz w:val="24"/>
              </w:rPr>
              <w:t>复议案件数</w:t>
            </w:r>
          </w:p>
        </w:tc>
        <w:tc>
          <w:tcPr>
            <w:tcW w:w="1371" w:type="dxa"/>
            <w:noWrap/>
            <w:vAlign w:val="center"/>
          </w:tcPr>
          <w:p>
            <w:pPr>
              <w:widowControl w:val="0"/>
              <w:spacing w:line="400" w:lineRule="exact"/>
              <w:jc w:val="center"/>
              <w:rPr>
                <w:rFonts w:ascii="Times New Roman" w:hAnsi="Times New Roman" w:eastAsia="黑体" w:cs="Times New Roman"/>
                <w:bCs/>
                <w:color w:val="000000"/>
                <w:sz w:val="24"/>
              </w:rPr>
            </w:pPr>
            <w:r>
              <w:rPr>
                <w:rFonts w:ascii="Times New Roman" w:hAnsi="Times New Roman" w:eastAsia="黑体" w:cs="Times New Roman"/>
                <w:bCs/>
                <w:color w:val="000000"/>
                <w:sz w:val="24"/>
              </w:rPr>
              <w:t>败诉案件数</w:t>
            </w:r>
          </w:p>
        </w:tc>
        <w:tc>
          <w:tcPr>
            <w:tcW w:w="1367" w:type="dxa"/>
            <w:noWrap/>
            <w:vAlign w:val="center"/>
          </w:tcPr>
          <w:p>
            <w:pPr>
              <w:widowControl w:val="0"/>
              <w:spacing w:line="400" w:lineRule="exact"/>
              <w:jc w:val="center"/>
              <w:rPr>
                <w:rFonts w:ascii="Times New Roman" w:hAnsi="Times New Roman" w:eastAsia="黑体" w:cs="Times New Roman"/>
                <w:bCs/>
                <w:color w:val="000000"/>
                <w:sz w:val="24"/>
              </w:rPr>
            </w:pPr>
            <w:r>
              <w:rPr>
                <w:rFonts w:ascii="Times New Roman" w:hAnsi="Times New Roman" w:eastAsia="黑体" w:cs="Times New Roman"/>
                <w:bCs/>
                <w:color w:val="000000"/>
                <w:sz w:val="24"/>
              </w:rPr>
              <w:t>诉讼案件数</w:t>
            </w:r>
          </w:p>
        </w:tc>
        <w:tc>
          <w:tcPr>
            <w:tcW w:w="1371" w:type="dxa"/>
            <w:noWrap/>
            <w:vAlign w:val="center"/>
          </w:tcPr>
          <w:p>
            <w:pPr>
              <w:widowControl w:val="0"/>
              <w:spacing w:line="400" w:lineRule="exact"/>
              <w:jc w:val="center"/>
              <w:rPr>
                <w:rFonts w:ascii="Times New Roman" w:hAnsi="Times New Roman" w:eastAsia="黑体" w:cs="Times New Roman"/>
                <w:bCs/>
                <w:color w:val="000000"/>
                <w:sz w:val="24"/>
              </w:rPr>
            </w:pPr>
            <w:r>
              <w:rPr>
                <w:rFonts w:ascii="Times New Roman" w:hAnsi="Times New Roman" w:eastAsia="黑体" w:cs="Times New Roman"/>
                <w:bCs/>
                <w:color w:val="000000"/>
                <w:sz w:val="24"/>
              </w:rPr>
              <w:t>败诉案件数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1451" w:type="dxa"/>
            <w:noWrap/>
            <w:vAlign w:val="center"/>
          </w:tcPr>
          <w:p>
            <w:pPr>
              <w:widowControl w:val="0"/>
              <w:spacing w:line="400" w:lineRule="exact"/>
              <w:jc w:val="both"/>
              <w:rPr>
                <w:rFonts w:ascii="Times New Roman" w:hAnsi="Times New Roman" w:cs="Times New Roman"/>
                <w:bCs/>
                <w:sz w:val="24"/>
              </w:rPr>
            </w:pPr>
          </w:p>
        </w:tc>
        <w:tc>
          <w:tcPr>
            <w:tcW w:w="1449" w:type="dxa"/>
            <w:noWrap/>
            <w:vAlign w:val="center"/>
          </w:tcPr>
          <w:p>
            <w:pPr>
              <w:widowControl w:val="0"/>
              <w:spacing w:line="400" w:lineRule="exact"/>
              <w:jc w:val="both"/>
              <w:rPr>
                <w:rFonts w:ascii="Times New Roman" w:hAnsi="Times New Roman" w:cs="Times New Roman"/>
                <w:bCs/>
                <w:sz w:val="24"/>
              </w:rPr>
            </w:pPr>
          </w:p>
        </w:tc>
        <w:tc>
          <w:tcPr>
            <w:tcW w:w="1369" w:type="dxa"/>
            <w:noWrap/>
            <w:vAlign w:val="center"/>
          </w:tcPr>
          <w:p>
            <w:pPr>
              <w:widowControl w:val="0"/>
              <w:spacing w:line="400" w:lineRule="exact"/>
              <w:jc w:val="both"/>
              <w:rPr>
                <w:rFonts w:ascii="Times New Roman" w:hAnsi="Times New Roman" w:cs="Times New Roman"/>
                <w:bCs/>
                <w:sz w:val="24"/>
              </w:rPr>
            </w:pPr>
          </w:p>
        </w:tc>
        <w:tc>
          <w:tcPr>
            <w:tcW w:w="1371" w:type="dxa"/>
            <w:noWrap/>
            <w:vAlign w:val="center"/>
          </w:tcPr>
          <w:p>
            <w:pPr>
              <w:widowControl w:val="0"/>
              <w:spacing w:line="400" w:lineRule="exact"/>
              <w:jc w:val="both"/>
              <w:rPr>
                <w:rFonts w:ascii="Times New Roman" w:hAnsi="Times New Roman" w:cs="Times New Roman"/>
                <w:bCs/>
                <w:sz w:val="24"/>
              </w:rPr>
            </w:pPr>
          </w:p>
        </w:tc>
        <w:tc>
          <w:tcPr>
            <w:tcW w:w="1367" w:type="dxa"/>
            <w:noWrap/>
            <w:vAlign w:val="center"/>
          </w:tcPr>
          <w:p>
            <w:pPr>
              <w:widowControl w:val="0"/>
              <w:spacing w:line="400" w:lineRule="exact"/>
              <w:jc w:val="both"/>
              <w:rPr>
                <w:rFonts w:ascii="Times New Roman" w:hAnsi="Times New Roman" w:cs="Times New Roman"/>
                <w:bCs/>
                <w:sz w:val="24"/>
              </w:rPr>
            </w:pPr>
          </w:p>
        </w:tc>
        <w:tc>
          <w:tcPr>
            <w:tcW w:w="1371" w:type="dxa"/>
            <w:noWrap/>
            <w:vAlign w:val="center"/>
          </w:tcPr>
          <w:p>
            <w:pPr>
              <w:widowControl w:val="0"/>
              <w:spacing w:line="400" w:lineRule="exact"/>
              <w:jc w:val="both"/>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1451" w:type="dxa"/>
            <w:noWrap/>
            <w:vAlign w:val="center"/>
          </w:tcPr>
          <w:p>
            <w:pPr>
              <w:widowControl w:val="0"/>
              <w:spacing w:line="400" w:lineRule="exact"/>
              <w:jc w:val="both"/>
              <w:rPr>
                <w:rFonts w:ascii="Times New Roman" w:hAnsi="Times New Roman" w:cs="Times New Roman"/>
                <w:bCs/>
                <w:color w:val="000000"/>
                <w:sz w:val="24"/>
              </w:rPr>
            </w:pPr>
          </w:p>
        </w:tc>
        <w:tc>
          <w:tcPr>
            <w:tcW w:w="1449" w:type="dxa"/>
            <w:noWrap/>
            <w:vAlign w:val="center"/>
          </w:tcPr>
          <w:p>
            <w:pPr>
              <w:widowControl w:val="0"/>
              <w:spacing w:line="400" w:lineRule="exact"/>
              <w:jc w:val="both"/>
              <w:rPr>
                <w:rFonts w:ascii="Times New Roman" w:hAnsi="Times New Roman" w:cs="Times New Roman"/>
                <w:bCs/>
                <w:color w:val="000000"/>
                <w:sz w:val="24"/>
              </w:rPr>
            </w:pPr>
          </w:p>
        </w:tc>
        <w:tc>
          <w:tcPr>
            <w:tcW w:w="1369" w:type="dxa"/>
            <w:noWrap/>
            <w:vAlign w:val="center"/>
          </w:tcPr>
          <w:p>
            <w:pPr>
              <w:widowControl w:val="0"/>
              <w:spacing w:line="400" w:lineRule="exact"/>
              <w:jc w:val="both"/>
              <w:rPr>
                <w:rFonts w:ascii="Times New Roman" w:hAnsi="Times New Roman" w:cs="Times New Roman"/>
                <w:bCs/>
                <w:color w:val="000000"/>
                <w:sz w:val="24"/>
              </w:rPr>
            </w:pPr>
          </w:p>
        </w:tc>
        <w:tc>
          <w:tcPr>
            <w:tcW w:w="1371" w:type="dxa"/>
            <w:noWrap/>
            <w:vAlign w:val="center"/>
          </w:tcPr>
          <w:p>
            <w:pPr>
              <w:widowControl w:val="0"/>
              <w:spacing w:line="400" w:lineRule="exact"/>
              <w:jc w:val="both"/>
              <w:rPr>
                <w:rFonts w:ascii="Times New Roman" w:hAnsi="Times New Roman" w:cs="Times New Roman"/>
                <w:bCs/>
                <w:color w:val="000000"/>
                <w:sz w:val="24"/>
              </w:rPr>
            </w:pPr>
          </w:p>
        </w:tc>
        <w:tc>
          <w:tcPr>
            <w:tcW w:w="1367" w:type="dxa"/>
            <w:noWrap/>
            <w:vAlign w:val="center"/>
          </w:tcPr>
          <w:p>
            <w:pPr>
              <w:widowControl w:val="0"/>
              <w:spacing w:line="400" w:lineRule="exact"/>
              <w:jc w:val="both"/>
              <w:rPr>
                <w:rFonts w:ascii="Times New Roman" w:hAnsi="Times New Roman" w:cs="Times New Roman"/>
                <w:bCs/>
                <w:color w:val="000000"/>
                <w:sz w:val="24"/>
              </w:rPr>
            </w:pPr>
          </w:p>
        </w:tc>
        <w:tc>
          <w:tcPr>
            <w:tcW w:w="1371" w:type="dxa"/>
            <w:noWrap/>
            <w:vAlign w:val="center"/>
          </w:tcPr>
          <w:p>
            <w:pPr>
              <w:widowControl w:val="0"/>
              <w:spacing w:line="400" w:lineRule="exact"/>
              <w:jc w:val="both"/>
              <w:rPr>
                <w:rFonts w:ascii="Times New Roman" w:hAnsi="Times New Roman" w:cs="Times New Roman"/>
                <w:bCs/>
                <w:color w:val="000000"/>
                <w:sz w:val="24"/>
              </w:rPr>
            </w:pPr>
          </w:p>
        </w:tc>
      </w:tr>
    </w:tbl>
    <w:p>
      <w:pPr>
        <w:pStyle w:val="10"/>
        <w:widowControl w:val="0"/>
        <w:numPr>
          <w:ilvl w:val="0"/>
          <w:numId w:val="8"/>
        </w:numPr>
        <w:spacing w:line="560" w:lineRule="exact"/>
        <w:ind w:left="0" w:firstLine="64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请提供本</w:t>
      </w:r>
      <w:bookmarkStart w:id="5" w:name="_Hlk26868835"/>
      <w:r>
        <w:rPr>
          <w:rFonts w:ascii="Times New Roman" w:hAnsi="Times New Roman" w:eastAsia="仿宋_GB2312" w:cs="Times New Roman"/>
          <w:bCs/>
          <w:sz w:val="32"/>
          <w:szCs w:val="32"/>
        </w:rPr>
        <w:t>单位最新的政务公开领导小组公开网址</w:t>
      </w:r>
      <w:bookmarkEnd w:id="5"/>
      <w:r>
        <w:rPr>
          <w:rFonts w:ascii="Times New Roman" w:hAnsi="Times New Roman" w:eastAsia="仿宋_GB2312" w:cs="Times New Roman"/>
          <w:bCs/>
          <w:sz w:val="32"/>
          <w:szCs w:val="32"/>
        </w:rPr>
        <w:t>。</w:t>
      </w:r>
    </w:p>
    <w:p>
      <w:pPr>
        <w:pStyle w:val="10"/>
        <w:widowControl w:val="0"/>
        <w:numPr>
          <w:ilvl w:val="0"/>
          <w:numId w:val="8"/>
        </w:numPr>
        <w:spacing w:line="560" w:lineRule="exact"/>
        <w:ind w:left="0" w:firstLine="64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请提供本</w:t>
      </w:r>
      <w:bookmarkStart w:id="6" w:name="_Hlk26868821"/>
      <w:r>
        <w:rPr>
          <w:rFonts w:ascii="Times New Roman" w:hAnsi="Times New Roman" w:eastAsia="仿宋_GB2312" w:cs="Times New Roman"/>
          <w:bCs/>
          <w:sz w:val="32"/>
          <w:szCs w:val="32"/>
        </w:rPr>
        <w:t>单位分管政务公开工作的负责同志姓名、职务及分工，并提供公开网址或链接。2020年度本单位主要负责同志在年内听取政务公开工作汇报和分管领导同志研究部署推进工作的会议纪要或批示（请提供会议议程、会议纪要、单位负责人对政务公开工作的批示等材料）</w:t>
      </w:r>
      <w:bookmarkEnd w:id="6"/>
      <w:r>
        <w:rPr>
          <w:rFonts w:ascii="Times New Roman" w:hAnsi="Times New Roman" w:eastAsia="仿宋_GB2312" w:cs="Times New Roman"/>
          <w:bCs/>
          <w:sz w:val="32"/>
          <w:szCs w:val="32"/>
        </w:rPr>
        <w:t>。</w:t>
      </w:r>
    </w:p>
    <w:p>
      <w:pPr>
        <w:pStyle w:val="10"/>
        <w:widowControl w:val="0"/>
        <w:spacing w:line="560" w:lineRule="exact"/>
        <w:ind w:firstLine="64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7.本单位是否明确并公开了政务公开工作负责机构，是否有专职人员专门负责政务公开工作及专职人员人数。请提供明确政务公开工作机构相关证明文件或文件公开网址。</w:t>
      </w:r>
    </w:p>
    <w:p>
      <w:pPr>
        <w:pStyle w:val="10"/>
        <w:widowControl w:val="0"/>
        <w:spacing w:line="560" w:lineRule="exact"/>
        <w:ind w:firstLine="64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8.2020年度本单位开展的政务公开工作专项培训的材料，请提供培训计划、培训通知、开会报道网址链接或报纸相关版页或内部简报材料。如在互联网公开，请提供网址链接和截图。</w:t>
      </w:r>
    </w:p>
    <w:p>
      <w:pPr>
        <w:pStyle w:val="10"/>
        <w:widowControl w:val="0"/>
        <w:spacing w:line="560" w:lineRule="exact"/>
        <w:ind w:firstLine="64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9.请</w:t>
      </w:r>
      <w:r>
        <w:rPr>
          <w:rFonts w:hint="eastAsia" w:ascii="Times New Roman" w:hAnsi="Times New Roman" w:eastAsia="仿宋_GB2312" w:cs="Times New Roman"/>
          <w:bCs/>
          <w:sz w:val="32"/>
          <w:szCs w:val="32"/>
        </w:rPr>
        <w:t>县</w:t>
      </w:r>
      <w:r>
        <w:rPr>
          <w:rFonts w:ascii="Times New Roman" w:hAnsi="Times New Roman" w:eastAsia="仿宋_GB2312" w:cs="Times New Roman"/>
          <w:bCs/>
          <w:sz w:val="32"/>
          <w:szCs w:val="32"/>
        </w:rPr>
        <w:t>教育和体育局、</w:t>
      </w:r>
      <w:r>
        <w:rPr>
          <w:rFonts w:hint="eastAsia" w:ascii="Times New Roman" w:hAnsi="Times New Roman" w:eastAsia="仿宋_GB2312" w:cs="Times New Roman"/>
          <w:bCs/>
          <w:sz w:val="32"/>
          <w:szCs w:val="32"/>
        </w:rPr>
        <w:t>县</w:t>
      </w:r>
      <w:r>
        <w:rPr>
          <w:rFonts w:ascii="Times New Roman" w:hAnsi="Times New Roman" w:eastAsia="仿宋_GB2312" w:cs="Times New Roman"/>
          <w:bCs/>
          <w:sz w:val="32"/>
          <w:szCs w:val="32"/>
        </w:rPr>
        <w:t>卫生健康局提供医院、义务教育学校名录，包括单位名称、地址、网址或信息公开平台等信息。（须于12月25日前报县大数据发展服务中心汇总报市）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2745"/>
        <w:gridCol w:w="3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993" w:type="dxa"/>
            <w:noWrap/>
            <w:vAlign w:val="center"/>
          </w:tcPr>
          <w:p>
            <w:pPr>
              <w:pStyle w:val="10"/>
              <w:widowControl w:val="0"/>
              <w:spacing w:line="480" w:lineRule="exact"/>
              <w:ind w:firstLine="0" w:firstLineChars="0"/>
              <w:jc w:val="both"/>
              <w:rPr>
                <w:rFonts w:ascii="Times New Roman" w:hAnsi="Times New Roman" w:eastAsia="黑体" w:cs="Times New Roman"/>
                <w:bCs/>
                <w:szCs w:val="22"/>
              </w:rPr>
            </w:pPr>
            <w:r>
              <w:rPr>
                <w:rFonts w:ascii="Times New Roman" w:hAnsi="Times New Roman" w:eastAsia="黑体" w:cs="Times New Roman"/>
                <w:bCs/>
                <w:szCs w:val="22"/>
              </w:rPr>
              <w:t>学校名称</w:t>
            </w:r>
          </w:p>
        </w:tc>
        <w:tc>
          <w:tcPr>
            <w:tcW w:w="2745" w:type="dxa"/>
            <w:noWrap/>
            <w:vAlign w:val="center"/>
          </w:tcPr>
          <w:p>
            <w:pPr>
              <w:pStyle w:val="10"/>
              <w:widowControl w:val="0"/>
              <w:spacing w:line="480" w:lineRule="exact"/>
              <w:ind w:firstLine="0" w:firstLineChars="0"/>
              <w:jc w:val="both"/>
              <w:rPr>
                <w:rFonts w:ascii="Times New Roman" w:hAnsi="Times New Roman" w:eastAsia="黑体" w:cs="Times New Roman"/>
                <w:bCs/>
                <w:szCs w:val="22"/>
              </w:rPr>
            </w:pPr>
            <w:r>
              <w:rPr>
                <w:rFonts w:ascii="Times New Roman" w:hAnsi="Times New Roman" w:eastAsia="黑体" w:cs="Times New Roman"/>
                <w:bCs/>
                <w:szCs w:val="22"/>
              </w:rPr>
              <w:t>学校地址</w:t>
            </w:r>
          </w:p>
        </w:tc>
        <w:tc>
          <w:tcPr>
            <w:tcW w:w="3784" w:type="dxa"/>
            <w:noWrap/>
            <w:vAlign w:val="center"/>
          </w:tcPr>
          <w:p>
            <w:pPr>
              <w:pStyle w:val="10"/>
              <w:widowControl w:val="0"/>
              <w:spacing w:line="480" w:lineRule="exact"/>
              <w:ind w:firstLine="0" w:firstLineChars="0"/>
              <w:jc w:val="both"/>
              <w:rPr>
                <w:rFonts w:ascii="Times New Roman" w:hAnsi="Times New Roman" w:eastAsia="黑体" w:cs="Times New Roman"/>
                <w:bCs/>
                <w:szCs w:val="22"/>
              </w:rPr>
            </w:pPr>
            <w:r>
              <w:rPr>
                <w:rFonts w:ascii="Times New Roman" w:hAnsi="Times New Roman" w:eastAsia="黑体" w:cs="Times New Roman"/>
                <w:bCs/>
                <w:szCs w:val="22"/>
              </w:rPr>
              <w:t>学校网址或信息公开平台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3" w:type="dxa"/>
            <w:noWrap/>
          </w:tcPr>
          <w:p>
            <w:pPr>
              <w:pStyle w:val="10"/>
              <w:widowControl w:val="0"/>
              <w:spacing w:line="480" w:lineRule="exact"/>
              <w:ind w:firstLine="0" w:firstLineChars="0"/>
              <w:jc w:val="both"/>
              <w:rPr>
                <w:rFonts w:ascii="Times New Roman" w:hAnsi="Times New Roman" w:eastAsia="仿宋_GB2312" w:cs="Times New Roman"/>
                <w:bCs/>
                <w:szCs w:val="22"/>
              </w:rPr>
            </w:pPr>
          </w:p>
        </w:tc>
        <w:tc>
          <w:tcPr>
            <w:tcW w:w="2745" w:type="dxa"/>
            <w:noWrap/>
          </w:tcPr>
          <w:p>
            <w:pPr>
              <w:pStyle w:val="10"/>
              <w:widowControl w:val="0"/>
              <w:spacing w:line="480" w:lineRule="exact"/>
              <w:ind w:firstLine="0" w:firstLineChars="0"/>
              <w:jc w:val="both"/>
              <w:rPr>
                <w:rFonts w:ascii="Times New Roman" w:hAnsi="Times New Roman" w:eastAsia="仿宋_GB2312" w:cs="Times New Roman"/>
                <w:bCs/>
                <w:szCs w:val="22"/>
              </w:rPr>
            </w:pPr>
          </w:p>
        </w:tc>
        <w:tc>
          <w:tcPr>
            <w:tcW w:w="3784" w:type="dxa"/>
            <w:noWrap/>
          </w:tcPr>
          <w:p>
            <w:pPr>
              <w:pStyle w:val="10"/>
              <w:widowControl w:val="0"/>
              <w:spacing w:line="480" w:lineRule="exact"/>
              <w:ind w:firstLine="0" w:firstLineChars="0"/>
              <w:jc w:val="both"/>
              <w:rPr>
                <w:rFonts w:ascii="Times New Roman" w:hAnsi="Times New Roman" w:eastAsia="仿宋_GB2312" w:cs="Times New Roman"/>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3" w:type="dxa"/>
            <w:noWrap/>
          </w:tcPr>
          <w:p>
            <w:pPr>
              <w:pStyle w:val="10"/>
              <w:widowControl w:val="0"/>
              <w:spacing w:line="480" w:lineRule="exact"/>
              <w:ind w:firstLine="0" w:firstLineChars="0"/>
              <w:jc w:val="both"/>
              <w:rPr>
                <w:rFonts w:ascii="Times New Roman" w:hAnsi="Times New Roman" w:eastAsia="仿宋_GB2312" w:cs="Times New Roman"/>
                <w:bCs/>
                <w:szCs w:val="22"/>
              </w:rPr>
            </w:pPr>
          </w:p>
        </w:tc>
        <w:tc>
          <w:tcPr>
            <w:tcW w:w="2745" w:type="dxa"/>
            <w:noWrap/>
          </w:tcPr>
          <w:p>
            <w:pPr>
              <w:pStyle w:val="10"/>
              <w:widowControl w:val="0"/>
              <w:spacing w:line="480" w:lineRule="exact"/>
              <w:ind w:firstLine="0" w:firstLineChars="0"/>
              <w:jc w:val="both"/>
              <w:rPr>
                <w:rFonts w:ascii="Times New Roman" w:hAnsi="Times New Roman" w:eastAsia="仿宋_GB2312" w:cs="Times New Roman"/>
                <w:bCs/>
                <w:szCs w:val="22"/>
              </w:rPr>
            </w:pPr>
          </w:p>
        </w:tc>
        <w:tc>
          <w:tcPr>
            <w:tcW w:w="3784" w:type="dxa"/>
            <w:noWrap/>
          </w:tcPr>
          <w:p>
            <w:pPr>
              <w:pStyle w:val="10"/>
              <w:widowControl w:val="0"/>
              <w:spacing w:line="480" w:lineRule="exact"/>
              <w:ind w:firstLine="0" w:firstLineChars="0"/>
              <w:jc w:val="both"/>
              <w:rPr>
                <w:rFonts w:ascii="Times New Roman" w:hAnsi="Times New Roman" w:eastAsia="仿宋_GB2312" w:cs="Times New Roman"/>
                <w:bCs/>
                <w:szCs w:val="22"/>
              </w:rPr>
            </w:pPr>
          </w:p>
        </w:tc>
      </w:tr>
    </w:tbl>
    <w:p>
      <w:pPr>
        <w:pStyle w:val="10"/>
        <w:widowControl w:val="0"/>
        <w:spacing w:line="240" w:lineRule="exact"/>
        <w:ind w:firstLine="440"/>
        <w:jc w:val="both"/>
        <w:rPr>
          <w:rFonts w:ascii="Times New Roman" w:hAnsi="Times New Roman" w:eastAsia="仿宋_GB2312" w:cs="Times New Roman"/>
          <w:bCs/>
          <w:szCs w:val="2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2745"/>
        <w:gridCol w:w="3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93" w:type="dxa"/>
            <w:noWrap/>
            <w:vAlign w:val="center"/>
          </w:tcPr>
          <w:p>
            <w:pPr>
              <w:pStyle w:val="10"/>
              <w:widowControl w:val="0"/>
              <w:spacing w:line="480" w:lineRule="exact"/>
              <w:ind w:firstLine="0" w:firstLineChars="0"/>
              <w:jc w:val="both"/>
              <w:rPr>
                <w:rFonts w:ascii="Times New Roman" w:hAnsi="Times New Roman" w:eastAsia="黑体" w:cs="Times New Roman"/>
                <w:bCs/>
                <w:szCs w:val="22"/>
              </w:rPr>
            </w:pPr>
            <w:r>
              <w:rPr>
                <w:rFonts w:ascii="Times New Roman" w:hAnsi="Times New Roman" w:eastAsia="黑体" w:cs="Times New Roman"/>
                <w:bCs/>
                <w:szCs w:val="22"/>
              </w:rPr>
              <w:t>医院名称</w:t>
            </w:r>
          </w:p>
        </w:tc>
        <w:tc>
          <w:tcPr>
            <w:tcW w:w="2745" w:type="dxa"/>
            <w:noWrap/>
            <w:vAlign w:val="center"/>
          </w:tcPr>
          <w:p>
            <w:pPr>
              <w:pStyle w:val="10"/>
              <w:widowControl w:val="0"/>
              <w:spacing w:line="480" w:lineRule="exact"/>
              <w:ind w:firstLine="0" w:firstLineChars="0"/>
              <w:jc w:val="both"/>
              <w:rPr>
                <w:rFonts w:ascii="Times New Roman" w:hAnsi="Times New Roman" w:eastAsia="黑体" w:cs="Times New Roman"/>
                <w:bCs/>
                <w:szCs w:val="22"/>
              </w:rPr>
            </w:pPr>
            <w:r>
              <w:rPr>
                <w:rFonts w:ascii="Times New Roman" w:hAnsi="Times New Roman" w:eastAsia="黑体" w:cs="Times New Roman"/>
                <w:bCs/>
                <w:szCs w:val="22"/>
              </w:rPr>
              <w:t>医院地址</w:t>
            </w:r>
          </w:p>
        </w:tc>
        <w:tc>
          <w:tcPr>
            <w:tcW w:w="3784" w:type="dxa"/>
            <w:noWrap/>
            <w:vAlign w:val="center"/>
          </w:tcPr>
          <w:p>
            <w:pPr>
              <w:pStyle w:val="10"/>
              <w:widowControl w:val="0"/>
              <w:spacing w:line="480" w:lineRule="exact"/>
              <w:ind w:firstLine="0" w:firstLineChars="0"/>
              <w:jc w:val="both"/>
              <w:rPr>
                <w:rFonts w:ascii="Times New Roman" w:hAnsi="Times New Roman" w:eastAsia="黑体" w:cs="Times New Roman"/>
                <w:bCs/>
                <w:szCs w:val="22"/>
              </w:rPr>
            </w:pPr>
            <w:r>
              <w:rPr>
                <w:rFonts w:ascii="Times New Roman" w:hAnsi="Times New Roman" w:eastAsia="黑体" w:cs="Times New Roman"/>
                <w:bCs/>
                <w:szCs w:val="22"/>
              </w:rPr>
              <w:t>医院网址或信息公开平台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noWrap/>
          </w:tcPr>
          <w:p>
            <w:pPr>
              <w:pStyle w:val="10"/>
              <w:widowControl w:val="0"/>
              <w:spacing w:line="480" w:lineRule="exact"/>
              <w:ind w:firstLine="0" w:firstLineChars="0"/>
              <w:jc w:val="both"/>
              <w:rPr>
                <w:rFonts w:ascii="Times New Roman" w:hAnsi="Times New Roman" w:eastAsia="仿宋_GB2312" w:cs="Times New Roman"/>
                <w:bCs/>
                <w:szCs w:val="22"/>
              </w:rPr>
            </w:pPr>
          </w:p>
        </w:tc>
        <w:tc>
          <w:tcPr>
            <w:tcW w:w="2745" w:type="dxa"/>
            <w:noWrap/>
          </w:tcPr>
          <w:p>
            <w:pPr>
              <w:pStyle w:val="10"/>
              <w:widowControl w:val="0"/>
              <w:spacing w:line="480" w:lineRule="exact"/>
              <w:ind w:firstLine="0" w:firstLineChars="0"/>
              <w:jc w:val="both"/>
              <w:rPr>
                <w:rFonts w:ascii="Times New Roman" w:hAnsi="Times New Roman" w:eastAsia="仿宋_GB2312" w:cs="Times New Roman"/>
                <w:bCs/>
                <w:szCs w:val="22"/>
              </w:rPr>
            </w:pPr>
          </w:p>
        </w:tc>
        <w:tc>
          <w:tcPr>
            <w:tcW w:w="3784" w:type="dxa"/>
            <w:noWrap/>
          </w:tcPr>
          <w:p>
            <w:pPr>
              <w:pStyle w:val="10"/>
              <w:widowControl w:val="0"/>
              <w:spacing w:line="480" w:lineRule="exact"/>
              <w:ind w:firstLine="0" w:firstLineChars="0"/>
              <w:jc w:val="both"/>
              <w:rPr>
                <w:rFonts w:ascii="Times New Roman" w:hAnsi="Times New Roman" w:eastAsia="仿宋_GB2312" w:cs="Times New Roman"/>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noWrap/>
          </w:tcPr>
          <w:p>
            <w:pPr>
              <w:pStyle w:val="10"/>
              <w:widowControl w:val="0"/>
              <w:spacing w:line="480" w:lineRule="exact"/>
              <w:ind w:firstLine="0" w:firstLineChars="0"/>
              <w:jc w:val="both"/>
              <w:rPr>
                <w:rFonts w:ascii="Times New Roman" w:hAnsi="Times New Roman" w:eastAsia="仿宋_GB2312" w:cs="Times New Roman"/>
                <w:bCs/>
                <w:sz w:val="32"/>
                <w:szCs w:val="32"/>
              </w:rPr>
            </w:pPr>
          </w:p>
        </w:tc>
        <w:tc>
          <w:tcPr>
            <w:tcW w:w="2745" w:type="dxa"/>
            <w:noWrap/>
          </w:tcPr>
          <w:p>
            <w:pPr>
              <w:pStyle w:val="10"/>
              <w:widowControl w:val="0"/>
              <w:spacing w:line="480" w:lineRule="exact"/>
              <w:ind w:firstLine="0" w:firstLineChars="0"/>
              <w:jc w:val="both"/>
              <w:rPr>
                <w:rFonts w:ascii="Times New Roman" w:hAnsi="Times New Roman" w:eastAsia="仿宋_GB2312" w:cs="Times New Roman"/>
                <w:bCs/>
                <w:sz w:val="32"/>
                <w:szCs w:val="32"/>
              </w:rPr>
            </w:pPr>
          </w:p>
        </w:tc>
        <w:tc>
          <w:tcPr>
            <w:tcW w:w="3784" w:type="dxa"/>
            <w:noWrap/>
          </w:tcPr>
          <w:p>
            <w:pPr>
              <w:pStyle w:val="10"/>
              <w:widowControl w:val="0"/>
              <w:spacing w:line="480" w:lineRule="exact"/>
              <w:ind w:firstLine="0" w:firstLineChars="0"/>
              <w:jc w:val="both"/>
              <w:rPr>
                <w:rFonts w:ascii="Times New Roman" w:hAnsi="Times New Roman" w:eastAsia="仿宋_GB2312" w:cs="Times New Roman"/>
                <w:bCs/>
                <w:sz w:val="32"/>
                <w:szCs w:val="32"/>
              </w:rPr>
            </w:pPr>
          </w:p>
        </w:tc>
      </w:tr>
    </w:tbl>
    <w:p>
      <w:pPr>
        <w:pStyle w:val="10"/>
        <w:widowControl w:val="0"/>
        <w:spacing w:line="560" w:lineRule="exact"/>
        <w:ind w:firstLine="64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10.请县卫生健康局提供县属医院（包括沂源县人民医院、沂源县中医医院、沂源县妇幼保健院）院务公开情况，公开情况计入县卫生健康局考核成绩。（须于12月25前报县大数据发展服务中心汇总报市）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30"/>
        <w:gridCol w:w="4064"/>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23" w:type="dxa"/>
            <w:gridSpan w:val="2"/>
            <w:noWrap/>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医院名称</w:t>
            </w:r>
          </w:p>
        </w:tc>
        <w:tc>
          <w:tcPr>
            <w:tcW w:w="6560" w:type="dxa"/>
            <w:gridSpan w:val="2"/>
            <w:noWrap/>
            <w:vAlign w:val="center"/>
          </w:tcPr>
          <w:p>
            <w:pPr>
              <w:jc w:val="center"/>
              <w:rPr>
                <w:rFonts w:ascii="Times New Roman" w:hAnsi="Times New Roman" w:eastAsia="黑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123" w:type="dxa"/>
            <w:gridSpan w:val="2"/>
            <w:noWrap/>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医院地址</w:t>
            </w:r>
          </w:p>
        </w:tc>
        <w:tc>
          <w:tcPr>
            <w:tcW w:w="6560" w:type="dxa"/>
            <w:gridSpan w:val="2"/>
            <w:noWrap/>
            <w:vAlign w:val="center"/>
          </w:tcPr>
          <w:p>
            <w:pPr>
              <w:jc w:val="center"/>
              <w:rPr>
                <w:rFonts w:ascii="Times New Roman" w:hAnsi="Times New Roman" w:eastAsia="黑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693" w:type="dxa"/>
            <w:noWrap/>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类别</w:t>
            </w:r>
          </w:p>
        </w:tc>
        <w:tc>
          <w:tcPr>
            <w:tcW w:w="1430" w:type="dxa"/>
            <w:noWrap/>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信息名称</w:t>
            </w:r>
          </w:p>
        </w:tc>
        <w:tc>
          <w:tcPr>
            <w:tcW w:w="4064" w:type="dxa"/>
            <w:noWrap/>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公开内容</w:t>
            </w:r>
          </w:p>
        </w:tc>
        <w:tc>
          <w:tcPr>
            <w:tcW w:w="2496" w:type="dxa"/>
            <w:noWrap/>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公开网址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93" w:type="dxa"/>
            <w:vMerge w:val="restart"/>
            <w:noWrap/>
            <w:vAlign w:val="center"/>
          </w:tcPr>
          <w:p>
            <w:pPr>
              <w:spacing w:beforeLines="20" w:afterLines="2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医院</w:t>
            </w:r>
          </w:p>
          <w:p>
            <w:pPr>
              <w:spacing w:beforeLines="20" w:afterLines="2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概况</w:t>
            </w:r>
          </w:p>
        </w:tc>
        <w:tc>
          <w:tcPr>
            <w:tcW w:w="1430" w:type="dxa"/>
            <w:noWrap/>
            <w:vAlign w:val="center"/>
          </w:tcPr>
          <w:p>
            <w:pPr>
              <w:spacing w:beforeLines="20" w:afterLines="2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执业登记</w:t>
            </w:r>
          </w:p>
        </w:tc>
        <w:tc>
          <w:tcPr>
            <w:tcW w:w="4064" w:type="dxa"/>
            <w:noWrap/>
            <w:vAlign w:val="center"/>
          </w:tcPr>
          <w:p>
            <w:pPr>
              <w:spacing w:line="28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医院院长（法定代表人）姓名、诊疗科目、执业地点、《医疗机构执业许可证》有效期、发证机关</w:t>
            </w:r>
          </w:p>
        </w:tc>
        <w:tc>
          <w:tcPr>
            <w:tcW w:w="2496" w:type="dxa"/>
            <w:noWrap/>
            <w:vAlign w:val="center"/>
          </w:tcPr>
          <w:p>
            <w:pPr>
              <w:spacing w:beforeLines="20" w:afterLines="20"/>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3" w:type="dxa"/>
            <w:vMerge w:val="continue"/>
            <w:noWrap/>
            <w:vAlign w:val="center"/>
          </w:tcPr>
          <w:p>
            <w:pPr>
              <w:spacing w:beforeLines="20" w:afterLines="20"/>
              <w:jc w:val="center"/>
              <w:rPr>
                <w:rFonts w:ascii="仿宋_GB2312" w:hAnsi="仿宋_GB2312" w:eastAsia="仿宋_GB2312" w:cs="仿宋_GB2312"/>
                <w:bCs/>
                <w:sz w:val="24"/>
                <w:szCs w:val="24"/>
              </w:rPr>
            </w:pPr>
          </w:p>
        </w:tc>
        <w:tc>
          <w:tcPr>
            <w:tcW w:w="1430" w:type="dxa"/>
            <w:noWrap/>
            <w:vAlign w:val="center"/>
          </w:tcPr>
          <w:p>
            <w:pPr>
              <w:spacing w:beforeLines="20" w:afterLines="2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基本信息</w:t>
            </w:r>
          </w:p>
        </w:tc>
        <w:tc>
          <w:tcPr>
            <w:tcW w:w="4064" w:type="dxa"/>
            <w:noWrap/>
            <w:vAlign w:val="center"/>
          </w:tcPr>
          <w:p>
            <w:pPr>
              <w:spacing w:line="28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医院名称、级别、等次、联系电话、网址</w:t>
            </w:r>
          </w:p>
        </w:tc>
        <w:tc>
          <w:tcPr>
            <w:tcW w:w="2496" w:type="dxa"/>
            <w:noWrap/>
            <w:vAlign w:val="center"/>
          </w:tcPr>
          <w:p>
            <w:pPr>
              <w:spacing w:beforeLines="20" w:afterLines="20"/>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693" w:type="dxa"/>
            <w:vMerge w:val="continue"/>
            <w:noWrap/>
            <w:vAlign w:val="center"/>
          </w:tcPr>
          <w:p>
            <w:pPr>
              <w:spacing w:beforeLines="20" w:afterLines="20"/>
              <w:jc w:val="center"/>
              <w:rPr>
                <w:rFonts w:ascii="仿宋_GB2312" w:hAnsi="仿宋_GB2312" w:eastAsia="仿宋_GB2312" w:cs="仿宋_GB2312"/>
                <w:bCs/>
                <w:sz w:val="24"/>
                <w:szCs w:val="24"/>
              </w:rPr>
            </w:pPr>
          </w:p>
        </w:tc>
        <w:tc>
          <w:tcPr>
            <w:tcW w:w="1430" w:type="dxa"/>
            <w:noWrap/>
            <w:vAlign w:val="center"/>
          </w:tcPr>
          <w:p>
            <w:pPr>
              <w:spacing w:beforeLines="20" w:afterLines="2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诊疗技术准入许可</w:t>
            </w:r>
          </w:p>
        </w:tc>
        <w:tc>
          <w:tcPr>
            <w:tcW w:w="4064" w:type="dxa"/>
            <w:noWrap/>
            <w:vAlign w:val="center"/>
          </w:tcPr>
          <w:p>
            <w:pPr>
              <w:spacing w:line="280" w:lineRule="exact"/>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经卫生行政部门批准准予开展的各项诊疗技术及特殊临床检验项目的名称及有效期，如人体器官移植技术、人类辅助生殖技术等</w:t>
            </w:r>
          </w:p>
        </w:tc>
        <w:tc>
          <w:tcPr>
            <w:tcW w:w="2496" w:type="dxa"/>
            <w:noWrap/>
            <w:vAlign w:val="center"/>
          </w:tcPr>
          <w:p>
            <w:pPr>
              <w:spacing w:beforeLines="20" w:afterLines="20"/>
              <w:rPr>
                <w:rFonts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93" w:type="dxa"/>
            <w:vMerge w:val="continue"/>
            <w:noWrap/>
            <w:vAlign w:val="center"/>
          </w:tcPr>
          <w:p>
            <w:pPr>
              <w:spacing w:beforeLines="20" w:afterLines="20"/>
              <w:jc w:val="center"/>
              <w:rPr>
                <w:rFonts w:ascii="仿宋_GB2312" w:hAnsi="仿宋_GB2312" w:eastAsia="仿宋_GB2312" w:cs="仿宋_GB2312"/>
                <w:bCs/>
                <w:sz w:val="24"/>
                <w:szCs w:val="24"/>
              </w:rPr>
            </w:pPr>
          </w:p>
        </w:tc>
        <w:tc>
          <w:tcPr>
            <w:tcW w:w="1430" w:type="dxa"/>
            <w:noWrap/>
            <w:vAlign w:val="center"/>
          </w:tcPr>
          <w:p>
            <w:pPr>
              <w:spacing w:beforeLines="20" w:afterLines="2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大型医用设备配置许可</w:t>
            </w:r>
          </w:p>
        </w:tc>
        <w:tc>
          <w:tcPr>
            <w:tcW w:w="4064" w:type="dxa"/>
            <w:noWrap/>
            <w:vAlign w:val="center"/>
          </w:tcPr>
          <w:p>
            <w:pPr>
              <w:spacing w:line="280" w:lineRule="exact"/>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经卫生行政部门批准使用的大型医用设备的名称及从业人员的资质</w:t>
            </w:r>
          </w:p>
        </w:tc>
        <w:tc>
          <w:tcPr>
            <w:tcW w:w="2496" w:type="dxa"/>
            <w:noWrap/>
            <w:vAlign w:val="center"/>
          </w:tcPr>
          <w:p>
            <w:pPr>
              <w:spacing w:beforeLines="20" w:afterLines="20"/>
              <w:rPr>
                <w:rFonts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93" w:type="dxa"/>
            <w:vMerge w:val="continue"/>
            <w:noWrap/>
            <w:vAlign w:val="center"/>
          </w:tcPr>
          <w:p>
            <w:pPr>
              <w:spacing w:beforeLines="20" w:afterLines="20"/>
              <w:jc w:val="center"/>
              <w:rPr>
                <w:rFonts w:ascii="仿宋_GB2312" w:hAnsi="仿宋_GB2312" w:eastAsia="仿宋_GB2312" w:cs="仿宋_GB2312"/>
                <w:bCs/>
                <w:sz w:val="24"/>
                <w:szCs w:val="24"/>
              </w:rPr>
            </w:pPr>
          </w:p>
        </w:tc>
        <w:tc>
          <w:tcPr>
            <w:tcW w:w="1430" w:type="dxa"/>
            <w:noWrap/>
            <w:vAlign w:val="center"/>
          </w:tcPr>
          <w:p>
            <w:pPr>
              <w:spacing w:beforeLines="20" w:afterLines="2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教学任务</w:t>
            </w:r>
          </w:p>
        </w:tc>
        <w:tc>
          <w:tcPr>
            <w:tcW w:w="4064" w:type="dxa"/>
            <w:noWrap/>
            <w:vAlign w:val="center"/>
          </w:tcPr>
          <w:p>
            <w:pPr>
              <w:spacing w:line="28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医院承担各院校医学生（专科生、本科生、研究生）见习和实习任务的基本情况，包括学生数量和教学时间</w:t>
            </w:r>
          </w:p>
        </w:tc>
        <w:tc>
          <w:tcPr>
            <w:tcW w:w="2496" w:type="dxa"/>
            <w:noWrap/>
            <w:vAlign w:val="center"/>
          </w:tcPr>
          <w:p>
            <w:pPr>
              <w:spacing w:beforeLines="20" w:afterLines="20"/>
              <w:jc w:val="center"/>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3" w:type="dxa"/>
            <w:vMerge w:val="restart"/>
            <w:noWrap/>
            <w:vAlign w:val="center"/>
          </w:tcPr>
          <w:p>
            <w:pPr>
              <w:spacing w:beforeLines="20" w:afterLines="2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医院</w:t>
            </w:r>
          </w:p>
          <w:p>
            <w:pPr>
              <w:spacing w:beforeLines="20" w:afterLines="2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环境</w:t>
            </w:r>
          </w:p>
        </w:tc>
        <w:tc>
          <w:tcPr>
            <w:tcW w:w="1430" w:type="dxa"/>
            <w:noWrap/>
            <w:vAlign w:val="center"/>
          </w:tcPr>
          <w:p>
            <w:pPr>
              <w:spacing w:beforeLines="20" w:afterLines="2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周边交通</w:t>
            </w:r>
          </w:p>
        </w:tc>
        <w:tc>
          <w:tcPr>
            <w:tcW w:w="4064" w:type="dxa"/>
            <w:noWrap/>
            <w:vAlign w:val="center"/>
          </w:tcPr>
          <w:p>
            <w:pPr>
              <w:spacing w:line="28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周边公共交通线路、停靠站名、院外周边停车场位置</w:t>
            </w:r>
          </w:p>
        </w:tc>
        <w:tc>
          <w:tcPr>
            <w:tcW w:w="2496" w:type="dxa"/>
            <w:noWrap/>
            <w:vAlign w:val="center"/>
          </w:tcPr>
          <w:p>
            <w:pPr>
              <w:spacing w:beforeLines="20" w:afterLines="20"/>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93" w:type="dxa"/>
            <w:vMerge w:val="continue"/>
            <w:noWrap/>
            <w:vAlign w:val="center"/>
          </w:tcPr>
          <w:p>
            <w:pPr>
              <w:spacing w:beforeLines="20" w:afterLines="20"/>
              <w:jc w:val="center"/>
              <w:rPr>
                <w:rFonts w:ascii="仿宋_GB2312" w:hAnsi="仿宋_GB2312" w:eastAsia="仿宋_GB2312" w:cs="仿宋_GB2312"/>
                <w:bCs/>
                <w:sz w:val="24"/>
                <w:szCs w:val="24"/>
              </w:rPr>
            </w:pPr>
          </w:p>
        </w:tc>
        <w:tc>
          <w:tcPr>
            <w:tcW w:w="1430" w:type="dxa"/>
            <w:noWrap/>
            <w:vAlign w:val="center"/>
          </w:tcPr>
          <w:p>
            <w:pPr>
              <w:spacing w:beforeLines="20" w:afterLines="2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院内交通</w:t>
            </w:r>
          </w:p>
        </w:tc>
        <w:tc>
          <w:tcPr>
            <w:tcW w:w="4064" w:type="dxa"/>
            <w:noWrap/>
            <w:vAlign w:val="center"/>
          </w:tcPr>
          <w:p>
            <w:pPr>
              <w:spacing w:line="28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医院急诊车辆入口与出口指示、院内停车场与总车位数、院内行车指引</w:t>
            </w:r>
          </w:p>
        </w:tc>
        <w:tc>
          <w:tcPr>
            <w:tcW w:w="2496" w:type="dxa"/>
            <w:noWrap/>
            <w:vAlign w:val="center"/>
          </w:tcPr>
          <w:p>
            <w:pPr>
              <w:spacing w:beforeLines="20" w:afterLines="20"/>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3" w:type="dxa"/>
            <w:vMerge w:val="continue"/>
            <w:noWrap/>
            <w:vAlign w:val="center"/>
          </w:tcPr>
          <w:p>
            <w:pPr>
              <w:spacing w:beforeLines="20" w:afterLines="20"/>
              <w:jc w:val="center"/>
              <w:rPr>
                <w:rFonts w:ascii="仿宋_GB2312" w:hAnsi="仿宋_GB2312" w:eastAsia="仿宋_GB2312" w:cs="仿宋_GB2312"/>
                <w:bCs/>
                <w:sz w:val="24"/>
                <w:szCs w:val="24"/>
              </w:rPr>
            </w:pPr>
          </w:p>
        </w:tc>
        <w:tc>
          <w:tcPr>
            <w:tcW w:w="1430" w:type="dxa"/>
            <w:noWrap/>
            <w:vAlign w:val="center"/>
          </w:tcPr>
          <w:p>
            <w:pPr>
              <w:spacing w:beforeLines="20" w:afterLines="2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科室布局</w:t>
            </w:r>
          </w:p>
        </w:tc>
        <w:tc>
          <w:tcPr>
            <w:tcW w:w="4064" w:type="dxa"/>
            <w:noWrap/>
            <w:vAlign w:val="center"/>
          </w:tcPr>
          <w:p>
            <w:pPr>
              <w:spacing w:beforeLines="20" w:afterLines="2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各科室位置格局、急诊“绿色通道”路径</w:t>
            </w:r>
          </w:p>
        </w:tc>
        <w:tc>
          <w:tcPr>
            <w:tcW w:w="2496" w:type="dxa"/>
            <w:noWrap/>
            <w:vAlign w:val="center"/>
          </w:tcPr>
          <w:p>
            <w:pPr>
              <w:spacing w:beforeLines="20" w:afterLines="20"/>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3" w:type="dxa"/>
            <w:vMerge w:val="continue"/>
            <w:noWrap/>
            <w:vAlign w:val="center"/>
          </w:tcPr>
          <w:p>
            <w:pPr>
              <w:spacing w:beforeLines="20" w:afterLines="20"/>
              <w:jc w:val="center"/>
              <w:rPr>
                <w:rFonts w:ascii="仿宋_GB2312" w:hAnsi="仿宋_GB2312" w:eastAsia="仿宋_GB2312" w:cs="仿宋_GB2312"/>
                <w:bCs/>
                <w:sz w:val="24"/>
                <w:szCs w:val="24"/>
              </w:rPr>
            </w:pPr>
          </w:p>
        </w:tc>
        <w:tc>
          <w:tcPr>
            <w:tcW w:w="1430" w:type="dxa"/>
            <w:noWrap/>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应急避难</w:t>
            </w:r>
          </w:p>
        </w:tc>
        <w:tc>
          <w:tcPr>
            <w:tcW w:w="4064" w:type="dxa"/>
            <w:noWrap/>
            <w:vAlign w:val="center"/>
          </w:tcPr>
          <w:p>
            <w:pPr>
              <w:rPr>
                <w:rFonts w:ascii="仿宋_GB2312" w:hAnsi="仿宋_GB2312" w:eastAsia="仿宋_GB2312" w:cs="仿宋_GB2312"/>
                <w:bCs/>
                <w:spacing w:val="-8"/>
                <w:sz w:val="24"/>
                <w:szCs w:val="24"/>
              </w:rPr>
            </w:pPr>
            <w:r>
              <w:rPr>
                <w:rFonts w:hint="eastAsia" w:ascii="仿宋_GB2312" w:hAnsi="仿宋_GB2312" w:eastAsia="仿宋_GB2312" w:cs="仿宋_GB2312"/>
                <w:bCs/>
                <w:spacing w:val="-8"/>
                <w:sz w:val="24"/>
                <w:szCs w:val="24"/>
              </w:rPr>
              <w:t>院内应急避难撤退路线及应急通道指引</w:t>
            </w:r>
          </w:p>
        </w:tc>
        <w:tc>
          <w:tcPr>
            <w:tcW w:w="2496" w:type="dxa"/>
            <w:noWrap/>
            <w:vAlign w:val="center"/>
          </w:tcPr>
          <w:p>
            <w:pPr>
              <w:spacing w:beforeLines="20" w:afterLines="20"/>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93" w:type="dxa"/>
            <w:vMerge w:val="restart"/>
            <w:noWrap/>
            <w:vAlign w:val="center"/>
          </w:tcPr>
          <w:p>
            <w:pPr>
              <w:spacing w:beforeLines="20" w:afterLines="2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行风</w:t>
            </w:r>
          </w:p>
          <w:p>
            <w:pPr>
              <w:spacing w:beforeLines="20" w:afterLines="2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建设</w:t>
            </w:r>
          </w:p>
        </w:tc>
        <w:tc>
          <w:tcPr>
            <w:tcW w:w="1430" w:type="dxa"/>
            <w:noWrap/>
            <w:vAlign w:val="center"/>
          </w:tcPr>
          <w:p>
            <w:pPr>
              <w:ind w:right="-180" w:rightChars="-82"/>
              <w:rPr>
                <w:rFonts w:ascii="仿宋_GB2312" w:hAnsi="仿宋_GB2312" w:eastAsia="仿宋_GB2312" w:cs="仿宋_GB2312"/>
                <w:bCs/>
                <w:sz w:val="24"/>
                <w:szCs w:val="24"/>
              </w:rPr>
            </w:pPr>
            <w:r>
              <w:rPr>
                <w:rFonts w:hint="eastAsia" w:ascii="仿宋_GB2312" w:hAnsi="仿宋_GB2312" w:eastAsia="仿宋_GB2312" w:cs="仿宋_GB2312"/>
                <w:bCs/>
                <w:spacing w:val="-12"/>
                <w:sz w:val="24"/>
                <w:szCs w:val="24"/>
              </w:rPr>
              <w:t>医德医风建设</w:t>
            </w:r>
          </w:p>
        </w:tc>
        <w:tc>
          <w:tcPr>
            <w:tcW w:w="4064" w:type="dxa"/>
            <w:noWrap/>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加强医德医风建设的有关规定</w:t>
            </w:r>
          </w:p>
        </w:tc>
        <w:tc>
          <w:tcPr>
            <w:tcW w:w="2496" w:type="dxa"/>
            <w:noWrap/>
            <w:vAlign w:val="center"/>
          </w:tcPr>
          <w:p>
            <w:pPr>
              <w:spacing w:beforeLines="20" w:afterLines="20"/>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3" w:type="dxa"/>
            <w:vMerge w:val="continue"/>
            <w:noWrap/>
            <w:vAlign w:val="center"/>
          </w:tcPr>
          <w:p>
            <w:pPr>
              <w:spacing w:beforeLines="20" w:afterLines="20"/>
              <w:jc w:val="center"/>
              <w:rPr>
                <w:rFonts w:ascii="仿宋_GB2312" w:hAnsi="仿宋_GB2312" w:eastAsia="仿宋_GB2312" w:cs="仿宋_GB2312"/>
                <w:bCs/>
                <w:sz w:val="24"/>
                <w:szCs w:val="24"/>
              </w:rPr>
            </w:pPr>
          </w:p>
        </w:tc>
        <w:tc>
          <w:tcPr>
            <w:tcW w:w="1430" w:type="dxa"/>
            <w:noWrap/>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病人的权利和义务</w:t>
            </w:r>
          </w:p>
        </w:tc>
        <w:tc>
          <w:tcPr>
            <w:tcW w:w="4064" w:type="dxa"/>
            <w:noWrap/>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病人权利和义务的主要内容</w:t>
            </w:r>
          </w:p>
        </w:tc>
        <w:tc>
          <w:tcPr>
            <w:tcW w:w="2496" w:type="dxa"/>
            <w:noWrap/>
            <w:vAlign w:val="center"/>
          </w:tcPr>
          <w:p>
            <w:pPr>
              <w:spacing w:beforeLines="20" w:afterLines="20"/>
              <w:rPr>
                <w:rFonts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3" w:type="dxa"/>
            <w:vMerge w:val="continue"/>
            <w:noWrap/>
            <w:vAlign w:val="center"/>
          </w:tcPr>
          <w:p>
            <w:pPr>
              <w:spacing w:beforeLines="20" w:afterLines="20"/>
              <w:jc w:val="center"/>
              <w:rPr>
                <w:rFonts w:ascii="仿宋_GB2312" w:hAnsi="仿宋_GB2312" w:eastAsia="仿宋_GB2312" w:cs="仿宋_GB2312"/>
                <w:bCs/>
                <w:sz w:val="24"/>
                <w:szCs w:val="24"/>
              </w:rPr>
            </w:pPr>
          </w:p>
        </w:tc>
        <w:tc>
          <w:tcPr>
            <w:tcW w:w="1430" w:type="dxa"/>
            <w:noWrap/>
            <w:vAlign w:val="center"/>
          </w:tcPr>
          <w:p>
            <w:pPr>
              <w:ind w:right="-180" w:rightChars="-82"/>
              <w:rPr>
                <w:rFonts w:ascii="仿宋_GB2312" w:hAnsi="仿宋_GB2312" w:eastAsia="仿宋_GB2312" w:cs="仿宋_GB2312"/>
                <w:bCs/>
                <w:sz w:val="24"/>
                <w:szCs w:val="24"/>
              </w:rPr>
            </w:pPr>
            <w:r>
              <w:rPr>
                <w:rFonts w:hint="eastAsia" w:ascii="仿宋_GB2312" w:hAnsi="仿宋_GB2312" w:eastAsia="仿宋_GB2312" w:cs="仿宋_GB2312"/>
                <w:bCs/>
                <w:spacing w:val="-12"/>
                <w:sz w:val="24"/>
                <w:szCs w:val="24"/>
              </w:rPr>
              <w:t>社会捐赠使用</w:t>
            </w:r>
          </w:p>
        </w:tc>
        <w:tc>
          <w:tcPr>
            <w:tcW w:w="4064" w:type="dxa"/>
            <w:noWrap/>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接受捐赠资助的情况和受赠受助财产的使用管理情况</w:t>
            </w:r>
          </w:p>
        </w:tc>
        <w:tc>
          <w:tcPr>
            <w:tcW w:w="2496" w:type="dxa"/>
            <w:noWrap/>
            <w:vAlign w:val="center"/>
          </w:tcPr>
          <w:p>
            <w:pPr>
              <w:spacing w:beforeLines="20" w:afterLines="20"/>
              <w:rPr>
                <w:rFonts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93" w:type="dxa"/>
            <w:vMerge w:val="continue"/>
            <w:noWrap/>
            <w:vAlign w:val="center"/>
          </w:tcPr>
          <w:p>
            <w:pPr>
              <w:spacing w:beforeLines="20" w:afterLines="20"/>
              <w:jc w:val="center"/>
              <w:rPr>
                <w:rFonts w:ascii="仿宋_GB2312" w:hAnsi="仿宋_GB2312" w:eastAsia="仿宋_GB2312" w:cs="仿宋_GB2312"/>
                <w:bCs/>
                <w:sz w:val="24"/>
                <w:szCs w:val="24"/>
              </w:rPr>
            </w:pPr>
          </w:p>
        </w:tc>
        <w:tc>
          <w:tcPr>
            <w:tcW w:w="1430" w:type="dxa"/>
            <w:noWrap/>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医院服务投诉方式</w:t>
            </w:r>
          </w:p>
        </w:tc>
        <w:tc>
          <w:tcPr>
            <w:tcW w:w="4064" w:type="dxa"/>
            <w:noWrap/>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本院服务监督部门（人）的投诉电话和信箱</w:t>
            </w:r>
          </w:p>
        </w:tc>
        <w:tc>
          <w:tcPr>
            <w:tcW w:w="2496" w:type="dxa"/>
            <w:noWrap/>
            <w:vAlign w:val="center"/>
          </w:tcPr>
          <w:p>
            <w:pPr>
              <w:spacing w:beforeLines="20" w:afterLines="20"/>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3" w:type="dxa"/>
            <w:vMerge w:val="continue"/>
            <w:noWrap/>
            <w:vAlign w:val="center"/>
          </w:tcPr>
          <w:p>
            <w:pPr>
              <w:spacing w:beforeLines="20" w:afterLines="20"/>
              <w:jc w:val="center"/>
              <w:rPr>
                <w:rFonts w:ascii="仿宋_GB2312" w:hAnsi="仿宋_GB2312" w:eastAsia="仿宋_GB2312" w:cs="仿宋_GB2312"/>
                <w:bCs/>
                <w:sz w:val="24"/>
                <w:szCs w:val="24"/>
              </w:rPr>
            </w:pPr>
          </w:p>
        </w:tc>
        <w:tc>
          <w:tcPr>
            <w:tcW w:w="1430" w:type="dxa"/>
            <w:noWrap/>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上级部门投诉方式</w:t>
            </w:r>
          </w:p>
        </w:tc>
        <w:tc>
          <w:tcPr>
            <w:tcW w:w="4064" w:type="dxa"/>
            <w:noWrap/>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上级卫生行政部门的投诉电话和信箱</w:t>
            </w:r>
          </w:p>
        </w:tc>
        <w:tc>
          <w:tcPr>
            <w:tcW w:w="2496" w:type="dxa"/>
            <w:noWrap/>
            <w:vAlign w:val="center"/>
          </w:tcPr>
          <w:p>
            <w:pPr>
              <w:spacing w:beforeLines="20" w:afterLines="20"/>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3" w:type="dxa"/>
            <w:vMerge w:val="restart"/>
            <w:noWrap/>
            <w:vAlign w:val="center"/>
          </w:tcPr>
          <w:p>
            <w:pPr>
              <w:spacing w:beforeLines="20" w:afterLines="2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w:t>
            </w:r>
          </w:p>
          <w:p>
            <w:pPr>
              <w:spacing w:beforeLines="20" w:afterLines="2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服务</w:t>
            </w:r>
          </w:p>
        </w:tc>
        <w:tc>
          <w:tcPr>
            <w:tcW w:w="1430" w:type="dxa"/>
            <w:noWrap/>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医疗服务基本情况</w:t>
            </w:r>
          </w:p>
        </w:tc>
        <w:tc>
          <w:tcPr>
            <w:tcW w:w="4064" w:type="dxa"/>
            <w:noWrap/>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临床、医技科室名称、服务内容等</w:t>
            </w:r>
          </w:p>
        </w:tc>
        <w:tc>
          <w:tcPr>
            <w:tcW w:w="2496" w:type="dxa"/>
            <w:noWrap/>
            <w:vAlign w:val="center"/>
          </w:tcPr>
          <w:p>
            <w:pPr>
              <w:spacing w:beforeLines="20" w:afterLines="20"/>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3" w:type="dxa"/>
            <w:vMerge w:val="continue"/>
            <w:noWrap/>
            <w:vAlign w:val="center"/>
          </w:tcPr>
          <w:p>
            <w:pPr>
              <w:spacing w:beforeLines="20" w:afterLines="20"/>
              <w:jc w:val="center"/>
              <w:rPr>
                <w:rFonts w:ascii="仿宋_GB2312" w:hAnsi="仿宋_GB2312" w:eastAsia="仿宋_GB2312" w:cs="仿宋_GB2312"/>
                <w:bCs/>
                <w:sz w:val="24"/>
                <w:szCs w:val="24"/>
              </w:rPr>
            </w:pPr>
          </w:p>
        </w:tc>
        <w:tc>
          <w:tcPr>
            <w:tcW w:w="1430" w:type="dxa"/>
            <w:noWrap/>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专科、专业门诊安排</w:t>
            </w:r>
          </w:p>
        </w:tc>
        <w:tc>
          <w:tcPr>
            <w:tcW w:w="4064" w:type="dxa"/>
            <w:noWrap/>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专科、专业门诊服务内容、特色；出诊专家姓名、专长及出诊时间</w:t>
            </w:r>
          </w:p>
        </w:tc>
        <w:tc>
          <w:tcPr>
            <w:tcW w:w="2496" w:type="dxa"/>
            <w:noWrap/>
            <w:vAlign w:val="center"/>
          </w:tcPr>
          <w:p>
            <w:pPr>
              <w:spacing w:beforeLines="20" w:afterLines="20"/>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3" w:type="dxa"/>
            <w:vMerge w:val="continue"/>
            <w:noWrap/>
            <w:vAlign w:val="center"/>
          </w:tcPr>
          <w:p>
            <w:pPr>
              <w:spacing w:beforeLines="20" w:afterLines="20"/>
              <w:jc w:val="center"/>
              <w:rPr>
                <w:rFonts w:ascii="仿宋_GB2312" w:hAnsi="仿宋_GB2312" w:eastAsia="仿宋_GB2312" w:cs="仿宋_GB2312"/>
                <w:bCs/>
                <w:sz w:val="24"/>
                <w:szCs w:val="24"/>
              </w:rPr>
            </w:pPr>
          </w:p>
        </w:tc>
        <w:tc>
          <w:tcPr>
            <w:tcW w:w="1430" w:type="dxa"/>
            <w:noWrap/>
            <w:vAlign w:val="center"/>
          </w:tcPr>
          <w:p>
            <w:pPr>
              <w:ind w:right="-180" w:rightChars="-82"/>
              <w:rPr>
                <w:rFonts w:ascii="仿宋_GB2312" w:hAnsi="仿宋_GB2312" w:eastAsia="仿宋_GB2312" w:cs="仿宋_GB2312"/>
                <w:bCs/>
                <w:sz w:val="24"/>
                <w:szCs w:val="24"/>
              </w:rPr>
            </w:pPr>
            <w:r>
              <w:rPr>
                <w:rFonts w:hint="eastAsia" w:ascii="仿宋_GB2312" w:hAnsi="仿宋_GB2312" w:eastAsia="仿宋_GB2312" w:cs="仿宋_GB2312"/>
                <w:bCs/>
                <w:spacing w:val="-12"/>
                <w:sz w:val="24"/>
                <w:szCs w:val="24"/>
              </w:rPr>
              <w:t>医院服务时间</w:t>
            </w:r>
          </w:p>
        </w:tc>
        <w:tc>
          <w:tcPr>
            <w:tcW w:w="4064" w:type="dxa"/>
            <w:noWrap/>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门诊、急诊服务时间（含节假日），办理入出院时间，住院查房时间、探视时间</w:t>
            </w:r>
          </w:p>
        </w:tc>
        <w:tc>
          <w:tcPr>
            <w:tcW w:w="2496" w:type="dxa"/>
            <w:noWrap/>
            <w:vAlign w:val="center"/>
          </w:tcPr>
          <w:p>
            <w:pPr>
              <w:spacing w:beforeLines="20" w:afterLines="20"/>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3" w:type="dxa"/>
            <w:vMerge w:val="continue"/>
            <w:noWrap/>
            <w:vAlign w:val="center"/>
          </w:tcPr>
          <w:p>
            <w:pPr>
              <w:spacing w:beforeLines="20" w:afterLines="20"/>
              <w:jc w:val="center"/>
              <w:rPr>
                <w:rFonts w:ascii="仿宋_GB2312" w:hAnsi="仿宋_GB2312" w:eastAsia="仿宋_GB2312" w:cs="仿宋_GB2312"/>
                <w:bCs/>
                <w:sz w:val="24"/>
                <w:szCs w:val="24"/>
              </w:rPr>
            </w:pPr>
          </w:p>
        </w:tc>
        <w:tc>
          <w:tcPr>
            <w:tcW w:w="1430" w:type="dxa"/>
            <w:noWrap/>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门、急诊服务流程</w:t>
            </w:r>
          </w:p>
        </w:tc>
        <w:tc>
          <w:tcPr>
            <w:tcW w:w="4064" w:type="dxa"/>
            <w:noWrap/>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门诊、急诊挂号，就诊、取药、交费等事项的流程与服务地点</w:t>
            </w:r>
          </w:p>
        </w:tc>
        <w:tc>
          <w:tcPr>
            <w:tcW w:w="2496" w:type="dxa"/>
            <w:noWrap/>
            <w:vAlign w:val="center"/>
          </w:tcPr>
          <w:p>
            <w:pPr>
              <w:spacing w:beforeLines="20" w:afterLines="20"/>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93" w:type="dxa"/>
            <w:vMerge w:val="continue"/>
            <w:noWrap/>
            <w:vAlign w:val="center"/>
          </w:tcPr>
          <w:p>
            <w:pPr>
              <w:spacing w:beforeLines="20" w:afterLines="20"/>
              <w:jc w:val="center"/>
              <w:rPr>
                <w:rFonts w:ascii="仿宋_GB2312" w:hAnsi="仿宋_GB2312" w:eastAsia="仿宋_GB2312" w:cs="仿宋_GB2312"/>
                <w:bCs/>
                <w:sz w:val="24"/>
                <w:szCs w:val="24"/>
              </w:rPr>
            </w:pPr>
          </w:p>
        </w:tc>
        <w:tc>
          <w:tcPr>
            <w:tcW w:w="1430" w:type="dxa"/>
            <w:noWrap/>
            <w:vAlign w:val="center"/>
          </w:tcPr>
          <w:p>
            <w:pPr>
              <w:ind w:right="-180" w:rightChars="-82"/>
              <w:rPr>
                <w:rFonts w:ascii="仿宋_GB2312" w:hAnsi="仿宋_GB2312" w:eastAsia="仿宋_GB2312" w:cs="仿宋_GB2312"/>
                <w:bCs/>
                <w:spacing w:val="-12"/>
                <w:sz w:val="24"/>
                <w:szCs w:val="24"/>
              </w:rPr>
            </w:pPr>
            <w:r>
              <w:rPr>
                <w:rFonts w:hint="eastAsia" w:ascii="仿宋_GB2312" w:hAnsi="仿宋_GB2312" w:eastAsia="仿宋_GB2312" w:cs="仿宋_GB2312"/>
                <w:bCs/>
                <w:spacing w:val="-12"/>
                <w:sz w:val="24"/>
                <w:szCs w:val="24"/>
              </w:rPr>
              <w:t>预约挂号方式</w:t>
            </w:r>
          </w:p>
        </w:tc>
        <w:tc>
          <w:tcPr>
            <w:tcW w:w="4064" w:type="dxa"/>
            <w:noWrap/>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sz w:val="24"/>
                <w:szCs w:val="24"/>
              </w:rPr>
              <w:t>预约挂号的时间、流程与方法</w:t>
            </w:r>
          </w:p>
        </w:tc>
        <w:tc>
          <w:tcPr>
            <w:tcW w:w="2496" w:type="dxa"/>
            <w:noWrap/>
            <w:vAlign w:val="center"/>
          </w:tcPr>
          <w:p>
            <w:pPr>
              <w:spacing w:beforeLines="20" w:afterLines="20"/>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93" w:type="dxa"/>
            <w:vMerge w:val="continue"/>
            <w:noWrap/>
            <w:vAlign w:val="center"/>
          </w:tcPr>
          <w:p>
            <w:pPr>
              <w:spacing w:beforeLines="20" w:afterLines="20"/>
              <w:jc w:val="center"/>
              <w:rPr>
                <w:rFonts w:ascii="仿宋_GB2312" w:hAnsi="仿宋_GB2312" w:eastAsia="仿宋_GB2312" w:cs="仿宋_GB2312"/>
                <w:bCs/>
                <w:sz w:val="24"/>
                <w:szCs w:val="24"/>
              </w:rPr>
            </w:pPr>
          </w:p>
        </w:tc>
        <w:tc>
          <w:tcPr>
            <w:tcW w:w="1430" w:type="dxa"/>
            <w:noWrap/>
            <w:vAlign w:val="center"/>
          </w:tcPr>
          <w:p>
            <w:pPr>
              <w:ind w:right="-180" w:rightChars="-82"/>
              <w:rPr>
                <w:rFonts w:ascii="仿宋_GB2312" w:hAnsi="仿宋_GB2312" w:eastAsia="仿宋_GB2312" w:cs="仿宋_GB2312"/>
                <w:bCs/>
                <w:spacing w:val="-12"/>
                <w:sz w:val="24"/>
                <w:szCs w:val="24"/>
              </w:rPr>
            </w:pPr>
            <w:r>
              <w:rPr>
                <w:rFonts w:hint="eastAsia" w:ascii="仿宋_GB2312" w:hAnsi="仿宋_GB2312" w:eastAsia="仿宋_GB2312" w:cs="仿宋_GB2312"/>
                <w:bCs/>
                <w:spacing w:val="-12"/>
                <w:sz w:val="24"/>
                <w:szCs w:val="24"/>
              </w:rPr>
              <w:t>住院服务流程</w:t>
            </w:r>
          </w:p>
        </w:tc>
        <w:tc>
          <w:tcPr>
            <w:tcW w:w="4064" w:type="dxa"/>
            <w:noWrap/>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sz w:val="24"/>
                <w:szCs w:val="24"/>
              </w:rPr>
              <w:t>留观、入院、出院、转科、转院等的服务流程</w:t>
            </w:r>
          </w:p>
        </w:tc>
        <w:tc>
          <w:tcPr>
            <w:tcW w:w="2496" w:type="dxa"/>
            <w:noWrap/>
            <w:vAlign w:val="center"/>
          </w:tcPr>
          <w:p>
            <w:pPr>
              <w:spacing w:beforeLines="20" w:afterLines="20"/>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3" w:type="dxa"/>
            <w:vMerge w:val="continue"/>
            <w:noWrap/>
            <w:vAlign w:val="center"/>
          </w:tcPr>
          <w:p>
            <w:pPr>
              <w:spacing w:beforeLines="20" w:afterLines="20"/>
              <w:jc w:val="center"/>
              <w:rPr>
                <w:rFonts w:ascii="仿宋_GB2312" w:hAnsi="仿宋_GB2312" w:eastAsia="仿宋_GB2312" w:cs="仿宋_GB2312"/>
                <w:bCs/>
                <w:sz w:val="24"/>
                <w:szCs w:val="24"/>
              </w:rPr>
            </w:pPr>
          </w:p>
        </w:tc>
        <w:tc>
          <w:tcPr>
            <w:tcW w:w="1430" w:type="dxa"/>
            <w:noWrap/>
            <w:vAlign w:val="center"/>
          </w:tcPr>
          <w:p>
            <w:pPr>
              <w:ind w:right="-180" w:rightChars="-82"/>
              <w:rPr>
                <w:rFonts w:ascii="仿宋_GB2312" w:hAnsi="仿宋_GB2312" w:eastAsia="仿宋_GB2312" w:cs="仿宋_GB2312"/>
                <w:bCs/>
                <w:spacing w:val="-12"/>
                <w:sz w:val="24"/>
                <w:szCs w:val="24"/>
              </w:rPr>
            </w:pPr>
            <w:r>
              <w:rPr>
                <w:rFonts w:hint="eastAsia" w:ascii="仿宋_GB2312" w:hAnsi="仿宋_GB2312" w:eastAsia="仿宋_GB2312" w:cs="仿宋_GB2312"/>
                <w:bCs/>
                <w:spacing w:val="-12"/>
                <w:sz w:val="24"/>
                <w:szCs w:val="24"/>
              </w:rPr>
              <w:t>特需服务项目</w:t>
            </w:r>
          </w:p>
        </w:tc>
        <w:tc>
          <w:tcPr>
            <w:tcW w:w="4064" w:type="dxa"/>
            <w:noWrap/>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特需服务的项目和内容</w:t>
            </w:r>
          </w:p>
        </w:tc>
        <w:tc>
          <w:tcPr>
            <w:tcW w:w="2496" w:type="dxa"/>
            <w:noWrap/>
            <w:vAlign w:val="center"/>
          </w:tcPr>
          <w:p>
            <w:pPr>
              <w:spacing w:beforeLines="20" w:afterLines="20"/>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93" w:type="dxa"/>
            <w:vMerge w:val="continue"/>
            <w:noWrap/>
            <w:vAlign w:val="center"/>
          </w:tcPr>
          <w:p>
            <w:pPr>
              <w:spacing w:beforeLines="20" w:afterLines="20"/>
              <w:jc w:val="center"/>
              <w:rPr>
                <w:rFonts w:ascii="仿宋_GB2312" w:hAnsi="仿宋_GB2312" w:eastAsia="仿宋_GB2312" w:cs="仿宋_GB2312"/>
                <w:bCs/>
                <w:sz w:val="24"/>
                <w:szCs w:val="24"/>
              </w:rPr>
            </w:pPr>
          </w:p>
        </w:tc>
        <w:tc>
          <w:tcPr>
            <w:tcW w:w="1430" w:type="dxa"/>
            <w:noWrap/>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特殊人群优先措施</w:t>
            </w:r>
          </w:p>
        </w:tc>
        <w:tc>
          <w:tcPr>
            <w:tcW w:w="4064" w:type="dxa"/>
            <w:noWrap/>
            <w:vAlign w:val="center"/>
          </w:tcPr>
          <w:p>
            <w:pPr>
              <w:rPr>
                <w:rFonts w:ascii="仿宋_GB2312" w:hAnsi="仿宋_GB2312" w:eastAsia="仿宋_GB2312" w:cs="仿宋_GB2312"/>
                <w:bCs/>
                <w:spacing w:val="-14"/>
                <w:sz w:val="24"/>
                <w:szCs w:val="24"/>
              </w:rPr>
            </w:pPr>
            <w:r>
              <w:rPr>
                <w:rFonts w:hint="eastAsia" w:ascii="仿宋_GB2312" w:hAnsi="仿宋_GB2312" w:eastAsia="仿宋_GB2312" w:cs="仿宋_GB2312"/>
                <w:bCs/>
                <w:spacing w:val="-14"/>
                <w:sz w:val="24"/>
                <w:szCs w:val="24"/>
              </w:rPr>
              <w:t>对老年人等在内的特殊人群服务优先措施</w:t>
            </w:r>
          </w:p>
        </w:tc>
        <w:tc>
          <w:tcPr>
            <w:tcW w:w="2496" w:type="dxa"/>
            <w:noWrap/>
            <w:vAlign w:val="center"/>
          </w:tcPr>
          <w:p>
            <w:pPr>
              <w:spacing w:beforeLines="20" w:afterLines="20"/>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3" w:type="dxa"/>
            <w:vMerge w:val="continue"/>
            <w:noWrap/>
            <w:vAlign w:val="center"/>
          </w:tcPr>
          <w:p>
            <w:pPr>
              <w:spacing w:beforeLines="20" w:afterLines="20"/>
              <w:jc w:val="center"/>
              <w:rPr>
                <w:rFonts w:ascii="仿宋_GB2312" w:hAnsi="仿宋_GB2312" w:eastAsia="仿宋_GB2312" w:cs="仿宋_GB2312"/>
                <w:bCs/>
                <w:sz w:val="24"/>
                <w:szCs w:val="24"/>
              </w:rPr>
            </w:pPr>
          </w:p>
        </w:tc>
        <w:tc>
          <w:tcPr>
            <w:tcW w:w="1430" w:type="dxa"/>
            <w:noWrap/>
            <w:vAlign w:val="center"/>
          </w:tcPr>
          <w:p>
            <w:pPr>
              <w:spacing w:beforeLines="20" w:afterLines="20"/>
              <w:ind w:right="-180" w:rightChars="-82"/>
              <w:rPr>
                <w:rFonts w:ascii="仿宋_GB2312" w:hAnsi="仿宋_GB2312" w:eastAsia="仿宋_GB2312" w:cs="仿宋_GB2312"/>
                <w:bCs/>
                <w:sz w:val="24"/>
                <w:szCs w:val="24"/>
              </w:rPr>
            </w:pPr>
            <w:r>
              <w:rPr>
                <w:rFonts w:hint="eastAsia" w:ascii="仿宋_GB2312" w:hAnsi="仿宋_GB2312" w:eastAsia="仿宋_GB2312" w:cs="仿宋_GB2312"/>
                <w:bCs/>
                <w:spacing w:val="-12"/>
                <w:sz w:val="24"/>
                <w:szCs w:val="24"/>
              </w:rPr>
              <w:t>门诊咨询服务</w:t>
            </w:r>
          </w:p>
        </w:tc>
        <w:tc>
          <w:tcPr>
            <w:tcW w:w="4064" w:type="dxa"/>
            <w:noWrap/>
            <w:vAlign w:val="center"/>
          </w:tcPr>
          <w:p>
            <w:pPr>
              <w:spacing w:beforeLines="20" w:afterLines="2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提供咨询服务的场所和方式</w:t>
            </w:r>
          </w:p>
        </w:tc>
        <w:tc>
          <w:tcPr>
            <w:tcW w:w="2496" w:type="dxa"/>
            <w:noWrap/>
            <w:vAlign w:val="center"/>
          </w:tcPr>
          <w:p>
            <w:pPr>
              <w:spacing w:beforeLines="20" w:afterLines="20"/>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3" w:type="dxa"/>
            <w:vMerge w:val="continue"/>
            <w:noWrap/>
            <w:vAlign w:val="center"/>
          </w:tcPr>
          <w:p>
            <w:pPr>
              <w:spacing w:beforeLines="20" w:afterLines="20"/>
              <w:jc w:val="center"/>
              <w:rPr>
                <w:rFonts w:ascii="仿宋_GB2312" w:hAnsi="仿宋_GB2312" w:eastAsia="仿宋_GB2312" w:cs="仿宋_GB2312"/>
                <w:bCs/>
                <w:sz w:val="24"/>
                <w:szCs w:val="24"/>
              </w:rPr>
            </w:pPr>
          </w:p>
        </w:tc>
        <w:tc>
          <w:tcPr>
            <w:tcW w:w="1430" w:type="dxa"/>
            <w:noWrap/>
            <w:vAlign w:val="center"/>
          </w:tcPr>
          <w:p>
            <w:pPr>
              <w:spacing w:beforeLines="20" w:afterLines="2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健康教育咨询服务</w:t>
            </w:r>
          </w:p>
        </w:tc>
        <w:tc>
          <w:tcPr>
            <w:tcW w:w="4064" w:type="dxa"/>
            <w:noWrap/>
            <w:vAlign w:val="center"/>
          </w:tcPr>
          <w:p>
            <w:pPr>
              <w:spacing w:beforeLines="20" w:afterLines="2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提供常见疾病健康教育、合理用药咨询服务的时间、地点</w:t>
            </w:r>
          </w:p>
        </w:tc>
        <w:tc>
          <w:tcPr>
            <w:tcW w:w="2496" w:type="dxa"/>
            <w:noWrap/>
            <w:vAlign w:val="center"/>
          </w:tcPr>
          <w:p>
            <w:pPr>
              <w:spacing w:beforeLines="20" w:afterLines="20"/>
              <w:rPr>
                <w:rFonts w:ascii="仿宋_GB2312" w:hAnsi="仿宋_GB2312" w:eastAsia="仿宋_GB2312" w:cs="仿宋_GB2312"/>
                <w:bCs/>
                <w:sz w:val="24"/>
                <w:szCs w:val="24"/>
              </w:rPr>
            </w:pPr>
          </w:p>
        </w:tc>
      </w:tr>
    </w:tbl>
    <w:p>
      <w:pPr>
        <w:pStyle w:val="10"/>
        <w:widowControl w:val="0"/>
        <w:numPr>
          <w:ilvl w:val="0"/>
          <w:numId w:val="9"/>
        </w:numPr>
        <w:spacing w:line="560" w:lineRule="exact"/>
        <w:ind w:firstLine="640"/>
        <w:jc w:val="both"/>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请</w:t>
      </w:r>
      <w:r>
        <w:rPr>
          <w:rFonts w:ascii="Times New Roman" w:hAnsi="Times New Roman" w:eastAsia="仿宋_GB2312" w:cs="Times New Roman"/>
          <w:spacing w:val="-6"/>
          <w:sz w:val="32"/>
          <w:szCs w:val="32"/>
        </w:rPr>
        <w:t>县交通运输局提供县属公共交通企业（淄博市公共汽车公司沂源分公司）信息公开情况，公开情况计入县交通运输局考核成绩。（须于12月25日前报县大数据发展服务中心汇总报市）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98"/>
        <w:gridCol w:w="3973"/>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2345" w:type="dxa"/>
            <w:gridSpan w:val="2"/>
            <w:noWrap/>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公共交通企业名称</w:t>
            </w:r>
          </w:p>
        </w:tc>
        <w:tc>
          <w:tcPr>
            <w:tcW w:w="6603" w:type="dxa"/>
            <w:gridSpan w:val="2"/>
            <w:noWrap/>
            <w:vAlign w:val="center"/>
          </w:tcPr>
          <w:p>
            <w:pPr>
              <w:jc w:val="center"/>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2345" w:type="dxa"/>
            <w:gridSpan w:val="2"/>
            <w:noWrap/>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公共交通企业地址</w:t>
            </w:r>
          </w:p>
        </w:tc>
        <w:tc>
          <w:tcPr>
            <w:tcW w:w="6603" w:type="dxa"/>
            <w:gridSpan w:val="2"/>
            <w:noWrap/>
            <w:vAlign w:val="center"/>
          </w:tcPr>
          <w:p>
            <w:pPr>
              <w:jc w:val="center"/>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blHeader/>
          <w:jc w:val="center"/>
        </w:trPr>
        <w:tc>
          <w:tcPr>
            <w:tcW w:w="647" w:type="dxa"/>
            <w:noWrap/>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类别</w:t>
            </w:r>
          </w:p>
        </w:tc>
        <w:tc>
          <w:tcPr>
            <w:tcW w:w="1698" w:type="dxa"/>
            <w:noWrap/>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信息名称</w:t>
            </w:r>
          </w:p>
        </w:tc>
        <w:tc>
          <w:tcPr>
            <w:tcW w:w="3973" w:type="dxa"/>
            <w:noWrap/>
            <w:vAlign w:val="center"/>
          </w:tcPr>
          <w:p>
            <w:pPr>
              <w:jc w:val="center"/>
              <w:rPr>
                <w:rFonts w:ascii="黑体" w:hAnsi="黑体" w:eastAsia="黑体"/>
                <w:bCs/>
                <w:sz w:val="24"/>
                <w:szCs w:val="24"/>
              </w:rPr>
            </w:pPr>
            <w:r>
              <w:rPr>
                <w:rFonts w:hint="eastAsia" w:ascii="黑体" w:hAnsi="黑体" w:eastAsia="黑体"/>
                <w:bCs/>
                <w:sz w:val="24"/>
                <w:szCs w:val="24"/>
              </w:rPr>
              <w:t>公开内容</w:t>
            </w:r>
          </w:p>
        </w:tc>
        <w:tc>
          <w:tcPr>
            <w:tcW w:w="2630" w:type="dxa"/>
            <w:noWrap/>
            <w:vAlign w:val="center"/>
          </w:tcPr>
          <w:p>
            <w:pPr>
              <w:jc w:val="center"/>
              <w:rPr>
                <w:rFonts w:ascii="黑体" w:hAnsi="黑体" w:eastAsia="黑体"/>
                <w:bCs/>
                <w:sz w:val="24"/>
                <w:szCs w:val="24"/>
              </w:rPr>
            </w:pPr>
            <w:r>
              <w:rPr>
                <w:rFonts w:hint="eastAsia" w:ascii="黑体" w:hAnsi="黑体" w:eastAsia="黑体"/>
                <w:bCs/>
                <w:sz w:val="24"/>
                <w:szCs w:val="24"/>
              </w:rPr>
              <w:t>公开网址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647" w:type="dxa"/>
            <w:vMerge w:val="restar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公共交通行业</w:t>
            </w:r>
          </w:p>
        </w:tc>
        <w:tc>
          <w:tcPr>
            <w:tcW w:w="1698" w:type="dxa"/>
            <w:vMerge w:val="restar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基本</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信息</w:t>
            </w:r>
          </w:p>
        </w:tc>
        <w:tc>
          <w:tcPr>
            <w:tcW w:w="3973" w:type="dxa"/>
            <w:noWrap/>
            <w:vAlign w:val="center"/>
          </w:tcPr>
          <w:p>
            <w:pPr>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单位简介</w:t>
            </w:r>
          </w:p>
        </w:tc>
        <w:tc>
          <w:tcPr>
            <w:tcW w:w="2630" w:type="dxa"/>
            <w:noWrap/>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647" w:type="dxa"/>
            <w:vMerge w:val="continue"/>
            <w:noWrap/>
            <w:vAlign w:val="center"/>
          </w:tcPr>
          <w:p>
            <w:pPr>
              <w:jc w:val="center"/>
              <w:rPr>
                <w:rFonts w:ascii="仿宋_GB2312" w:hAnsi="仿宋_GB2312" w:eastAsia="仿宋_GB2312" w:cs="仿宋_GB2312"/>
                <w:sz w:val="24"/>
                <w:szCs w:val="24"/>
              </w:rPr>
            </w:pPr>
          </w:p>
        </w:tc>
        <w:tc>
          <w:tcPr>
            <w:tcW w:w="1698" w:type="dxa"/>
            <w:vMerge w:val="continue"/>
            <w:noWrap/>
            <w:vAlign w:val="center"/>
          </w:tcPr>
          <w:p>
            <w:pPr>
              <w:jc w:val="center"/>
              <w:rPr>
                <w:rFonts w:ascii="仿宋_GB2312" w:hAnsi="仿宋_GB2312" w:eastAsia="仿宋_GB2312" w:cs="仿宋_GB2312"/>
                <w:sz w:val="24"/>
                <w:szCs w:val="24"/>
              </w:rPr>
            </w:pPr>
          </w:p>
        </w:tc>
        <w:tc>
          <w:tcPr>
            <w:tcW w:w="3973" w:type="dxa"/>
            <w:noWrap/>
            <w:vAlign w:val="center"/>
          </w:tcPr>
          <w:p>
            <w:pPr>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领导分工</w:t>
            </w:r>
          </w:p>
        </w:tc>
        <w:tc>
          <w:tcPr>
            <w:tcW w:w="2630" w:type="dxa"/>
            <w:noWrap/>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647" w:type="dxa"/>
            <w:vMerge w:val="continue"/>
            <w:noWrap/>
            <w:vAlign w:val="center"/>
          </w:tcPr>
          <w:p>
            <w:pPr>
              <w:jc w:val="center"/>
              <w:rPr>
                <w:rFonts w:ascii="仿宋_GB2312" w:hAnsi="仿宋_GB2312" w:eastAsia="仿宋_GB2312" w:cs="仿宋_GB2312"/>
                <w:sz w:val="24"/>
                <w:szCs w:val="24"/>
              </w:rPr>
            </w:pPr>
          </w:p>
        </w:tc>
        <w:tc>
          <w:tcPr>
            <w:tcW w:w="1698" w:type="dxa"/>
            <w:vMerge w:val="continue"/>
            <w:noWrap/>
            <w:vAlign w:val="center"/>
          </w:tcPr>
          <w:p>
            <w:pPr>
              <w:jc w:val="center"/>
              <w:rPr>
                <w:rFonts w:ascii="仿宋_GB2312" w:hAnsi="仿宋_GB2312" w:eastAsia="仿宋_GB2312" w:cs="仿宋_GB2312"/>
                <w:sz w:val="24"/>
                <w:szCs w:val="24"/>
              </w:rPr>
            </w:pPr>
          </w:p>
        </w:tc>
        <w:tc>
          <w:tcPr>
            <w:tcW w:w="3973" w:type="dxa"/>
            <w:noWrap/>
            <w:vAlign w:val="center"/>
          </w:tcPr>
          <w:p>
            <w:pPr>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组织机构设置及职能</w:t>
            </w:r>
          </w:p>
        </w:tc>
        <w:tc>
          <w:tcPr>
            <w:tcW w:w="2630" w:type="dxa"/>
            <w:noWrap/>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647" w:type="dxa"/>
            <w:vMerge w:val="continue"/>
            <w:noWrap/>
            <w:vAlign w:val="center"/>
          </w:tcPr>
          <w:p>
            <w:pPr>
              <w:jc w:val="center"/>
              <w:rPr>
                <w:rFonts w:ascii="仿宋_GB2312" w:hAnsi="仿宋_GB2312" w:eastAsia="仿宋_GB2312" w:cs="仿宋_GB2312"/>
                <w:sz w:val="24"/>
                <w:szCs w:val="24"/>
              </w:rPr>
            </w:pPr>
          </w:p>
        </w:tc>
        <w:tc>
          <w:tcPr>
            <w:tcW w:w="1698" w:type="dxa"/>
            <w:vMerge w:val="restar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公共</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w:t>
            </w:r>
          </w:p>
        </w:tc>
        <w:tc>
          <w:tcPr>
            <w:tcW w:w="3973" w:type="dxa"/>
            <w:noWrap/>
            <w:vAlign w:val="center"/>
          </w:tcPr>
          <w:p>
            <w:pPr>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单位职能权限、服务范围、工作标准及工作人员服务规范</w:t>
            </w:r>
          </w:p>
        </w:tc>
        <w:tc>
          <w:tcPr>
            <w:tcW w:w="2630" w:type="dxa"/>
            <w:noWrap/>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647" w:type="dxa"/>
            <w:vMerge w:val="continue"/>
            <w:noWrap/>
            <w:vAlign w:val="center"/>
          </w:tcPr>
          <w:p>
            <w:pPr>
              <w:rPr>
                <w:rFonts w:ascii="仿宋_GB2312" w:hAnsi="仿宋_GB2312" w:eastAsia="仿宋_GB2312" w:cs="仿宋_GB2312"/>
                <w:sz w:val="24"/>
                <w:szCs w:val="24"/>
              </w:rPr>
            </w:pPr>
          </w:p>
        </w:tc>
        <w:tc>
          <w:tcPr>
            <w:tcW w:w="1698" w:type="dxa"/>
            <w:vMerge w:val="continue"/>
            <w:noWrap/>
            <w:vAlign w:val="center"/>
          </w:tcPr>
          <w:p>
            <w:pPr>
              <w:rPr>
                <w:rFonts w:ascii="仿宋_GB2312" w:hAnsi="仿宋_GB2312" w:eastAsia="仿宋_GB2312" w:cs="仿宋_GB2312"/>
                <w:sz w:val="24"/>
                <w:szCs w:val="24"/>
              </w:rPr>
            </w:pPr>
          </w:p>
        </w:tc>
        <w:tc>
          <w:tcPr>
            <w:tcW w:w="3973" w:type="dxa"/>
            <w:noWrap/>
            <w:vAlign w:val="center"/>
          </w:tcPr>
          <w:p>
            <w:pPr>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相关线路运营的变更、暂停情况</w:t>
            </w:r>
          </w:p>
        </w:tc>
        <w:tc>
          <w:tcPr>
            <w:tcW w:w="2630" w:type="dxa"/>
            <w:noWrap/>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647" w:type="dxa"/>
            <w:vMerge w:val="continue"/>
            <w:noWrap/>
            <w:vAlign w:val="center"/>
          </w:tcPr>
          <w:p>
            <w:pPr>
              <w:rPr>
                <w:rFonts w:ascii="仿宋_GB2312" w:hAnsi="仿宋_GB2312" w:eastAsia="仿宋_GB2312" w:cs="仿宋_GB2312"/>
                <w:sz w:val="24"/>
                <w:szCs w:val="24"/>
              </w:rPr>
            </w:pPr>
          </w:p>
        </w:tc>
        <w:tc>
          <w:tcPr>
            <w:tcW w:w="1698" w:type="dxa"/>
            <w:vMerge w:val="continue"/>
            <w:noWrap/>
            <w:vAlign w:val="center"/>
          </w:tcPr>
          <w:p>
            <w:pPr>
              <w:rPr>
                <w:rFonts w:ascii="仿宋_GB2312" w:hAnsi="仿宋_GB2312" w:eastAsia="仿宋_GB2312" w:cs="仿宋_GB2312"/>
                <w:sz w:val="24"/>
                <w:szCs w:val="24"/>
              </w:rPr>
            </w:pPr>
          </w:p>
        </w:tc>
        <w:tc>
          <w:tcPr>
            <w:tcW w:w="3973" w:type="dxa"/>
            <w:noWrap/>
            <w:vAlign w:val="center"/>
          </w:tcPr>
          <w:p>
            <w:pPr>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收费项目、依据、标准</w:t>
            </w:r>
          </w:p>
        </w:tc>
        <w:tc>
          <w:tcPr>
            <w:tcW w:w="2630" w:type="dxa"/>
            <w:noWrap/>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647" w:type="dxa"/>
            <w:vMerge w:val="continue"/>
            <w:noWrap/>
            <w:vAlign w:val="center"/>
          </w:tcPr>
          <w:p>
            <w:pPr>
              <w:rPr>
                <w:rFonts w:ascii="仿宋_GB2312" w:hAnsi="仿宋_GB2312" w:eastAsia="仿宋_GB2312" w:cs="仿宋_GB2312"/>
                <w:sz w:val="24"/>
                <w:szCs w:val="24"/>
              </w:rPr>
            </w:pPr>
          </w:p>
        </w:tc>
        <w:tc>
          <w:tcPr>
            <w:tcW w:w="1698" w:type="dxa"/>
            <w:vMerge w:val="continue"/>
            <w:noWrap/>
            <w:vAlign w:val="center"/>
          </w:tcPr>
          <w:p>
            <w:pPr>
              <w:rPr>
                <w:rFonts w:ascii="仿宋_GB2312" w:hAnsi="仿宋_GB2312" w:eastAsia="仿宋_GB2312" w:cs="仿宋_GB2312"/>
                <w:sz w:val="24"/>
                <w:szCs w:val="24"/>
              </w:rPr>
            </w:pPr>
          </w:p>
        </w:tc>
        <w:tc>
          <w:tcPr>
            <w:tcW w:w="3973" w:type="dxa"/>
            <w:noWrap/>
            <w:vAlign w:val="center"/>
          </w:tcPr>
          <w:p>
            <w:pPr>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应急抢险预案</w:t>
            </w:r>
          </w:p>
        </w:tc>
        <w:tc>
          <w:tcPr>
            <w:tcW w:w="2630" w:type="dxa"/>
            <w:noWrap/>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647" w:type="dxa"/>
            <w:vMerge w:val="continue"/>
            <w:noWrap/>
            <w:vAlign w:val="center"/>
          </w:tcPr>
          <w:p>
            <w:pPr>
              <w:rPr>
                <w:rFonts w:ascii="仿宋_GB2312" w:hAnsi="仿宋_GB2312" w:eastAsia="仿宋_GB2312" w:cs="仿宋_GB2312"/>
                <w:sz w:val="24"/>
                <w:szCs w:val="24"/>
              </w:rPr>
            </w:pPr>
          </w:p>
        </w:tc>
        <w:tc>
          <w:tcPr>
            <w:tcW w:w="1698" w:type="dxa"/>
            <w:vMerge w:val="continue"/>
            <w:noWrap/>
            <w:vAlign w:val="center"/>
          </w:tcPr>
          <w:p>
            <w:pPr>
              <w:rPr>
                <w:rFonts w:ascii="仿宋_GB2312" w:hAnsi="仿宋_GB2312" w:eastAsia="仿宋_GB2312" w:cs="仿宋_GB2312"/>
                <w:sz w:val="24"/>
                <w:szCs w:val="24"/>
              </w:rPr>
            </w:pPr>
          </w:p>
        </w:tc>
        <w:tc>
          <w:tcPr>
            <w:tcW w:w="3973" w:type="dxa"/>
            <w:noWrap/>
            <w:vAlign w:val="center"/>
          </w:tcPr>
          <w:p>
            <w:pPr>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便民服务及投诉举报电话</w:t>
            </w:r>
          </w:p>
        </w:tc>
        <w:tc>
          <w:tcPr>
            <w:tcW w:w="2630" w:type="dxa"/>
            <w:noWrap/>
            <w:vAlign w:val="center"/>
          </w:tcPr>
          <w:p>
            <w:pPr>
              <w:rPr>
                <w:rFonts w:ascii="仿宋_GB2312" w:hAnsi="仿宋_GB2312" w:eastAsia="仿宋_GB2312" w:cs="仿宋_GB2312"/>
                <w:sz w:val="24"/>
                <w:szCs w:val="24"/>
              </w:rPr>
            </w:pPr>
          </w:p>
        </w:tc>
      </w:tr>
    </w:tbl>
    <w:p>
      <w:pPr>
        <w:pStyle w:val="10"/>
        <w:widowControl w:val="0"/>
        <w:spacing w:line="56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12.请县水利局提供沂源县自来水公司信息公开情况，公开情况计入县水利局考核成绩。（须于12月25前报县大数据发展服务中心汇总报市）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702"/>
        <w:gridCol w:w="3900"/>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2222" w:type="dxa"/>
            <w:gridSpan w:val="2"/>
            <w:noWrap/>
            <w:vAlign w:val="center"/>
          </w:tcPr>
          <w:p>
            <w:pPr>
              <w:spacing w:line="280" w:lineRule="exact"/>
              <w:jc w:val="center"/>
              <w:rPr>
                <w:rFonts w:ascii="黑体" w:hAnsi="黑体" w:eastAsia="黑体"/>
                <w:bCs/>
                <w:sz w:val="24"/>
                <w:szCs w:val="24"/>
              </w:rPr>
            </w:pPr>
            <w:r>
              <w:rPr>
                <w:rFonts w:hint="eastAsia" w:ascii="黑体" w:hAnsi="黑体" w:eastAsia="黑体"/>
                <w:bCs/>
                <w:sz w:val="24"/>
                <w:szCs w:val="24"/>
              </w:rPr>
              <w:t>供水企业名称</w:t>
            </w:r>
          </w:p>
        </w:tc>
        <w:tc>
          <w:tcPr>
            <w:tcW w:w="6376" w:type="dxa"/>
            <w:gridSpan w:val="2"/>
            <w:noWrap/>
            <w:vAlign w:val="center"/>
          </w:tcPr>
          <w:p>
            <w:pPr>
              <w:spacing w:line="280" w:lineRule="exact"/>
              <w:jc w:val="center"/>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2222" w:type="dxa"/>
            <w:gridSpan w:val="2"/>
            <w:noWrap/>
            <w:vAlign w:val="center"/>
          </w:tcPr>
          <w:p>
            <w:pPr>
              <w:spacing w:line="280" w:lineRule="exact"/>
              <w:jc w:val="center"/>
              <w:rPr>
                <w:rFonts w:ascii="黑体" w:hAnsi="黑体" w:eastAsia="黑体"/>
                <w:bCs/>
                <w:sz w:val="24"/>
                <w:szCs w:val="24"/>
              </w:rPr>
            </w:pPr>
            <w:r>
              <w:rPr>
                <w:rFonts w:hint="eastAsia" w:ascii="黑体" w:hAnsi="黑体" w:eastAsia="黑体"/>
                <w:bCs/>
                <w:sz w:val="24"/>
                <w:szCs w:val="24"/>
              </w:rPr>
              <w:t>供水企业地址</w:t>
            </w:r>
          </w:p>
        </w:tc>
        <w:tc>
          <w:tcPr>
            <w:tcW w:w="6376" w:type="dxa"/>
            <w:gridSpan w:val="2"/>
            <w:noWrap/>
            <w:vAlign w:val="center"/>
          </w:tcPr>
          <w:p>
            <w:pPr>
              <w:spacing w:line="280" w:lineRule="exact"/>
              <w:jc w:val="center"/>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520" w:type="dxa"/>
            <w:noWrap/>
            <w:vAlign w:val="center"/>
          </w:tcPr>
          <w:p>
            <w:pPr>
              <w:spacing w:line="280" w:lineRule="exact"/>
              <w:jc w:val="center"/>
              <w:rPr>
                <w:rFonts w:ascii="黑体" w:hAnsi="黑体" w:eastAsia="黑体"/>
                <w:bCs/>
                <w:sz w:val="24"/>
                <w:szCs w:val="24"/>
              </w:rPr>
            </w:pPr>
            <w:r>
              <w:rPr>
                <w:rFonts w:hint="eastAsia" w:ascii="黑体" w:hAnsi="黑体" w:eastAsia="黑体"/>
                <w:bCs/>
                <w:sz w:val="24"/>
                <w:szCs w:val="24"/>
              </w:rPr>
              <w:t>类别</w:t>
            </w:r>
          </w:p>
        </w:tc>
        <w:tc>
          <w:tcPr>
            <w:tcW w:w="1702" w:type="dxa"/>
            <w:noWrap/>
            <w:vAlign w:val="center"/>
          </w:tcPr>
          <w:p>
            <w:pPr>
              <w:spacing w:line="280" w:lineRule="exact"/>
              <w:ind w:firstLine="240" w:firstLineChars="100"/>
              <w:jc w:val="both"/>
              <w:rPr>
                <w:rFonts w:ascii="黑体" w:hAnsi="黑体" w:eastAsia="黑体"/>
                <w:bCs/>
                <w:sz w:val="24"/>
                <w:szCs w:val="24"/>
              </w:rPr>
            </w:pPr>
            <w:r>
              <w:rPr>
                <w:rFonts w:hint="eastAsia" w:ascii="黑体" w:hAnsi="黑体" w:eastAsia="黑体"/>
                <w:bCs/>
                <w:sz w:val="24"/>
                <w:szCs w:val="24"/>
              </w:rPr>
              <w:t>信息名称</w:t>
            </w:r>
          </w:p>
        </w:tc>
        <w:tc>
          <w:tcPr>
            <w:tcW w:w="3900" w:type="dxa"/>
            <w:noWrap/>
            <w:vAlign w:val="center"/>
          </w:tcPr>
          <w:p>
            <w:pPr>
              <w:spacing w:line="280" w:lineRule="exact"/>
              <w:jc w:val="center"/>
              <w:rPr>
                <w:rFonts w:ascii="黑体" w:hAnsi="黑体" w:eastAsia="黑体"/>
                <w:bCs/>
                <w:sz w:val="24"/>
                <w:szCs w:val="24"/>
              </w:rPr>
            </w:pPr>
            <w:r>
              <w:rPr>
                <w:rFonts w:hint="eastAsia" w:ascii="黑体" w:hAnsi="黑体" w:eastAsia="黑体"/>
                <w:bCs/>
                <w:sz w:val="24"/>
                <w:szCs w:val="24"/>
              </w:rPr>
              <w:t>公开内容</w:t>
            </w:r>
          </w:p>
        </w:tc>
        <w:tc>
          <w:tcPr>
            <w:tcW w:w="2476" w:type="dxa"/>
            <w:noWrap/>
            <w:vAlign w:val="center"/>
          </w:tcPr>
          <w:p>
            <w:pPr>
              <w:spacing w:line="280" w:lineRule="exact"/>
              <w:jc w:val="center"/>
              <w:rPr>
                <w:rFonts w:ascii="黑体" w:hAnsi="黑体" w:eastAsia="黑体"/>
                <w:bCs/>
                <w:sz w:val="24"/>
                <w:szCs w:val="24"/>
              </w:rPr>
            </w:pPr>
            <w:r>
              <w:rPr>
                <w:rFonts w:hint="eastAsia" w:ascii="黑体" w:hAnsi="黑体" w:eastAsia="黑体"/>
                <w:bCs/>
                <w:sz w:val="24"/>
                <w:szCs w:val="24"/>
              </w:rPr>
              <w:t>公开网址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0" w:type="dxa"/>
            <w:vMerge w:val="restart"/>
            <w:noWrap/>
            <w:vAlign w:val="center"/>
          </w:tcPr>
          <w:p>
            <w:pPr>
              <w:spacing w:line="28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供水行业</w:t>
            </w:r>
          </w:p>
        </w:tc>
        <w:tc>
          <w:tcPr>
            <w:tcW w:w="1702" w:type="dxa"/>
            <w:vMerge w:val="restart"/>
            <w:noWrap/>
            <w:vAlign w:val="center"/>
          </w:tcPr>
          <w:p>
            <w:pPr>
              <w:spacing w:line="28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基本</w:t>
            </w:r>
          </w:p>
          <w:p>
            <w:pPr>
              <w:spacing w:line="28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信息</w:t>
            </w:r>
          </w:p>
        </w:tc>
        <w:tc>
          <w:tcPr>
            <w:tcW w:w="3900" w:type="dxa"/>
            <w:noWrap/>
            <w:vAlign w:val="center"/>
          </w:tcPr>
          <w:p>
            <w:pPr>
              <w:spacing w:line="28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单位简介</w:t>
            </w:r>
          </w:p>
        </w:tc>
        <w:tc>
          <w:tcPr>
            <w:tcW w:w="2476" w:type="dxa"/>
            <w:noWrap/>
            <w:vAlign w:val="center"/>
          </w:tcPr>
          <w:p>
            <w:pPr>
              <w:spacing w:line="280" w:lineRule="exac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0" w:type="dxa"/>
            <w:vMerge w:val="continue"/>
            <w:noWrap/>
            <w:vAlign w:val="center"/>
          </w:tcPr>
          <w:p>
            <w:pPr>
              <w:spacing w:line="280" w:lineRule="exact"/>
              <w:rPr>
                <w:rFonts w:ascii="仿宋_GB2312" w:hAnsi="仿宋_GB2312" w:eastAsia="仿宋_GB2312" w:cs="仿宋_GB2312"/>
                <w:bCs/>
                <w:sz w:val="24"/>
                <w:szCs w:val="24"/>
              </w:rPr>
            </w:pPr>
          </w:p>
        </w:tc>
        <w:tc>
          <w:tcPr>
            <w:tcW w:w="1702" w:type="dxa"/>
            <w:vMerge w:val="continue"/>
            <w:noWrap/>
            <w:vAlign w:val="center"/>
          </w:tcPr>
          <w:p>
            <w:pPr>
              <w:spacing w:line="280" w:lineRule="exact"/>
              <w:jc w:val="center"/>
              <w:rPr>
                <w:rFonts w:ascii="仿宋_GB2312" w:hAnsi="仿宋_GB2312" w:eastAsia="仿宋_GB2312" w:cs="仿宋_GB2312"/>
                <w:bCs/>
                <w:sz w:val="24"/>
                <w:szCs w:val="24"/>
              </w:rPr>
            </w:pPr>
          </w:p>
        </w:tc>
        <w:tc>
          <w:tcPr>
            <w:tcW w:w="3900" w:type="dxa"/>
            <w:noWrap/>
            <w:vAlign w:val="center"/>
          </w:tcPr>
          <w:p>
            <w:pPr>
              <w:spacing w:line="28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领导分工</w:t>
            </w:r>
          </w:p>
        </w:tc>
        <w:tc>
          <w:tcPr>
            <w:tcW w:w="2476" w:type="dxa"/>
            <w:noWrap/>
            <w:vAlign w:val="center"/>
          </w:tcPr>
          <w:p>
            <w:pPr>
              <w:spacing w:line="280" w:lineRule="exac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0" w:type="dxa"/>
            <w:vMerge w:val="continue"/>
            <w:noWrap/>
            <w:vAlign w:val="center"/>
          </w:tcPr>
          <w:p>
            <w:pPr>
              <w:spacing w:line="280" w:lineRule="exact"/>
              <w:rPr>
                <w:rFonts w:ascii="仿宋_GB2312" w:hAnsi="仿宋_GB2312" w:eastAsia="仿宋_GB2312" w:cs="仿宋_GB2312"/>
                <w:bCs/>
                <w:sz w:val="24"/>
                <w:szCs w:val="24"/>
              </w:rPr>
            </w:pPr>
          </w:p>
        </w:tc>
        <w:tc>
          <w:tcPr>
            <w:tcW w:w="1702" w:type="dxa"/>
            <w:vMerge w:val="continue"/>
            <w:noWrap/>
            <w:vAlign w:val="center"/>
          </w:tcPr>
          <w:p>
            <w:pPr>
              <w:spacing w:line="280" w:lineRule="exact"/>
              <w:jc w:val="center"/>
              <w:rPr>
                <w:rFonts w:ascii="仿宋_GB2312" w:hAnsi="仿宋_GB2312" w:eastAsia="仿宋_GB2312" w:cs="仿宋_GB2312"/>
                <w:bCs/>
                <w:sz w:val="24"/>
                <w:szCs w:val="24"/>
              </w:rPr>
            </w:pPr>
          </w:p>
        </w:tc>
        <w:tc>
          <w:tcPr>
            <w:tcW w:w="3900" w:type="dxa"/>
            <w:noWrap/>
            <w:vAlign w:val="center"/>
          </w:tcPr>
          <w:p>
            <w:pPr>
              <w:spacing w:line="28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组织机构设置及职能</w:t>
            </w:r>
          </w:p>
        </w:tc>
        <w:tc>
          <w:tcPr>
            <w:tcW w:w="2476" w:type="dxa"/>
            <w:noWrap/>
            <w:vAlign w:val="center"/>
          </w:tcPr>
          <w:p>
            <w:pPr>
              <w:spacing w:line="280" w:lineRule="exac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0" w:type="dxa"/>
            <w:vMerge w:val="continue"/>
            <w:noWrap/>
            <w:vAlign w:val="center"/>
          </w:tcPr>
          <w:p>
            <w:pPr>
              <w:spacing w:line="280" w:lineRule="exact"/>
              <w:rPr>
                <w:rFonts w:ascii="仿宋_GB2312" w:hAnsi="仿宋_GB2312" w:eastAsia="仿宋_GB2312" w:cs="仿宋_GB2312"/>
                <w:bCs/>
                <w:sz w:val="24"/>
                <w:szCs w:val="24"/>
              </w:rPr>
            </w:pPr>
          </w:p>
        </w:tc>
        <w:tc>
          <w:tcPr>
            <w:tcW w:w="1702" w:type="dxa"/>
            <w:vMerge w:val="restart"/>
            <w:noWrap/>
            <w:vAlign w:val="center"/>
          </w:tcPr>
          <w:p>
            <w:pPr>
              <w:spacing w:line="28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公共</w:t>
            </w:r>
          </w:p>
          <w:p>
            <w:pPr>
              <w:spacing w:line="28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服务</w:t>
            </w:r>
          </w:p>
        </w:tc>
        <w:tc>
          <w:tcPr>
            <w:tcW w:w="3900" w:type="dxa"/>
            <w:noWrap/>
            <w:vAlign w:val="center"/>
          </w:tcPr>
          <w:p>
            <w:pPr>
              <w:spacing w:line="28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供水销售价格，维修及相关服务价格标准，有关收费依据</w:t>
            </w:r>
          </w:p>
        </w:tc>
        <w:tc>
          <w:tcPr>
            <w:tcW w:w="2476" w:type="dxa"/>
            <w:noWrap/>
            <w:vAlign w:val="center"/>
          </w:tcPr>
          <w:p>
            <w:pPr>
              <w:spacing w:line="280" w:lineRule="exac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0" w:type="dxa"/>
            <w:vMerge w:val="continue"/>
            <w:noWrap/>
            <w:vAlign w:val="center"/>
          </w:tcPr>
          <w:p>
            <w:pPr>
              <w:spacing w:line="280" w:lineRule="exact"/>
              <w:rPr>
                <w:rFonts w:ascii="仿宋_GB2312" w:hAnsi="仿宋_GB2312" w:eastAsia="仿宋_GB2312" w:cs="仿宋_GB2312"/>
                <w:bCs/>
                <w:sz w:val="24"/>
                <w:szCs w:val="24"/>
              </w:rPr>
            </w:pPr>
          </w:p>
        </w:tc>
        <w:tc>
          <w:tcPr>
            <w:tcW w:w="1702" w:type="dxa"/>
            <w:vMerge w:val="continue"/>
            <w:noWrap/>
            <w:vAlign w:val="center"/>
          </w:tcPr>
          <w:p>
            <w:pPr>
              <w:spacing w:line="280" w:lineRule="exact"/>
              <w:rPr>
                <w:rFonts w:ascii="仿宋_GB2312" w:hAnsi="仿宋_GB2312" w:eastAsia="仿宋_GB2312" w:cs="仿宋_GB2312"/>
                <w:bCs/>
                <w:sz w:val="24"/>
                <w:szCs w:val="24"/>
              </w:rPr>
            </w:pPr>
          </w:p>
        </w:tc>
        <w:tc>
          <w:tcPr>
            <w:tcW w:w="3900" w:type="dxa"/>
            <w:noWrap/>
            <w:vAlign w:val="center"/>
          </w:tcPr>
          <w:p>
            <w:pPr>
              <w:spacing w:line="28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供水申请报装工作程序</w:t>
            </w:r>
          </w:p>
        </w:tc>
        <w:tc>
          <w:tcPr>
            <w:tcW w:w="2476" w:type="dxa"/>
            <w:noWrap/>
            <w:vAlign w:val="center"/>
          </w:tcPr>
          <w:p>
            <w:pPr>
              <w:spacing w:line="280" w:lineRule="exac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0" w:type="dxa"/>
            <w:vMerge w:val="continue"/>
            <w:noWrap/>
            <w:vAlign w:val="center"/>
          </w:tcPr>
          <w:p>
            <w:pPr>
              <w:spacing w:line="280" w:lineRule="exact"/>
              <w:rPr>
                <w:rFonts w:ascii="仿宋_GB2312" w:hAnsi="仿宋_GB2312" w:eastAsia="仿宋_GB2312" w:cs="仿宋_GB2312"/>
                <w:bCs/>
                <w:sz w:val="24"/>
                <w:szCs w:val="24"/>
              </w:rPr>
            </w:pPr>
          </w:p>
        </w:tc>
        <w:tc>
          <w:tcPr>
            <w:tcW w:w="1702" w:type="dxa"/>
            <w:vMerge w:val="continue"/>
            <w:noWrap/>
            <w:vAlign w:val="center"/>
          </w:tcPr>
          <w:p>
            <w:pPr>
              <w:spacing w:line="280" w:lineRule="exact"/>
              <w:rPr>
                <w:rFonts w:ascii="仿宋_GB2312" w:hAnsi="仿宋_GB2312" w:eastAsia="仿宋_GB2312" w:cs="仿宋_GB2312"/>
                <w:bCs/>
                <w:sz w:val="24"/>
                <w:szCs w:val="24"/>
              </w:rPr>
            </w:pPr>
          </w:p>
        </w:tc>
        <w:tc>
          <w:tcPr>
            <w:tcW w:w="3900" w:type="dxa"/>
            <w:noWrap/>
            <w:vAlign w:val="center"/>
          </w:tcPr>
          <w:p>
            <w:pPr>
              <w:spacing w:line="28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供水缴费、维修及相关服务办理程序、时间、网点设置、服务标准及承诺</w:t>
            </w:r>
          </w:p>
        </w:tc>
        <w:tc>
          <w:tcPr>
            <w:tcW w:w="2476" w:type="dxa"/>
            <w:noWrap/>
            <w:vAlign w:val="center"/>
          </w:tcPr>
          <w:p>
            <w:pPr>
              <w:spacing w:line="280" w:lineRule="exac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0" w:type="dxa"/>
            <w:vMerge w:val="continue"/>
            <w:noWrap/>
            <w:vAlign w:val="center"/>
          </w:tcPr>
          <w:p>
            <w:pPr>
              <w:spacing w:line="280" w:lineRule="exact"/>
              <w:rPr>
                <w:rFonts w:ascii="仿宋_GB2312" w:hAnsi="仿宋_GB2312" w:eastAsia="仿宋_GB2312" w:cs="仿宋_GB2312"/>
                <w:bCs/>
                <w:sz w:val="24"/>
                <w:szCs w:val="24"/>
              </w:rPr>
            </w:pPr>
          </w:p>
        </w:tc>
        <w:tc>
          <w:tcPr>
            <w:tcW w:w="1702" w:type="dxa"/>
            <w:vMerge w:val="continue"/>
            <w:noWrap/>
            <w:vAlign w:val="center"/>
          </w:tcPr>
          <w:p>
            <w:pPr>
              <w:spacing w:line="280" w:lineRule="exact"/>
              <w:rPr>
                <w:rFonts w:ascii="仿宋_GB2312" w:hAnsi="仿宋_GB2312" w:eastAsia="仿宋_GB2312" w:cs="仿宋_GB2312"/>
                <w:bCs/>
                <w:sz w:val="24"/>
                <w:szCs w:val="24"/>
              </w:rPr>
            </w:pPr>
          </w:p>
        </w:tc>
        <w:tc>
          <w:tcPr>
            <w:tcW w:w="3900" w:type="dxa"/>
            <w:noWrap/>
            <w:vAlign w:val="center"/>
          </w:tcPr>
          <w:p>
            <w:pPr>
              <w:spacing w:line="28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停水及恢复供水信息、巡检及查表信息</w:t>
            </w:r>
          </w:p>
        </w:tc>
        <w:tc>
          <w:tcPr>
            <w:tcW w:w="2476" w:type="dxa"/>
            <w:noWrap/>
            <w:vAlign w:val="center"/>
          </w:tcPr>
          <w:p>
            <w:pPr>
              <w:spacing w:line="280" w:lineRule="exac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0" w:type="dxa"/>
            <w:vMerge w:val="continue"/>
            <w:noWrap/>
            <w:vAlign w:val="center"/>
          </w:tcPr>
          <w:p>
            <w:pPr>
              <w:spacing w:line="280" w:lineRule="exact"/>
              <w:rPr>
                <w:rFonts w:ascii="仿宋_GB2312" w:hAnsi="仿宋_GB2312" w:eastAsia="仿宋_GB2312" w:cs="仿宋_GB2312"/>
                <w:bCs/>
                <w:sz w:val="24"/>
                <w:szCs w:val="24"/>
              </w:rPr>
            </w:pPr>
          </w:p>
        </w:tc>
        <w:tc>
          <w:tcPr>
            <w:tcW w:w="1702" w:type="dxa"/>
            <w:vMerge w:val="continue"/>
            <w:noWrap/>
            <w:vAlign w:val="center"/>
          </w:tcPr>
          <w:p>
            <w:pPr>
              <w:spacing w:line="280" w:lineRule="exact"/>
              <w:rPr>
                <w:rFonts w:ascii="仿宋_GB2312" w:hAnsi="仿宋_GB2312" w:eastAsia="仿宋_GB2312" w:cs="仿宋_GB2312"/>
                <w:bCs/>
                <w:sz w:val="24"/>
                <w:szCs w:val="24"/>
              </w:rPr>
            </w:pPr>
          </w:p>
        </w:tc>
        <w:tc>
          <w:tcPr>
            <w:tcW w:w="3900" w:type="dxa"/>
            <w:noWrap/>
            <w:vAlign w:val="center"/>
          </w:tcPr>
          <w:p>
            <w:pPr>
              <w:spacing w:line="28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供水水质信息及供水设施安全使用常识和安全提示</w:t>
            </w:r>
          </w:p>
        </w:tc>
        <w:tc>
          <w:tcPr>
            <w:tcW w:w="2476" w:type="dxa"/>
            <w:noWrap/>
            <w:vAlign w:val="center"/>
          </w:tcPr>
          <w:p>
            <w:pPr>
              <w:spacing w:line="280" w:lineRule="exac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0" w:type="dxa"/>
            <w:vMerge w:val="continue"/>
            <w:noWrap/>
            <w:vAlign w:val="center"/>
          </w:tcPr>
          <w:p>
            <w:pPr>
              <w:spacing w:line="280" w:lineRule="exact"/>
              <w:rPr>
                <w:rFonts w:ascii="仿宋_GB2312" w:hAnsi="仿宋_GB2312" w:eastAsia="仿宋_GB2312" w:cs="仿宋_GB2312"/>
                <w:bCs/>
                <w:sz w:val="24"/>
                <w:szCs w:val="24"/>
              </w:rPr>
            </w:pPr>
          </w:p>
        </w:tc>
        <w:tc>
          <w:tcPr>
            <w:tcW w:w="1702" w:type="dxa"/>
            <w:vMerge w:val="continue"/>
            <w:noWrap/>
            <w:vAlign w:val="center"/>
          </w:tcPr>
          <w:p>
            <w:pPr>
              <w:spacing w:line="280" w:lineRule="exact"/>
              <w:rPr>
                <w:rFonts w:ascii="仿宋_GB2312" w:hAnsi="仿宋_GB2312" w:eastAsia="仿宋_GB2312" w:cs="仿宋_GB2312"/>
                <w:bCs/>
                <w:sz w:val="24"/>
                <w:szCs w:val="24"/>
              </w:rPr>
            </w:pPr>
          </w:p>
        </w:tc>
        <w:tc>
          <w:tcPr>
            <w:tcW w:w="3900" w:type="dxa"/>
            <w:noWrap/>
            <w:vAlign w:val="center"/>
          </w:tcPr>
          <w:p>
            <w:pPr>
              <w:spacing w:line="28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咨询服务电话、报修和救援电话、监督投诉电话。</w:t>
            </w:r>
          </w:p>
        </w:tc>
        <w:tc>
          <w:tcPr>
            <w:tcW w:w="2476" w:type="dxa"/>
            <w:noWrap/>
            <w:vAlign w:val="center"/>
          </w:tcPr>
          <w:p>
            <w:pPr>
              <w:spacing w:line="280" w:lineRule="exact"/>
              <w:rPr>
                <w:rFonts w:ascii="仿宋_GB2312" w:hAnsi="仿宋_GB2312" w:eastAsia="仿宋_GB2312" w:cs="仿宋_GB2312"/>
                <w:bCs/>
                <w:sz w:val="24"/>
                <w:szCs w:val="24"/>
              </w:rPr>
            </w:pPr>
          </w:p>
        </w:tc>
      </w:tr>
    </w:tbl>
    <w:p>
      <w:pPr>
        <w:pStyle w:val="10"/>
        <w:widowControl w:val="0"/>
        <w:spacing w:line="56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13.请县住房和城乡建设局提供供气、供热企业信息公开情况，公开情况计入县住房和城乡建设局考核成绩。（须于12月25前报县大数据发展服务中心汇总报市）</w:t>
      </w:r>
    </w:p>
    <w:tbl>
      <w:tblPr>
        <w:tblStyle w:val="7"/>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70"/>
        <w:gridCol w:w="3915"/>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78" w:type="dxa"/>
            <w:gridSpan w:val="2"/>
            <w:noWrap/>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供气企业名称</w:t>
            </w:r>
          </w:p>
        </w:tc>
        <w:tc>
          <w:tcPr>
            <w:tcW w:w="6692" w:type="dxa"/>
            <w:gridSpan w:val="2"/>
            <w:noWrap/>
            <w:vAlign w:val="center"/>
          </w:tcPr>
          <w:p>
            <w:pPr>
              <w:spacing w:line="260" w:lineRule="exact"/>
              <w:jc w:val="center"/>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78" w:type="dxa"/>
            <w:gridSpan w:val="2"/>
            <w:noWrap/>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供气企业地址</w:t>
            </w:r>
          </w:p>
        </w:tc>
        <w:tc>
          <w:tcPr>
            <w:tcW w:w="6692" w:type="dxa"/>
            <w:gridSpan w:val="2"/>
            <w:noWrap/>
            <w:vAlign w:val="center"/>
          </w:tcPr>
          <w:p>
            <w:pPr>
              <w:spacing w:line="260" w:lineRule="exact"/>
              <w:jc w:val="center"/>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8" w:type="dxa"/>
            <w:noWrap/>
            <w:vAlign w:val="center"/>
          </w:tcPr>
          <w:p>
            <w:pPr>
              <w:spacing w:line="260" w:lineRule="exact"/>
              <w:jc w:val="center"/>
              <w:rPr>
                <w:rFonts w:ascii="黑体" w:hAnsi="黑体" w:eastAsia="黑体"/>
                <w:bCs/>
                <w:sz w:val="24"/>
                <w:szCs w:val="24"/>
              </w:rPr>
            </w:pPr>
            <w:r>
              <w:rPr>
                <w:rFonts w:hint="eastAsia" w:ascii="黑体" w:hAnsi="黑体" w:eastAsia="黑体"/>
                <w:bCs/>
                <w:sz w:val="24"/>
                <w:szCs w:val="24"/>
              </w:rPr>
              <w:t>类别</w:t>
            </w:r>
          </w:p>
        </w:tc>
        <w:tc>
          <w:tcPr>
            <w:tcW w:w="1770" w:type="dxa"/>
            <w:noWrap/>
            <w:vAlign w:val="center"/>
          </w:tcPr>
          <w:p>
            <w:pPr>
              <w:spacing w:line="260" w:lineRule="exact"/>
              <w:jc w:val="center"/>
              <w:rPr>
                <w:rFonts w:ascii="黑体" w:hAnsi="黑体" w:eastAsia="黑体"/>
                <w:bCs/>
                <w:sz w:val="24"/>
                <w:szCs w:val="24"/>
              </w:rPr>
            </w:pPr>
            <w:r>
              <w:rPr>
                <w:rFonts w:hint="eastAsia" w:ascii="黑体" w:hAnsi="黑体" w:eastAsia="黑体"/>
                <w:bCs/>
                <w:sz w:val="24"/>
                <w:szCs w:val="24"/>
              </w:rPr>
              <w:t>信息名称</w:t>
            </w:r>
          </w:p>
        </w:tc>
        <w:tc>
          <w:tcPr>
            <w:tcW w:w="3915" w:type="dxa"/>
            <w:noWrap/>
            <w:vAlign w:val="center"/>
          </w:tcPr>
          <w:p>
            <w:pPr>
              <w:spacing w:line="260" w:lineRule="exact"/>
              <w:jc w:val="center"/>
              <w:rPr>
                <w:rFonts w:ascii="黑体" w:hAnsi="黑体" w:eastAsia="黑体"/>
                <w:bCs/>
                <w:sz w:val="24"/>
                <w:szCs w:val="24"/>
              </w:rPr>
            </w:pPr>
            <w:r>
              <w:rPr>
                <w:rFonts w:hint="eastAsia" w:ascii="黑体" w:hAnsi="黑体" w:eastAsia="黑体"/>
                <w:bCs/>
                <w:sz w:val="24"/>
                <w:szCs w:val="24"/>
              </w:rPr>
              <w:t>公开内容</w:t>
            </w:r>
          </w:p>
        </w:tc>
        <w:tc>
          <w:tcPr>
            <w:tcW w:w="2777" w:type="dxa"/>
            <w:noWrap/>
            <w:vAlign w:val="center"/>
          </w:tcPr>
          <w:p>
            <w:pPr>
              <w:spacing w:line="260" w:lineRule="exact"/>
              <w:jc w:val="center"/>
              <w:rPr>
                <w:rFonts w:ascii="黑体" w:hAnsi="黑体" w:eastAsia="黑体"/>
                <w:bCs/>
                <w:sz w:val="24"/>
                <w:szCs w:val="24"/>
              </w:rPr>
            </w:pPr>
            <w:r>
              <w:rPr>
                <w:rFonts w:hint="eastAsia" w:ascii="黑体" w:hAnsi="黑体" w:eastAsia="黑体"/>
                <w:bCs/>
                <w:sz w:val="24"/>
                <w:szCs w:val="24"/>
              </w:rPr>
              <w:t>公开网址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8" w:type="dxa"/>
            <w:vMerge w:val="restart"/>
            <w:noWrap/>
            <w:vAlign w:val="center"/>
          </w:tcPr>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供气行业</w:t>
            </w:r>
          </w:p>
        </w:tc>
        <w:tc>
          <w:tcPr>
            <w:tcW w:w="1770" w:type="dxa"/>
            <w:vMerge w:val="restart"/>
            <w:noWrap/>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基本</w:t>
            </w: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信息</w:t>
            </w:r>
          </w:p>
          <w:p>
            <w:pPr>
              <w:spacing w:line="360" w:lineRule="exact"/>
              <w:jc w:val="center"/>
              <w:rPr>
                <w:rFonts w:ascii="仿宋_GB2312" w:hAnsi="仿宋_GB2312" w:eastAsia="仿宋_GB2312" w:cs="仿宋_GB2312"/>
                <w:sz w:val="24"/>
                <w:szCs w:val="24"/>
              </w:rPr>
            </w:pPr>
          </w:p>
        </w:tc>
        <w:tc>
          <w:tcPr>
            <w:tcW w:w="3915" w:type="dxa"/>
            <w:noWrap/>
            <w:vAlign w:val="center"/>
          </w:tcPr>
          <w:p>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单位简介</w:t>
            </w:r>
          </w:p>
        </w:tc>
        <w:tc>
          <w:tcPr>
            <w:tcW w:w="2777" w:type="dxa"/>
            <w:noWrap/>
            <w:vAlign w:val="center"/>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8" w:type="dxa"/>
            <w:vMerge w:val="continue"/>
            <w:noWrap/>
            <w:vAlign w:val="center"/>
          </w:tcPr>
          <w:p>
            <w:pPr>
              <w:spacing w:line="260" w:lineRule="exact"/>
              <w:jc w:val="center"/>
              <w:rPr>
                <w:rFonts w:ascii="仿宋_GB2312" w:hAnsi="仿宋_GB2312" w:eastAsia="仿宋_GB2312" w:cs="仿宋_GB2312"/>
                <w:sz w:val="24"/>
                <w:szCs w:val="24"/>
              </w:rPr>
            </w:pPr>
          </w:p>
        </w:tc>
        <w:tc>
          <w:tcPr>
            <w:tcW w:w="1770" w:type="dxa"/>
            <w:vMerge w:val="continue"/>
            <w:noWrap/>
            <w:vAlign w:val="center"/>
          </w:tcPr>
          <w:p>
            <w:pPr>
              <w:spacing w:line="360" w:lineRule="exact"/>
              <w:jc w:val="center"/>
              <w:rPr>
                <w:rFonts w:ascii="仿宋_GB2312" w:hAnsi="仿宋_GB2312" w:eastAsia="仿宋_GB2312" w:cs="仿宋_GB2312"/>
                <w:sz w:val="24"/>
                <w:szCs w:val="24"/>
              </w:rPr>
            </w:pPr>
          </w:p>
        </w:tc>
        <w:tc>
          <w:tcPr>
            <w:tcW w:w="3915" w:type="dxa"/>
            <w:noWrap/>
            <w:vAlign w:val="center"/>
          </w:tcPr>
          <w:p>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领导分工</w:t>
            </w:r>
          </w:p>
        </w:tc>
        <w:tc>
          <w:tcPr>
            <w:tcW w:w="2777" w:type="dxa"/>
            <w:noWrap/>
            <w:vAlign w:val="center"/>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8" w:type="dxa"/>
            <w:vMerge w:val="continue"/>
            <w:noWrap/>
            <w:vAlign w:val="center"/>
          </w:tcPr>
          <w:p>
            <w:pPr>
              <w:spacing w:line="260" w:lineRule="exact"/>
              <w:jc w:val="center"/>
              <w:rPr>
                <w:rFonts w:ascii="仿宋_GB2312" w:hAnsi="仿宋_GB2312" w:eastAsia="仿宋_GB2312" w:cs="仿宋_GB2312"/>
                <w:sz w:val="24"/>
                <w:szCs w:val="24"/>
              </w:rPr>
            </w:pPr>
          </w:p>
        </w:tc>
        <w:tc>
          <w:tcPr>
            <w:tcW w:w="1770" w:type="dxa"/>
            <w:vMerge w:val="continue"/>
            <w:noWrap/>
            <w:vAlign w:val="center"/>
          </w:tcPr>
          <w:p>
            <w:pPr>
              <w:spacing w:line="360" w:lineRule="exact"/>
              <w:jc w:val="center"/>
              <w:rPr>
                <w:rFonts w:ascii="仿宋_GB2312" w:hAnsi="仿宋_GB2312" w:eastAsia="仿宋_GB2312" w:cs="仿宋_GB2312"/>
                <w:sz w:val="24"/>
                <w:szCs w:val="24"/>
              </w:rPr>
            </w:pPr>
          </w:p>
        </w:tc>
        <w:tc>
          <w:tcPr>
            <w:tcW w:w="3915" w:type="dxa"/>
            <w:noWrap/>
            <w:vAlign w:val="center"/>
          </w:tcPr>
          <w:p>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组织机构设置及职能</w:t>
            </w:r>
          </w:p>
        </w:tc>
        <w:tc>
          <w:tcPr>
            <w:tcW w:w="2777" w:type="dxa"/>
            <w:noWrap/>
            <w:vAlign w:val="center"/>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8" w:type="dxa"/>
            <w:vMerge w:val="continue"/>
            <w:noWrap/>
            <w:vAlign w:val="center"/>
          </w:tcPr>
          <w:p>
            <w:pPr>
              <w:spacing w:line="260" w:lineRule="exact"/>
              <w:jc w:val="center"/>
              <w:rPr>
                <w:rFonts w:ascii="仿宋_GB2312" w:hAnsi="仿宋_GB2312" w:eastAsia="仿宋_GB2312" w:cs="仿宋_GB2312"/>
                <w:sz w:val="24"/>
                <w:szCs w:val="24"/>
              </w:rPr>
            </w:pPr>
          </w:p>
        </w:tc>
        <w:tc>
          <w:tcPr>
            <w:tcW w:w="1770" w:type="dxa"/>
            <w:vMerge w:val="restart"/>
            <w:noWrap/>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公共</w:t>
            </w: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w:t>
            </w:r>
          </w:p>
        </w:tc>
        <w:tc>
          <w:tcPr>
            <w:tcW w:w="3915" w:type="dxa"/>
            <w:noWrap/>
            <w:vAlign w:val="center"/>
          </w:tcPr>
          <w:p>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燃气销售价格，维修及相关服务价格标准，有关收费依据</w:t>
            </w:r>
          </w:p>
        </w:tc>
        <w:tc>
          <w:tcPr>
            <w:tcW w:w="2777" w:type="dxa"/>
            <w:noWrap/>
            <w:vAlign w:val="center"/>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8" w:type="dxa"/>
            <w:vMerge w:val="continue"/>
            <w:noWrap/>
            <w:vAlign w:val="center"/>
          </w:tcPr>
          <w:p>
            <w:pPr>
              <w:spacing w:line="260" w:lineRule="exact"/>
              <w:jc w:val="center"/>
              <w:rPr>
                <w:rFonts w:ascii="仿宋_GB2312" w:hAnsi="仿宋_GB2312" w:eastAsia="仿宋_GB2312" w:cs="仿宋_GB2312"/>
                <w:sz w:val="24"/>
                <w:szCs w:val="24"/>
              </w:rPr>
            </w:pPr>
          </w:p>
        </w:tc>
        <w:tc>
          <w:tcPr>
            <w:tcW w:w="1770" w:type="dxa"/>
            <w:vMerge w:val="continue"/>
            <w:noWrap/>
            <w:vAlign w:val="center"/>
          </w:tcPr>
          <w:p>
            <w:pPr>
              <w:spacing w:line="360" w:lineRule="exact"/>
              <w:jc w:val="center"/>
              <w:rPr>
                <w:rFonts w:ascii="仿宋_GB2312" w:hAnsi="仿宋_GB2312" w:eastAsia="仿宋_GB2312" w:cs="仿宋_GB2312"/>
                <w:sz w:val="24"/>
                <w:szCs w:val="24"/>
              </w:rPr>
            </w:pPr>
          </w:p>
        </w:tc>
        <w:tc>
          <w:tcPr>
            <w:tcW w:w="3915" w:type="dxa"/>
            <w:noWrap/>
            <w:vAlign w:val="center"/>
          </w:tcPr>
          <w:p>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供气申请报装工作程序</w:t>
            </w:r>
          </w:p>
        </w:tc>
        <w:tc>
          <w:tcPr>
            <w:tcW w:w="2777" w:type="dxa"/>
            <w:noWrap/>
            <w:vAlign w:val="center"/>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08" w:type="dxa"/>
            <w:vMerge w:val="continue"/>
            <w:noWrap/>
            <w:vAlign w:val="center"/>
          </w:tcPr>
          <w:p>
            <w:pPr>
              <w:spacing w:line="260" w:lineRule="exact"/>
              <w:jc w:val="center"/>
              <w:rPr>
                <w:rFonts w:ascii="仿宋_GB2312" w:hAnsi="仿宋_GB2312" w:eastAsia="仿宋_GB2312" w:cs="仿宋_GB2312"/>
                <w:sz w:val="24"/>
                <w:szCs w:val="24"/>
              </w:rPr>
            </w:pPr>
          </w:p>
        </w:tc>
        <w:tc>
          <w:tcPr>
            <w:tcW w:w="1770" w:type="dxa"/>
            <w:vMerge w:val="continue"/>
            <w:noWrap/>
            <w:vAlign w:val="center"/>
          </w:tcPr>
          <w:p>
            <w:pPr>
              <w:spacing w:line="360" w:lineRule="exact"/>
              <w:jc w:val="center"/>
              <w:rPr>
                <w:rFonts w:ascii="仿宋_GB2312" w:hAnsi="仿宋_GB2312" w:eastAsia="仿宋_GB2312" w:cs="仿宋_GB2312"/>
                <w:sz w:val="24"/>
                <w:szCs w:val="24"/>
              </w:rPr>
            </w:pPr>
          </w:p>
        </w:tc>
        <w:tc>
          <w:tcPr>
            <w:tcW w:w="3915" w:type="dxa"/>
            <w:noWrap/>
            <w:vAlign w:val="center"/>
          </w:tcPr>
          <w:p>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燃气缴费、维修及相关服务办理程序、时间、网点设置、服务标准及承诺</w:t>
            </w:r>
          </w:p>
        </w:tc>
        <w:tc>
          <w:tcPr>
            <w:tcW w:w="2777" w:type="dxa"/>
            <w:noWrap/>
            <w:vAlign w:val="center"/>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708" w:type="dxa"/>
            <w:vMerge w:val="continue"/>
            <w:noWrap/>
            <w:vAlign w:val="center"/>
          </w:tcPr>
          <w:p>
            <w:pPr>
              <w:spacing w:line="260" w:lineRule="exact"/>
              <w:jc w:val="center"/>
              <w:rPr>
                <w:rFonts w:ascii="仿宋_GB2312" w:hAnsi="仿宋_GB2312" w:eastAsia="仿宋_GB2312" w:cs="仿宋_GB2312"/>
                <w:sz w:val="24"/>
                <w:szCs w:val="24"/>
              </w:rPr>
            </w:pPr>
          </w:p>
        </w:tc>
        <w:tc>
          <w:tcPr>
            <w:tcW w:w="1770" w:type="dxa"/>
            <w:vMerge w:val="continue"/>
            <w:noWrap/>
            <w:vAlign w:val="center"/>
          </w:tcPr>
          <w:p>
            <w:pPr>
              <w:spacing w:line="360" w:lineRule="exact"/>
              <w:jc w:val="center"/>
              <w:rPr>
                <w:rFonts w:ascii="仿宋_GB2312" w:hAnsi="仿宋_GB2312" w:eastAsia="仿宋_GB2312" w:cs="仿宋_GB2312"/>
                <w:sz w:val="24"/>
                <w:szCs w:val="24"/>
              </w:rPr>
            </w:pPr>
          </w:p>
        </w:tc>
        <w:tc>
          <w:tcPr>
            <w:tcW w:w="3915" w:type="dxa"/>
            <w:noWrap/>
            <w:vAlign w:val="center"/>
          </w:tcPr>
          <w:p>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停气及恢复供气信息、巡检及查表信息</w:t>
            </w:r>
          </w:p>
        </w:tc>
        <w:tc>
          <w:tcPr>
            <w:tcW w:w="2777" w:type="dxa"/>
            <w:noWrap/>
            <w:vAlign w:val="center"/>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708" w:type="dxa"/>
            <w:vMerge w:val="continue"/>
            <w:noWrap/>
            <w:vAlign w:val="center"/>
          </w:tcPr>
          <w:p>
            <w:pPr>
              <w:spacing w:line="260" w:lineRule="exact"/>
              <w:jc w:val="center"/>
              <w:rPr>
                <w:rFonts w:ascii="仿宋_GB2312" w:hAnsi="仿宋_GB2312" w:eastAsia="仿宋_GB2312" w:cs="仿宋_GB2312"/>
                <w:sz w:val="24"/>
                <w:szCs w:val="24"/>
              </w:rPr>
            </w:pPr>
          </w:p>
        </w:tc>
        <w:tc>
          <w:tcPr>
            <w:tcW w:w="1770" w:type="dxa"/>
            <w:vMerge w:val="continue"/>
            <w:noWrap/>
            <w:vAlign w:val="center"/>
          </w:tcPr>
          <w:p>
            <w:pPr>
              <w:spacing w:line="360" w:lineRule="exact"/>
              <w:jc w:val="center"/>
              <w:rPr>
                <w:rFonts w:ascii="仿宋_GB2312" w:hAnsi="仿宋_GB2312" w:eastAsia="仿宋_GB2312" w:cs="仿宋_GB2312"/>
                <w:sz w:val="24"/>
                <w:szCs w:val="24"/>
              </w:rPr>
            </w:pPr>
          </w:p>
        </w:tc>
        <w:tc>
          <w:tcPr>
            <w:tcW w:w="3915" w:type="dxa"/>
            <w:noWrap/>
            <w:vAlign w:val="center"/>
          </w:tcPr>
          <w:p>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燃气及燃气设施安全使用规定、常识和安全提示</w:t>
            </w:r>
          </w:p>
        </w:tc>
        <w:tc>
          <w:tcPr>
            <w:tcW w:w="2777" w:type="dxa"/>
            <w:noWrap/>
            <w:vAlign w:val="center"/>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08" w:type="dxa"/>
            <w:vMerge w:val="continue"/>
            <w:noWrap/>
            <w:vAlign w:val="center"/>
          </w:tcPr>
          <w:p>
            <w:pPr>
              <w:spacing w:line="260" w:lineRule="exact"/>
              <w:jc w:val="center"/>
              <w:rPr>
                <w:rFonts w:ascii="仿宋_GB2312" w:hAnsi="仿宋_GB2312" w:eastAsia="仿宋_GB2312" w:cs="仿宋_GB2312"/>
                <w:sz w:val="24"/>
                <w:szCs w:val="24"/>
              </w:rPr>
            </w:pPr>
          </w:p>
        </w:tc>
        <w:tc>
          <w:tcPr>
            <w:tcW w:w="1770" w:type="dxa"/>
            <w:vMerge w:val="continue"/>
            <w:noWrap/>
            <w:vAlign w:val="center"/>
          </w:tcPr>
          <w:p>
            <w:pPr>
              <w:spacing w:line="360" w:lineRule="exact"/>
              <w:jc w:val="center"/>
              <w:rPr>
                <w:rFonts w:ascii="仿宋_GB2312" w:hAnsi="仿宋_GB2312" w:eastAsia="仿宋_GB2312" w:cs="仿宋_GB2312"/>
                <w:sz w:val="24"/>
                <w:szCs w:val="24"/>
              </w:rPr>
            </w:pPr>
          </w:p>
        </w:tc>
        <w:tc>
          <w:tcPr>
            <w:tcW w:w="3915" w:type="dxa"/>
            <w:noWrap/>
            <w:vAlign w:val="center"/>
          </w:tcPr>
          <w:p>
            <w:pPr>
              <w:spacing w:line="36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咨询服务电话、报修和救援电话、监督投诉电话</w:t>
            </w:r>
          </w:p>
        </w:tc>
        <w:tc>
          <w:tcPr>
            <w:tcW w:w="2777" w:type="dxa"/>
            <w:noWrap/>
            <w:vAlign w:val="center"/>
          </w:tcPr>
          <w:p>
            <w:pPr>
              <w:spacing w:line="360" w:lineRule="exact"/>
              <w:rPr>
                <w:rFonts w:ascii="仿宋_GB2312" w:hAnsi="仿宋_GB2312" w:eastAsia="仿宋_GB2312" w:cs="仿宋_GB2312"/>
                <w:sz w:val="24"/>
                <w:szCs w:val="24"/>
              </w:rPr>
            </w:pPr>
          </w:p>
        </w:tc>
      </w:tr>
    </w:tbl>
    <w:p>
      <w:pPr>
        <w:pStyle w:val="10"/>
        <w:widowControl w:val="0"/>
        <w:spacing w:line="560" w:lineRule="exact"/>
        <w:ind w:firstLine="640"/>
        <w:jc w:val="both"/>
        <w:rPr>
          <w:rFonts w:ascii="Times New Roman" w:hAnsi="Times New Roman" w:eastAsia="仿宋_GB2312" w:cs="Times New Roman"/>
          <w:sz w:val="32"/>
          <w:szCs w:val="32"/>
        </w:rPr>
      </w:pPr>
    </w:p>
    <w:tbl>
      <w:tblPr>
        <w:tblStyle w:val="7"/>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70"/>
        <w:gridCol w:w="3337"/>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78" w:type="dxa"/>
            <w:gridSpan w:val="2"/>
            <w:noWrap/>
            <w:vAlign w:val="center"/>
          </w:tcPr>
          <w:p>
            <w:pPr>
              <w:spacing w:line="400" w:lineRule="exact"/>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供热企业名称</w:t>
            </w:r>
          </w:p>
        </w:tc>
        <w:tc>
          <w:tcPr>
            <w:tcW w:w="6692" w:type="dxa"/>
            <w:gridSpan w:val="2"/>
            <w:noWrap/>
            <w:vAlign w:val="center"/>
          </w:tcPr>
          <w:p>
            <w:pPr>
              <w:spacing w:line="400" w:lineRule="exact"/>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78" w:type="dxa"/>
            <w:gridSpan w:val="2"/>
            <w:noWrap/>
            <w:vAlign w:val="center"/>
          </w:tcPr>
          <w:p>
            <w:pPr>
              <w:spacing w:line="400" w:lineRule="exact"/>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供热企业地址</w:t>
            </w:r>
          </w:p>
        </w:tc>
        <w:tc>
          <w:tcPr>
            <w:tcW w:w="6692" w:type="dxa"/>
            <w:gridSpan w:val="2"/>
            <w:noWrap/>
            <w:vAlign w:val="center"/>
          </w:tcPr>
          <w:p>
            <w:pPr>
              <w:spacing w:line="400" w:lineRule="exact"/>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8" w:type="dxa"/>
            <w:noWrap/>
            <w:vAlign w:val="center"/>
          </w:tcPr>
          <w:p>
            <w:pPr>
              <w:spacing w:line="400" w:lineRule="exact"/>
              <w:jc w:val="center"/>
              <w:rPr>
                <w:rFonts w:ascii="宋体" w:hAnsi="宋体" w:eastAsia="宋体"/>
                <w:sz w:val="24"/>
              </w:rPr>
            </w:pPr>
            <w:r>
              <w:rPr>
                <w:rFonts w:hint="eastAsia" w:ascii="黑体" w:hAnsi="黑体" w:eastAsia="黑体"/>
                <w:bCs/>
                <w:sz w:val="24"/>
              </w:rPr>
              <w:t>类别</w:t>
            </w:r>
          </w:p>
        </w:tc>
        <w:tc>
          <w:tcPr>
            <w:tcW w:w="1770" w:type="dxa"/>
            <w:noWrap/>
            <w:vAlign w:val="center"/>
          </w:tcPr>
          <w:p>
            <w:pPr>
              <w:spacing w:line="400" w:lineRule="exact"/>
              <w:jc w:val="center"/>
              <w:rPr>
                <w:rFonts w:ascii="宋体" w:hAnsi="宋体" w:eastAsia="宋体"/>
                <w:sz w:val="24"/>
              </w:rPr>
            </w:pPr>
            <w:r>
              <w:rPr>
                <w:rFonts w:hint="eastAsia" w:ascii="黑体" w:hAnsi="黑体" w:eastAsia="黑体"/>
                <w:bCs/>
                <w:sz w:val="24"/>
              </w:rPr>
              <w:t>信息名称</w:t>
            </w:r>
          </w:p>
        </w:tc>
        <w:tc>
          <w:tcPr>
            <w:tcW w:w="3337" w:type="dxa"/>
            <w:noWrap/>
            <w:vAlign w:val="center"/>
          </w:tcPr>
          <w:p>
            <w:pPr>
              <w:spacing w:line="400" w:lineRule="exact"/>
              <w:jc w:val="center"/>
              <w:rPr>
                <w:rFonts w:ascii="宋体" w:hAnsi="宋体" w:eastAsia="宋体"/>
                <w:sz w:val="24"/>
              </w:rPr>
            </w:pPr>
            <w:r>
              <w:rPr>
                <w:rFonts w:hint="eastAsia" w:ascii="黑体" w:hAnsi="黑体" w:eastAsia="黑体"/>
                <w:bCs/>
                <w:sz w:val="24"/>
              </w:rPr>
              <w:t>公开内容</w:t>
            </w:r>
          </w:p>
        </w:tc>
        <w:tc>
          <w:tcPr>
            <w:tcW w:w="3355" w:type="dxa"/>
            <w:noWrap/>
            <w:vAlign w:val="center"/>
          </w:tcPr>
          <w:p>
            <w:pPr>
              <w:spacing w:line="400" w:lineRule="exact"/>
              <w:jc w:val="center"/>
              <w:rPr>
                <w:rFonts w:ascii="宋体" w:hAnsi="宋体" w:eastAsia="宋体"/>
                <w:sz w:val="24"/>
              </w:rPr>
            </w:pPr>
            <w:r>
              <w:rPr>
                <w:rFonts w:hint="eastAsia" w:ascii="黑体" w:hAnsi="黑体" w:eastAsia="黑体"/>
                <w:bCs/>
                <w:sz w:val="24"/>
              </w:rPr>
              <w:t>公开网址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8" w:type="dxa"/>
            <w:vMerge w:val="restart"/>
            <w:noWrap/>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供热行业</w:t>
            </w:r>
          </w:p>
        </w:tc>
        <w:tc>
          <w:tcPr>
            <w:tcW w:w="1770" w:type="dxa"/>
            <w:vMerge w:val="restart"/>
            <w:noWrap/>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基本</w:t>
            </w:r>
          </w:p>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信息</w:t>
            </w:r>
          </w:p>
        </w:tc>
        <w:tc>
          <w:tcPr>
            <w:tcW w:w="3337" w:type="dxa"/>
            <w:noWrap/>
            <w:vAlign w:val="center"/>
          </w:tcPr>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单位简介</w:t>
            </w:r>
          </w:p>
        </w:tc>
        <w:tc>
          <w:tcPr>
            <w:tcW w:w="3355" w:type="dxa"/>
            <w:noWrap/>
            <w:vAlign w:val="center"/>
          </w:tcPr>
          <w:p>
            <w:pPr>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8" w:type="dxa"/>
            <w:vMerge w:val="continue"/>
            <w:noWrap/>
            <w:vAlign w:val="center"/>
          </w:tcPr>
          <w:p>
            <w:pPr>
              <w:spacing w:line="400" w:lineRule="exact"/>
              <w:jc w:val="center"/>
              <w:rPr>
                <w:rFonts w:ascii="仿宋_GB2312" w:hAnsi="仿宋_GB2312" w:eastAsia="仿宋_GB2312" w:cs="仿宋_GB2312"/>
                <w:sz w:val="24"/>
                <w:szCs w:val="24"/>
              </w:rPr>
            </w:pPr>
          </w:p>
        </w:tc>
        <w:tc>
          <w:tcPr>
            <w:tcW w:w="1770" w:type="dxa"/>
            <w:vMerge w:val="continue"/>
            <w:noWrap/>
            <w:vAlign w:val="center"/>
          </w:tcPr>
          <w:p>
            <w:pPr>
              <w:spacing w:line="400" w:lineRule="exact"/>
              <w:jc w:val="center"/>
              <w:rPr>
                <w:rFonts w:ascii="仿宋_GB2312" w:hAnsi="仿宋_GB2312" w:eastAsia="仿宋_GB2312" w:cs="仿宋_GB2312"/>
                <w:sz w:val="24"/>
                <w:szCs w:val="24"/>
              </w:rPr>
            </w:pPr>
          </w:p>
        </w:tc>
        <w:tc>
          <w:tcPr>
            <w:tcW w:w="3337" w:type="dxa"/>
            <w:noWrap/>
            <w:vAlign w:val="center"/>
          </w:tcPr>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领导分工</w:t>
            </w:r>
          </w:p>
        </w:tc>
        <w:tc>
          <w:tcPr>
            <w:tcW w:w="3355" w:type="dxa"/>
            <w:noWrap/>
            <w:vAlign w:val="center"/>
          </w:tcPr>
          <w:p>
            <w:pPr>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8" w:type="dxa"/>
            <w:vMerge w:val="continue"/>
            <w:noWrap/>
            <w:vAlign w:val="center"/>
          </w:tcPr>
          <w:p>
            <w:pPr>
              <w:spacing w:line="400" w:lineRule="exact"/>
              <w:jc w:val="center"/>
              <w:rPr>
                <w:rFonts w:ascii="仿宋_GB2312" w:hAnsi="仿宋_GB2312" w:eastAsia="仿宋_GB2312" w:cs="仿宋_GB2312"/>
                <w:sz w:val="24"/>
                <w:szCs w:val="24"/>
              </w:rPr>
            </w:pPr>
          </w:p>
        </w:tc>
        <w:tc>
          <w:tcPr>
            <w:tcW w:w="1770" w:type="dxa"/>
            <w:vMerge w:val="continue"/>
            <w:noWrap/>
            <w:vAlign w:val="center"/>
          </w:tcPr>
          <w:p>
            <w:pPr>
              <w:spacing w:line="400" w:lineRule="exact"/>
              <w:jc w:val="center"/>
              <w:rPr>
                <w:rFonts w:ascii="仿宋_GB2312" w:hAnsi="仿宋_GB2312" w:eastAsia="仿宋_GB2312" w:cs="仿宋_GB2312"/>
                <w:sz w:val="24"/>
                <w:szCs w:val="24"/>
              </w:rPr>
            </w:pPr>
          </w:p>
        </w:tc>
        <w:tc>
          <w:tcPr>
            <w:tcW w:w="3337" w:type="dxa"/>
            <w:noWrap/>
            <w:vAlign w:val="center"/>
          </w:tcPr>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组织机构设置及职能</w:t>
            </w:r>
          </w:p>
        </w:tc>
        <w:tc>
          <w:tcPr>
            <w:tcW w:w="3355" w:type="dxa"/>
            <w:noWrap/>
            <w:vAlign w:val="center"/>
          </w:tcPr>
          <w:p>
            <w:pPr>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8" w:type="dxa"/>
            <w:vMerge w:val="continue"/>
            <w:noWrap/>
            <w:vAlign w:val="center"/>
          </w:tcPr>
          <w:p>
            <w:pPr>
              <w:spacing w:line="400" w:lineRule="exact"/>
              <w:jc w:val="center"/>
              <w:rPr>
                <w:rFonts w:ascii="仿宋_GB2312" w:hAnsi="仿宋_GB2312" w:eastAsia="仿宋_GB2312" w:cs="仿宋_GB2312"/>
                <w:sz w:val="24"/>
                <w:szCs w:val="24"/>
              </w:rPr>
            </w:pPr>
          </w:p>
        </w:tc>
        <w:tc>
          <w:tcPr>
            <w:tcW w:w="1770" w:type="dxa"/>
            <w:vMerge w:val="restart"/>
            <w:noWrap/>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公共</w:t>
            </w:r>
          </w:p>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w:t>
            </w:r>
          </w:p>
        </w:tc>
        <w:tc>
          <w:tcPr>
            <w:tcW w:w="3337" w:type="dxa"/>
            <w:noWrap/>
            <w:vAlign w:val="center"/>
          </w:tcPr>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热力销售价格，维修及相关服务价格标准，有关收费依据</w:t>
            </w:r>
          </w:p>
        </w:tc>
        <w:tc>
          <w:tcPr>
            <w:tcW w:w="3355" w:type="dxa"/>
            <w:noWrap/>
            <w:vAlign w:val="center"/>
          </w:tcPr>
          <w:p>
            <w:pPr>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8" w:type="dxa"/>
            <w:vMerge w:val="continue"/>
            <w:noWrap/>
            <w:vAlign w:val="center"/>
          </w:tcPr>
          <w:p>
            <w:pPr>
              <w:spacing w:line="400" w:lineRule="exact"/>
              <w:rPr>
                <w:rFonts w:ascii="仿宋_GB2312" w:hAnsi="仿宋_GB2312" w:eastAsia="仿宋_GB2312" w:cs="仿宋_GB2312"/>
                <w:sz w:val="24"/>
                <w:szCs w:val="24"/>
              </w:rPr>
            </w:pPr>
          </w:p>
        </w:tc>
        <w:tc>
          <w:tcPr>
            <w:tcW w:w="1770" w:type="dxa"/>
            <w:vMerge w:val="continue"/>
            <w:noWrap/>
            <w:vAlign w:val="center"/>
          </w:tcPr>
          <w:p>
            <w:pPr>
              <w:spacing w:line="400" w:lineRule="exact"/>
              <w:rPr>
                <w:rFonts w:ascii="仿宋_GB2312" w:hAnsi="仿宋_GB2312" w:eastAsia="仿宋_GB2312" w:cs="仿宋_GB2312"/>
                <w:sz w:val="24"/>
                <w:szCs w:val="24"/>
              </w:rPr>
            </w:pPr>
          </w:p>
        </w:tc>
        <w:tc>
          <w:tcPr>
            <w:tcW w:w="3337" w:type="dxa"/>
            <w:noWrap/>
            <w:vAlign w:val="center"/>
          </w:tcPr>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供热申请报装工作程序</w:t>
            </w:r>
          </w:p>
        </w:tc>
        <w:tc>
          <w:tcPr>
            <w:tcW w:w="3355" w:type="dxa"/>
            <w:noWrap/>
            <w:vAlign w:val="center"/>
          </w:tcPr>
          <w:p>
            <w:pPr>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8" w:type="dxa"/>
            <w:vMerge w:val="continue"/>
            <w:noWrap/>
            <w:vAlign w:val="center"/>
          </w:tcPr>
          <w:p>
            <w:pPr>
              <w:spacing w:line="400" w:lineRule="exact"/>
              <w:rPr>
                <w:rFonts w:ascii="仿宋_GB2312" w:hAnsi="仿宋_GB2312" w:eastAsia="仿宋_GB2312" w:cs="仿宋_GB2312"/>
                <w:sz w:val="24"/>
                <w:szCs w:val="24"/>
              </w:rPr>
            </w:pPr>
          </w:p>
        </w:tc>
        <w:tc>
          <w:tcPr>
            <w:tcW w:w="1770" w:type="dxa"/>
            <w:vMerge w:val="continue"/>
            <w:noWrap/>
            <w:vAlign w:val="center"/>
          </w:tcPr>
          <w:p>
            <w:pPr>
              <w:spacing w:line="400" w:lineRule="exact"/>
              <w:rPr>
                <w:rFonts w:ascii="仿宋_GB2312" w:hAnsi="仿宋_GB2312" w:eastAsia="仿宋_GB2312" w:cs="仿宋_GB2312"/>
                <w:sz w:val="24"/>
                <w:szCs w:val="24"/>
              </w:rPr>
            </w:pPr>
          </w:p>
        </w:tc>
        <w:tc>
          <w:tcPr>
            <w:tcW w:w="3337" w:type="dxa"/>
            <w:noWrap/>
            <w:vAlign w:val="center"/>
          </w:tcPr>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法定供热时间，供热收费的起止日期</w:t>
            </w:r>
          </w:p>
        </w:tc>
        <w:tc>
          <w:tcPr>
            <w:tcW w:w="3355" w:type="dxa"/>
            <w:noWrap/>
            <w:vAlign w:val="center"/>
          </w:tcPr>
          <w:p>
            <w:pPr>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8" w:type="dxa"/>
            <w:vMerge w:val="continue"/>
            <w:noWrap/>
            <w:vAlign w:val="center"/>
          </w:tcPr>
          <w:p>
            <w:pPr>
              <w:spacing w:line="400" w:lineRule="exact"/>
              <w:rPr>
                <w:rFonts w:ascii="仿宋_GB2312" w:hAnsi="仿宋_GB2312" w:eastAsia="仿宋_GB2312" w:cs="仿宋_GB2312"/>
                <w:sz w:val="24"/>
                <w:szCs w:val="24"/>
              </w:rPr>
            </w:pPr>
          </w:p>
        </w:tc>
        <w:tc>
          <w:tcPr>
            <w:tcW w:w="1770" w:type="dxa"/>
            <w:vMerge w:val="continue"/>
            <w:noWrap/>
            <w:vAlign w:val="center"/>
          </w:tcPr>
          <w:p>
            <w:pPr>
              <w:spacing w:line="400" w:lineRule="exact"/>
              <w:rPr>
                <w:rFonts w:ascii="仿宋_GB2312" w:hAnsi="仿宋_GB2312" w:eastAsia="仿宋_GB2312" w:cs="仿宋_GB2312"/>
                <w:sz w:val="24"/>
                <w:szCs w:val="24"/>
              </w:rPr>
            </w:pPr>
          </w:p>
        </w:tc>
        <w:tc>
          <w:tcPr>
            <w:tcW w:w="3337" w:type="dxa"/>
            <w:noWrap/>
            <w:vAlign w:val="center"/>
          </w:tcPr>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供热缴费、维修及相关服务办理程序、时间、网点设置、服务标准及承诺</w:t>
            </w:r>
          </w:p>
        </w:tc>
        <w:tc>
          <w:tcPr>
            <w:tcW w:w="3355" w:type="dxa"/>
            <w:noWrap/>
            <w:vAlign w:val="center"/>
          </w:tcPr>
          <w:p>
            <w:pPr>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8" w:type="dxa"/>
            <w:vMerge w:val="continue"/>
            <w:noWrap/>
            <w:vAlign w:val="center"/>
          </w:tcPr>
          <w:p>
            <w:pPr>
              <w:spacing w:line="400" w:lineRule="exact"/>
              <w:rPr>
                <w:rFonts w:ascii="仿宋_GB2312" w:hAnsi="仿宋_GB2312" w:eastAsia="仿宋_GB2312" w:cs="仿宋_GB2312"/>
                <w:sz w:val="24"/>
                <w:szCs w:val="24"/>
              </w:rPr>
            </w:pPr>
          </w:p>
        </w:tc>
        <w:tc>
          <w:tcPr>
            <w:tcW w:w="1770" w:type="dxa"/>
            <w:vMerge w:val="continue"/>
            <w:noWrap/>
            <w:vAlign w:val="center"/>
          </w:tcPr>
          <w:p>
            <w:pPr>
              <w:spacing w:line="400" w:lineRule="exact"/>
              <w:rPr>
                <w:rFonts w:ascii="仿宋_GB2312" w:hAnsi="仿宋_GB2312" w:eastAsia="仿宋_GB2312" w:cs="仿宋_GB2312"/>
                <w:sz w:val="24"/>
                <w:szCs w:val="24"/>
              </w:rPr>
            </w:pPr>
          </w:p>
        </w:tc>
        <w:tc>
          <w:tcPr>
            <w:tcW w:w="3337" w:type="dxa"/>
            <w:noWrap/>
            <w:vAlign w:val="center"/>
          </w:tcPr>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停热及恢复供热信息、巡检及查表信息</w:t>
            </w:r>
          </w:p>
        </w:tc>
        <w:tc>
          <w:tcPr>
            <w:tcW w:w="3355" w:type="dxa"/>
            <w:noWrap/>
            <w:vAlign w:val="center"/>
          </w:tcPr>
          <w:p>
            <w:pPr>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8" w:type="dxa"/>
            <w:vMerge w:val="continue"/>
            <w:noWrap/>
            <w:vAlign w:val="center"/>
          </w:tcPr>
          <w:p>
            <w:pPr>
              <w:spacing w:line="400" w:lineRule="exact"/>
              <w:rPr>
                <w:rFonts w:ascii="仿宋_GB2312" w:hAnsi="仿宋_GB2312" w:eastAsia="仿宋_GB2312" w:cs="仿宋_GB2312"/>
                <w:sz w:val="24"/>
                <w:szCs w:val="24"/>
              </w:rPr>
            </w:pPr>
          </w:p>
        </w:tc>
        <w:tc>
          <w:tcPr>
            <w:tcW w:w="1770" w:type="dxa"/>
            <w:vMerge w:val="continue"/>
            <w:noWrap/>
            <w:vAlign w:val="center"/>
          </w:tcPr>
          <w:p>
            <w:pPr>
              <w:spacing w:line="400" w:lineRule="exact"/>
              <w:rPr>
                <w:rFonts w:ascii="仿宋_GB2312" w:hAnsi="仿宋_GB2312" w:eastAsia="仿宋_GB2312" w:cs="仿宋_GB2312"/>
                <w:sz w:val="24"/>
                <w:szCs w:val="24"/>
              </w:rPr>
            </w:pPr>
          </w:p>
        </w:tc>
        <w:tc>
          <w:tcPr>
            <w:tcW w:w="3337" w:type="dxa"/>
            <w:noWrap/>
            <w:vAlign w:val="center"/>
          </w:tcPr>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供热及供热设施安全使用规定、常识和安全提示</w:t>
            </w:r>
          </w:p>
        </w:tc>
        <w:tc>
          <w:tcPr>
            <w:tcW w:w="3355" w:type="dxa"/>
            <w:noWrap/>
            <w:vAlign w:val="center"/>
          </w:tcPr>
          <w:p>
            <w:pPr>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08" w:type="dxa"/>
            <w:vMerge w:val="continue"/>
            <w:noWrap/>
            <w:vAlign w:val="center"/>
          </w:tcPr>
          <w:p>
            <w:pPr>
              <w:spacing w:line="400" w:lineRule="exact"/>
              <w:rPr>
                <w:rFonts w:ascii="仿宋_GB2312" w:hAnsi="仿宋_GB2312" w:eastAsia="仿宋_GB2312" w:cs="仿宋_GB2312"/>
                <w:sz w:val="24"/>
                <w:szCs w:val="24"/>
              </w:rPr>
            </w:pPr>
          </w:p>
        </w:tc>
        <w:tc>
          <w:tcPr>
            <w:tcW w:w="1770" w:type="dxa"/>
            <w:vMerge w:val="continue"/>
            <w:noWrap/>
            <w:vAlign w:val="center"/>
          </w:tcPr>
          <w:p>
            <w:pPr>
              <w:spacing w:line="400" w:lineRule="exact"/>
              <w:rPr>
                <w:rFonts w:ascii="仿宋_GB2312" w:hAnsi="仿宋_GB2312" w:eastAsia="仿宋_GB2312" w:cs="仿宋_GB2312"/>
                <w:sz w:val="24"/>
                <w:szCs w:val="24"/>
              </w:rPr>
            </w:pPr>
          </w:p>
        </w:tc>
        <w:tc>
          <w:tcPr>
            <w:tcW w:w="3337" w:type="dxa"/>
            <w:noWrap/>
            <w:vAlign w:val="center"/>
          </w:tcPr>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咨询服务电话、报修和救援电话、监督投诉电话</w:t>
            </w:r>
          </w:p>
        </w:tc>
        <w:tc>
          <w:tcPr>
            <w:tcW w:w="3355" w:type="dxa"/>
            <w:noWrap/>
            <w:vAlign w:val="center"/>
          </w:tcPr>
          <w:p>
            <w:pPr>
              <w:spacing w:line="400" w:lineRule="exact"/>
              <w:rPr>
                <w:rFonts w:ascii="仿宋_GB2312" w:hAnsi="仿宋_GB2312" w:eastAsia="仿宋_GB2312" w:cs="仿宋_GB2312"/>
                <w:sz w:val="24"/>
                <w:szCs w:val="24"/>
              </w:rPr>
            </w:pPr>
          </w:p>
        </w:tc>
      </w:tr>
    </w:tbl>
    <w:p>
      <w:pPr>
        <w:pStyle w:val="10"/>
        <w:widowControl w:val="0"/>
        <w:spacing w:line="560" w:lineRule="exact"/>
        <w:ind w:firstLine="640"/>
        <w:jc w:val="both"/>
        <w:rPr>
          <w:rFonts w:ascii="Times New Roman" w:hAnsi="Times New Roman" w:eastAsia="仿宋_GB2312" w:cs="Times New Roman"/>
          <w:bCs/>
          <w:sz w:val="32"/>
          <w:szCs w:val="32"/>
        </w:rPr>
      </w:pPr>
      <w:r>
        <w:rPr>
          <w:rFonts w:ascii="Times New Roman" w:hAnsi="Times New Roman" w:eastAsia="仿宋_GB2312" w:cs="Times New Roman"/>
          <w:sz w:val="32"/>
          <w:szCs w:val="32"/>
        </w:rPr>
        <w:t>14.</w:t>
      </w:r>
      <w:r>
        <w:rPr>
          <w:rFonts w:ascii="Times New Roman" w:hAnsi="Times New Roman" w:eastAsia="仿宋_GB2312" w:cs="Times New Roman"/>
          <w:bCs/>
          <w:sz w:val="32"/>
          <w:szCs w:val="32"/>
        </w:rPr>
        <w:t>本部门制定的2020年度部署安排政务公开工作的证明材料，如工作要点、实施方案等；建立协调机制的证明材料；利用各媒体平台、运用全媒体手段做好政务公开工作的证明材料。</w:t>
      </w:r>
    </w:p>
    <w:p>
      <w:pPr>
        <w:pStyle w:val="10"/>
        <w:widowControl w:val="0"/>
        <w:spacing w:line="560" w:lineRule="exact"/>
        <w:ind w:firstLine="64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.本单位年度工作要点落实、基层政务公开标准化规范化建设等创新举措；请提供开展“政府开放日”活动（提供开展次数，相关通知、报道链接或截图）等有关材料。</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w:t>
      </w:r>
    </w:p>
    <w:p>
      <w:pPr>
        <w:widowControl w:val="0"/>
        <w:spacing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1.所提报材料必须实事求是、真实有效，严禁提供虚假材料，一经发现，将不得列入政务公开考核的优秀等次。</w:t>
      </w:r>
    </w:p>
    <w:p>
      <w:pPr>
        <w:pStyle w:val="10"/>
        <w:widowControl w:val="0"/>
        <w:spacing w:line="560" w:lineRule="exact"/>
        <w:ind w:firstLine="64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2.所提交的材料若是文件类，必须提供正式文号或便签纸签发证明；如果没有文号或非便签，该文件需在政府网站公开，提供相关链接和截图，否则为无效证明材料。</w:t>
      </w:r>
    </w:p>
    <w:p>
      <w:pPr>
        <w:pStyle w:val="10"/>
        <w:widowControl w:val="0"/>
        <w:spacing w:line="560" w:lineRule="exact"/>
        <w:ind w:firstLine="64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3.考核指标中相关工作由于客观原因未完成的，请说明相关情况。</w:t>
      </w:r>
    </w:p>
    <w:p>
      <w:pPr>
        <w:pStyle w:val="10"/>
        <w:widowControl w:val="0"/>
        <w:spacing w:line="560" w:lineRule="exact"/>
        <w:ind w:firstLine="64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4.相关材料请于2020年12月25日前报送县大数据发展服务中心，联系电话：3241369。</w:t>
      </w:r>
    </w:p>
    <w:p>
      <w:pPr>
        <w:widowControl w:val="0"/>
        <w:rPr>
          <w:rFonts w:ascii="Times New Roman" w:hAnsi="Times New Roman" w:cs="Times New Roman"/>
          <w:bCs/>
        </w:rPr>
      </w:pPr>
    </w:p>
    <w:p>
      <w:pPr>
        <w:widowControl w:val="0"/>
        <w:rPr>
          <w:rFonts w:ascii="Times New Roman" w:hAnsi="Times New Roman" w:cs="Times New Roman"/>
          <w:bCs/>
        </w:rPr>
      </w:pPr>
    </w:p>
    <w:p>
      <w:pPr>
        <w:widowControl w:val="0"/>
        <w:rPr>
          <w:rFonts w:ascii="Times New Roman" w:hAnsi="Times New Roman" w:cs="Times New Roman"/>
          <w:bCs/>
        </w:rPr>
      </w:pPr>
    </w:p>
    <w:p>
      <w:pPr>
        <w:widowControl w:val="0"/>
        <w:rPr>
          <w:rFonts w:ascii="Times New Roman" w:hAnsi="Times New Roman" w:cs="Times New Roman"/>
          <w:bCs/>
        </w:rPr>
      </w:pPr>
    </w:p>
    <w:p>
      <w:pPr>
        <w:widowControl w:val="0"/>
        <w:rPr>
          <w:rFonts w:ascii="Times New Roman" w:hAnsi="Times New Roman" w:cs="Times New Roman"/>
          <w:bCs/>
        </w:rPr>
      </w:pPr>
    </w:p>
    <w:p>
      <w:pPr>
        <w:widowControl w:val="0"/>
        <w:rPr>
          <w:rFonts w:ascii="Times New Roman" w:hAnsi="Times New Roman" w:cs="Times New Roman"/>
          <w:bCs/>
        </w:rPr>
      </w:pPr>
    </w:p>
    <w:p>
      <w:pPr>
        <w:widowControl w:val="0"/>
        <w:rPr>
          <w:rFonts w:ascii="Times New Roman" w:hAnsi="Times New Roman" w:cs="Times New Roman"/>
          <w:bCs/>
        </w:rPr>
      </w:pPr>
    </w:p>
    <w:p>
      <w:pPr>
        <w:widowControl w:val="0"/>
        <w:rPr>
          <w:rFonts w:ascii="Times New Roman" w:hAnsi="Times New Roman" w:cs="Times New Roman"/>
          <w:bCs/>
        </w:rPr>
      </w:pPr>
    </w:p>
    <w:p>
      <w:pPr>
        <w:widowControl w:val="0"/>
        <w:rPr>
          <w:rFonts w:ascii="Times New Roman" w:hAnsi="Times New Roman" w:cs="Times New Roman"/>
          <w:bCs/>
        </w:rPr>
      </w:pPr>
    </w:p>
    <w:p>
      <w:pPr>
        <w:widowControl w:val="0"/>
        <w:rPr>
          <w:rFonts w:ascii="Times New Roman" w:hAnsi="Times New Roman" w:cs="Times New Roman"/>
          <w:bCs/>
        </w:rPr>
      </w:pPr>
    </w:p>
    <w:p>
      <w:pPr>
        <w:widowControl w:val="0"/>
        <w:rPr>
          <w:rFonts w:ascii="Times New Roman" w:hAnsi="Times New Roman" w:cs="Times New Roman"/>
          <w:bCs/>
        </w:rPr>
      </w:pPr>
    </w:p>
    <w:p>
      <w:pPr>
        <w:widowControl w:val="0"/>
        <w:rPr>
          <w:rFonts w:ascii="Times New Roman" w:hAnsi="Times New Roman" w:cs="Times New Roman"/>
          <w:bCs/>
        </w:rPr>
      </w:pPr>
    </w:p>
    <w:p>
      <w:pPr>
        <w:widowControl w:val="0"/>
        <w:rPr>
          <w:rFonts w:ascii="Times New Roman" w:hAnsi="Times New Roman" w:cs="Times New Roman"/>
          <w:bCs/>
        </w:rPr>
      </w:pPr>
    </w:p>
    <w:p>
      <w:pPr>
        <w:widowControl w:val="0"/>
        <w:rPr>
          <w:rFonts w:ascii="Times New Roman" w:hAnsi="Times New Roman" w:cs="Times New Roman"/>
          <w:bCs/>
        </w:rPr>
      </w:pPr>
    </w:p>
    <w:p>
      <w:pPr>
        <w:widowControl w:val="0"/>
        <w:rPr>
          <w:rFonts w:ascii="Times New Roman" w:hAnsi="Times New Roman" w:cs="Times New Roman"/>
          <w:bCs/>
        </w:rPr>
      </w:pPr>
    </w:p>
    <w:p>
      <w:pPr>
        <w:widowControl w:val="0"/>
        <w:rPr>
          <w:rFonts w:ascii="Times New Roman" w:hAnsi="Times New Roman" w:cs="Times New Roman"/>
          <w:bCs/>
        </w:rPr>
      </w:pPr>
    </w:p>
    <w:p>
      <w:pPr>
        <w:widowControl w:val="0"/>
        <w:rPr>
          <w:rFonts w:ascii="Times New Roman" w:hAnsi="Times New Roman" w:cs="Times New Roman"/>
          <w:bCs/>
        </w:rPr>
      </w:pPr>
    </w:p>
    <w:p>
      <w:pPr>
        <w:widowControl w:val="0"/>
        <w:rPr>
          <w:rFonts w:ascii="Times New Roman" w:hAnsi="Times New Roman" w:eastAsia="仿宋_GB2312" w:cs="Times New Roman"/>
          <w:bCs/>
        </w:rPr>
      </w:pPr>
    </w:p>
    <w:p>
      <w:pPr>
        <w:widowControl w:val="0"/>
        <w:rPr>
          <w:rFonts w:ascii="Times New Roman" w:hAnsi="Times New Roman" w:eastAsia="仿宋_GB2312" w:cs="Times New Roman"/>
          <w:bCs/>
        </w:rPr>
      </w:pPr>
    </w:p>
    <w:p>
      <w:pPr>
        <w:widowControl w:val="0"/>
        <w:rPr>
          <w:rFonts w:ascii="Times New Roman" w:hAnsi="Times New Roman" w:eastAsia="仿宋_GB2312" w:cs="Times New Roman"/>
          <w:bCs/>
        </w:rPr>
      </w:pPr>
    </w:p>
    <w:p>
      <w:pPr>
        <w:tabs>
          <w:tab w:val="left" w:pos="7332"/>
          <w:tab w:val="left" w:pos="8640"/>
        </w:tabs>
        <w:spacing w:line="480" w:lineRule="exact"/>
        <w:ind w:firstLine="280" w:firstLineChars="100"/>
        <w:rPr>
          <w:rFonts w:ascii="Times New Roman" w:hAnsi="Times New Roman" w:eastAsia="仿宋_GB2312" w:cs="Times New Roman"/>
          <w:bCs/>
        </w:rPr>
      </w:pPr>
      <w:r>
        <w:rPr>
          <w:rFonts w:ascii="Times New Roman" w:hAnsi="Times New Roman" w:eastAsia="仿宋_GB2312" w:cs="Times New Roman"/>
          <w:sz w:val="28"/>
          <w:szCs w:val="28"/>
        </w:rPr>
        <w:pict>
          <v:line id="直线 8" o:spid="_x0000_s2052" o:spt="20" style="position:absolute;left:0pt;margin-left:0pt;margin-top:27.25pt;height:0.05pt;width:442pt;z-index:251662336;mso-width-relative:page;mso-height-relative:page;" coordsize="21600,21600">
            <v:path arrowok="t"/>
            <v:fill focussize="0,0"/>
            <v:stroke weight="1.25pt"/>
            <v:imagedata o:title=""/>
            <o:lock v:ext="edit"/>
          </v:line>
        </w:pict>
      </w:r>
      <w:r>
        <w:rPr>
          <w:rFonts w:ascii="Times New Roman" w:hAnsi="Times New Roman" w:eastAsia="仿宋_GB2312" w:cs="Times New Roman"/>
          <w:sz w:val="28"/>
          <w:szCs w:val="28"/>
        </w:rPr>
        <w:pict>
          <v:line id="直线 9" o:spid="_x0000_s2053" o:spt="20" style="position:absolute;left:0pt;margin-left:0pt;margin-top:1.8pt;height:0.05pt;width:442pt;z-index:251663360;mso-width-relative:page;mso-height-relative:page;" coordsize="21600,21600">
            <v:path arrowok="t"/>
            <v:fill focussize="0,0"/>
            <v:stroke weight="1pt"/>
            <v:imagedata o:title=""/>
            <o:lock v:ext="edit"/>
          </v:line>
        </w:pict>
      </w:r>
      <w:r>
        <w:rPr>
          <w:rFonts w:ascii="Times New Roman" w:hAnsi="Times New Roman" w:eastAsia="仿宋_GB2312" w:cs="Times New Roman"/>
          <w:sz w:val="28"/>
          <w:szCs w:val="28"/>
        </w:rPr>
        <w:t xml:space="preserve">沂源县人民政府办公室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2020</w:t>
      </w:r>
      <w:r>
        <w:rPr>
          <w:rFonts w:ascii="Times New Roman" w:hAnsi="仿宋_GB2312" w:eastAsia="仿宋_GB2312" w:cs="Times New Roman"/>
          <w:sz w:val="28"/>
          <w:szCs w:val="28"/>
        </w:rPr>
        <w:t>年</w:t>
      </w:r>
      <w:r>
        <w:rPr>
          <w:rFonts w:hint="eastAsia" w:ascii="Times New Roman" w:hAnsi="Times New Roman" w:eastAsia="仿宋_GB2312" w:cs="Times New Roman"/>
          <w:sz w:val="28"/>
          <w:szCs w:val="28"/>
        </w:rPr>
        <w:t>12</w:t>
      </w:r>
      <w:r>
        <w:rPr>
          <w:rFonts w:ascii="Times New Roman" w:hAnsi="仿宋_GB2312" w:eastAsia="仿宋_GB2312" w:cs="Times New Roman"/>
          <w:sz w:val="28"/>
          <w:szCs w:val="28"/>
        </w:rPr>
        <w:t>月</w:t>
      </w:r>
      <w:r>
        <w:rPr>
          <w:rFonts w:hint="eastAsia" w:ascii="Times New Roman" w:hAnsi="Times New Roman" w:eastAsia="仿宋_GB2312" w:cs="Times New Roman"/>
          <w:sz w:val="28"/>
          <w:szCs w:val="28"/>
        </w:rPr>
        <w:t>5</w:t>
      </w:r>
      <w:r>
        <w:rPr>
          <w:rFonts w:ascii="Times New Roman" w:hAnsi="仿宋_GB2312" w:eastAsia="仿宋_GB2312" w:cs="Times New Roman"/>
          <w:sz w:val="28"/>
          <w:szCs w:val="28"/>
        </w:rPr>
        <w:t>日印发</w:t>
      </w:r>
    </w:p>
    <w:sectPr>
      <w:pgSz w:w="11906" w:h="16838"/>
      <w:pgMar w:top="1985" w:right="1531" w:bottom="1701" w:left="1531" w:header="851" w:footer="1418"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Yu Mincho Light">
    <w:altName w:val="Yu Gothic"/>
    <w:panose1 w:val="00000000000000000000"/>
    <w:charset w:val="80"/>
    <w:family w:val="auto"/>
    <w:pitch w:val="default"/>
    <w:sig w:usb0="00000000" w:usb1="00000000" w:usb2="00000012" w:usb3="00000000" w:csb0="0002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left="220" w:leftChars="100" w:right="220" w:rightChars="1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left="220" w:leftChars="100" w:right="220" w:right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72E00"/>
    <w:multiLevelType w:val="singleLevel"/>
    <w:tmpl w:val="89272E00"/>
    <w:lvl w:ilvl="0" w:tentative="0">
      <w:start w:val="2"/>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0000009"/>
    <w:multiLevelType w:val="multilevel"/>
    <w:tmpl w:val="0000000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000000A"/>
    <w:multiLevelType w:val="multilevel"/>
    <w:tmpl w:val="0000000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000000B"/>
    <w:multiLevelType w:val="multilevel"/>
    <w:tmpl w:val="0000000B"/>
    <w:lvl w:ilvl="0" w:tentative="0">
      <w:start w:val="1"/>
      <w:numFmt w:val="decimal"/>
      <w:suff w:val="nothing"/>
      <w:lvlText w:val="%1."/>
      <w:lvlJc w:val="left"/>
      <w:pPr>
        <w:ind w:left="1080" w:hanging="420"/>
      </w:pPr>
      <w:rPr>
        <w:rFonts w:hint="eastAsia"/>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5">
    <w:nsid w:val="0000000C"/>
    <w:multiLevelType w:val="multilevel"/>
    <w:tmpl w:val="0000000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000000F"/>
    <w:multiLevelType w:val="multilevel"/>
    <w:tmpl w:val="0000000F"/>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0000010"/>
    <w:multiLevelType w:val="multilevel"/>
    <w:tmpl w:val="00000010"/>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8">
    <w:nsid w:val="0F90AE8C"/>
    <w:multiLevelType w:val="singleLevel"/>
    <w:tmpl w:val="0F90AE8C"/>
    <w:lvl w:ilvl="0" w:tentative="0">
      <w:start w:val="11"/>
      <w:numFmt w:val="decimal"/>
      <w:lvlText w:val="%1."/>
      <w:lvlJc w:val="left"/>
      <w:pPr>
        <w:tabs>
          <w:tab w:val="left" w:pos="312"/>
        </w:tabs>
      </w:pPr>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A9C5E91"/>
    <w:rsid w:val="000F3F14"/>
    <w:rsid w:val="002B26A5"/>
    <w:rsid w:val="003539ED"/>
    <w:rsid w:val="006351DD"/>
    <w:rsid w:val="006751F0"/>
    <w:rsid w:val="00713290"/>
    <w:rsid w:val="00857B70"/>
    <w:rsid w:val="008671B4"/>
    <w:rsid w:val="00B42E4B"/>
    <w:rsid w:val="00BE2A07"/>
    <w:rsid w:val="00BF391B"/>
    <w:rsid w:val="00C76B93"/>
    <w:rsid w:val="00C817B7"/>
    <w:rsid w:val="00D3264B"/>
    <w:rsid w:val="00E73160"/>
    <w:rsid w:val="00EF4284"/>
    <w:rsid w:val="011A751C"/>
    <w:rsid w:val="01232D65"/>
    <w:rsid w:val="014B79D5"/>
    <w:rsid w:val="01E1525A"/>
    <w:rsid w:val="02124084"/>
    <w:rsid w:val="02583078"/>
    <w:rsid w:val="0268605C"/>
    <w:rsid w:val="02955410"/>
    <w:rsid w:val="02B5597B"/>
    <w:rsid w:val="02C36341"/>
    <w:rsid w:val="02C6072D"/>
    <w:rsid w:val="02E72F92"/>
    <w:rsid w:val="03143544"/>
    <w:rsid w:val="035113F5"/>
    <w:rsid w:val="038776C3"/>
    <w:rsid w:val="039236DE"/>
    <w:rsid w:val="03ED150E"/>
    <w:rsid w:val="042856A6"/>
    <w:rsid w:val="043168B7"/>
    <w:rsid w:val="04F53C0E"/>
    <w:rsid w:val="05630539"/>
    <w:rsid w:val="05F05594"/>
    <w:rsid w:val="05F246B2"/>
    <w:rsid w:val="06DC7B0B"/>
    <w:rsid w:val="0826226D"/>
    <w:rsid w:val="084C614F"/>
    <w:rsid w:val="0861030A"/>
    <w:rsid w:val="086563BE"/>
    <w:rsid w:val="087D1DCE"/>
    <w:rsid w:val="08B7749F"/>
    <w:rsid w:val="098F225D"/>
    <w:rsid w:val="099B1773"/>
    <w:rsid w:val="0A8C4AB5"/>
    <w:rsid w:val="0B414829"/>
    <w:rsid w:val="0BA16D38"/>
    <w:rsid w:val="0BE90FC5"/>
    <w:rsid w:val="0C2C0BDF"/>
    <w:rsid w:val="0D04329C"/>
    <w:rsid w:val="0D080FC3"/>
    <w:rsid w:val="0D3B27DD"/>
    <w:rsid w:val="0D5808F8"/>
    <w:rsid w:val="0D8A29A8"/>
    <w:rsid w:val="0DB5206A"/>
    <w:rsid w:val="0E1749A0"/>
    <w:rsid w:val="0E26304B"/>
    <w:rsid w:val="0E6F1CBD"/>
    <w:rsid w:val="0F560CE4"/>
    <w:rsid w:val="0FF7339A"/>
    <w:rsid w:val="103D0949"/>
    <w:rsid w:val="10B74896"/>
    <w:rsid w:val="10DF1789"/>
    <w:rsid w:val="10F8281A"/>
    <w:rsid w:val="113A2020"/>
    <w:rsid w:val="11626842"/>
    <w:rsid w:val="12167535"/>
    <w:rsid w:val="127C3F10"/>
    <w:rsid w:val="128B73F4"/>
    <w:rsid w:val="12C50E2F"/>
    <w:rsid w:val="12EF7AFB"/>
    <w:rsid w:val="131847EC"/>
    <w:rsid w:val="137F7AEC"/>
    <w:rsid w:val="14123F63"/>
    <w:rsid w:val="141D4479"/>
    <w:rsid w:val="1476744E"/>
    <w:rsid w:val="158D5A64"/>
    <w:rsid w:val="164F626F"/>
    <w:rsid w:val="16E63C93"/>
    <w:rsid w:val="170B4C9A"/>
    <w:rsid w:val="170E0923"/>
    <w:rsid w:val="17A1246E"/>
    <w:rsid w:val="17C71A72"/>
    <w:rsid w:val="17E5339B"/>
    <w:rsid w:val="17EB5D80"/>
    <w:rsid w:val="188A33E7"/>
    <w:rsid w:val="18BC33C4"/>
    <w:rsid w:val="18C45CB8"/>
    <w:rsid w:val="19037D09"/>
    <w:rsid w:val="19F93DD6"/>
    <w:rsid w:val="1A0369D1"/>
    <w:rsid w:val="1AE94162"/>
    <w:rsid w:val="1B036F44"/>
    <w:rsid w:val="1B0F53FC"/>
    <w:rsid w:val="1B6310B4"/>
    <w:rsid w:val="1BD2047F"/>
    <w:rsid w:val="1C204768"/>
    <w:rsid w:val="1C234FF9"/>
    <w:rsid w:val="1CF42F89"/>
    <w:rsid w:val="1D583991"/>
    <w:rsid w:val="1DB1796E"/>
    <w:rsid w:val="1E6D6CF0"/>
    <w:rsid w:val="1EB20BD5"/>
    <w:rsid w:val="1EB622BA"/>
    <w:rsid w:val="1F0D0526"/>
    <w:rsid w:val="1F646E2E"/>
    <w:rsid w:val="1FEC187D"/>
    <w:rsid w:val="204120DC"/>
    <w:rsid w:val="20432498"/>
    <w:rsid w:val="205122CF"/>
    <w:rsid w:val="20AC0733"/>
    <w:rsid w:val="21384CC0"/>
    <w:rsid w:val="223C2AE6"/>
    <w:rsid w:val="223F21AB"/>
    <w:rsid w:val="22977E78"/>
    <w:rsid w:val="2324470C"/>
    <w:rsid w:val="23DD266E"/>
    <w:rsid w:val="24301F80"/>
    <w:rsid w:val="2451437C"/>
    <w:rsid w:val="25145006"/>
    <w:rsid w:val="25687A1B"/>
    <w:rsid w:val="257B107D"/>
    <w:rsid w:val="25DF705D"/>
    <w:rsid w:val="26580E0E"/>
    <w:rsid w:val="27045CE7"/>
    <w:rsid w:val="273750A0"/>
    <w:rsid w:val="27410842"/>
    <w:rsid w:val="281A3C80"/>
    <w:rsid w:val="284E54E8"/>
    <w:rsid w:val="29C069E5"/>
    <w:rsid w:val="29E217A6"/>
    <w:rsid w:val="2A5752B2"/>
    <w:rsid w:val="2B8C7097"/>
    <w:rsid w:val="2C0A610D"/>
    <w:rsid w:val="2C5B1858"/>
    <w:rsid w:val="2E0162A1"/>
    <w:rsid w:val="2E156D11"/>
    <w:rsid w:val="2EB70018"/>
    <w:rsid w:val="2EC02D39"/>
    <w:rsid w:val="2F504852"/>
    <w:rsid w:val="2FAC3DEF"/>
    <w:rsid w:val="3001516C"/>
    <w:rsid w:val="30757121"/>
    <w:rsid w:val="30C32A03"/>
    <w:rsid w:val="310A57B1"/>
    <w:rsid w:val="31641B9D"/>
    <w:rsid w:val="318228AC"/>
    <w:rsid w:val="31F22242"/>
    <w:rsid w:val="32F30AD3"/>
    <w:rsid w:val="333214CA"/>
    <w:rsid w:val="336D6E6B"/>
    <w:rsid w:val="33E93127"/>
    <w:rsid w:val="342F184E"/>
    <w:rsid w:val="34781D8F"/>
    <w:rsid w:val="34A1505D"/>
    <w:rsid w:val="34A725D7"/>
    <w:rsid w:val="35480A75"/>
    <w:rsid w:val="35722486"/>
    <w:rsid w:val="357A26C9"/>
    <w:rsid w:val="360D322F"/>
    <w:rsid w:val="36364483"/>
    <w:rsid w:val="364C63B0"/>
    <w:rsid w:val="36812D29"/>
    <w:rsid w:val="36AC0326"/>
    <w:rsid w:val="37C17013"/>
    <w:rsid w:val="382D64AC"/>
    <w:rsid w:val="383519F4"/>
    <w:rsid w:val="38690D7D"/>
    <w:rsid w:val="38837657"/>
    <w:rsid w:val="391B1AE9"/>
    <w:rsid w:val="393653D3"/>
    <w:rsid w:val="3A0136AA"/>
    <w:rsid w:val="3A137F09"/>
    <w:rsid w:val="3B810DB3"/>
    <w:rsid w:val="3BA46BB2"/>
    <w:rsid w:val="3BB50681"/>
    <w:rsid w:val="3BF546BE"/>
    <w:rsid w:val="3BF77A58"/>
    <w:rsid w:val="3C0A49A9"/>
    <w:rsid w:val="3CB979D9"/>
    <w:rsid w:val="3D154280"/>
    <w:rsid w:val="3D4773F8"/>
    <w:rsid w:val="3D493FF2"/>
    <w:rsid w:val="3D6D2F78"/>
    <w:rsid w:val="3D7A3B66"/>
    <w:rsid w:val="3E0104D0"/>
    <w:rsid w:val="3E390827"/>
    <w:rsid w:val="3EF86A3A"/>
    <w:rsid w:val="3F1D2B55"/>
    <w:rsid w:val="40072A6D"/>
    <w:rsid w:val="408F0446"/>
    <w:rsid w:val="40936A22"/>
    <w:rsid w:val="40D5590F"/>
    <w:rsid w:val="410E02B7"/>
    <w:rsid w:val="411A3F16"/>
    <w:rsid w:val="41A46BB6"/>
    <w:rsid w:val="41AF23EA"/>
    <w:rsid w:val="41E636D4"/>
    <w:rsid w:val="427A43AE"/>
    <w:rsid w:val="42DB14C7"/>
    <w:rsid w:val="42E22711"/>
    <w:rsid w:val="43077C19"/>
    <w:rsid w:val="43930A2C"/>
    <w:rsid w:val="445E1F4B"/>
    <w:rsid w:val="44B37AB3"/>
    <w:rsid w:val="44FE0851"/>
    <w:rsid w:val="45D97694"/>
    <w:rsid w:val="45FA2E4C"/>
    <w:rsid w:val="460C40ED"/>
    <w:rsid w:val="464D2C9C"/>
    <w:rsid w:val="46806768"/>
    <w:rsid w:val="46973822"/>
    <w:rsid w:val="471345E4"/>
    <w:rsid w:val="473C1DFE"/>
    <w:rsid w:val="474E6629"/>
    <w:rsid w:val="477B3782"/>
    <w:rsid w:val="47A139DA"/>
    <w:rsid w:val="48031F44"/>
    <w:rsid w:val="48286A74"/>
    <w:rsid w:val="487248E6"/>
    <w:rsid w:val="48962C37"/>
    <w:rsid w:val="495B4836"/>
    <w:rsid w:val="496731C7"/>
    <w:rsid w:val="49CB15EF"/>
    <w:rsid w:val="49D14899"/>
    <w:rsid w:val="49DE5CBD"/>
    <w:rsid w:val="49F00E4C"/>
    <w:rsid w:val="4A851887"/>
    <w:rsid w:val="4AD90469"/>
    <w:rsid w:val="4C1879B8"/>
    <w:rsid w:val="4C400DFA"/>
    <w:rsid w:val="4C475609"/>
    <w:rsid w:val="4CE93587"/>
    <w:rsid w:val="4DC45FDB"/>
    <w:rsid w:val="4E5A5710"/>
    <w:rsid w:val="4EF63C0B"/>
    <w:rsid w:val="4F1B1CB1"/>
    <w:rsid w:val="4F7E5E2F"/>
    <w:rsid w:val="4F806CA5"/>
    <w:rsid w:val="4FA2387A"/>
    <w:rsid w:val="50323B20"/>
    <w:rsid w:val="506705F2"/>
    <w:rsid w:val="507534D5"/>
    <w:rsid w:val="509140EA"/>
    <w:rsid w:val="50DC6E15"/>
    <w:rsid w:val="50FB4E87"/>
    <w:rsid w:val="517F06FE"/>
    <w:rsid w:val="51DA6330"/>
    <w:rsid w:val="52466A06"/>
    <w:rsid w:val="52CE0CC5"/>
    <w:rsid w:val="52D132FB"/>
    <w:rsid w:val="533C6004"/>
    <w:rsid w:val="53632CDE"/>
    <w:rsid w:val="53821212"/>
    <w:rsid w:val="53B963D7"/>
    <w:rsid w:val="53CC50AA"/>
    <w:rsid w:val="54557278"/>
    <w:rsid w:val="55CD0C73"/>
    <w:rsid w:val="565B0850"/>
    <w:rsid w:val="56DE48D5"/>
    <w:rsid w:val="57651B16"/>
    <w:rsid w:val="57DA18B8"/>
    <w:rsid w:val="57F94FF5"/>
    <w:rsid w:val="57FD1406"/>
    <w:rsid w:val="5842452C"/>
    <w:rsid w:val="58835A0C"/>
    <w:rsid w:val="58E253F6"/>
    <w:rsid w:val="59D64190"/>
    <w:rsid w:val="5A0D3738"/>
    <w:rsid w:val="5A5D752D"/>
    <w:rsid w:val="5A9F4057"/>
    <w:rsid w:val="5B4A66E3"/>
    <w:rsid w:val="5BF87262"/>
    <w:rsid w:val="5BFC03C2"/>
    <w:rsid w:val="5C0147BF"/>
    <w:rsid w:val="5C080C43"/>
    <w:rsid w:val="5C5E33FE"/>
    <w:rsid w:val="5C7077CB"/>
    <w:rsid w:val="5CC2021F"/>
    <w:rsid w:val="5CDD14B7"/>
    <w:rsid w:val="5D2457A3"/>
    <w:rsid w:val="5D3869AE"/>
    <w:rsid w:val="5D4B278F"/>
    <w:rsid w:val="5D7C4275"/>
    <w:rsid w:val="5E6823E1"/>
    <w:rsid w:val="5EA04505"/>
    <w:rsid w:val="5F5A581F"/>
    <w:rsid w:val="5F7E0F06"/>
    <w:rsid w:val="5F8F56EB"/>
    <w:rsid w:val="5FAD72E8"/>
    <w:rsid w:val="5FD64E8D"/>
    <w:rsid w:val="60272B2F"/>
    <w:rsid w:val="60613F1D"/>
    <w:rsid w:val="6063426A"/>
    <w:rsid w:val="608C5DBA"/>
    <w:rsid w:val="609D3453"/>
    <w:rsid w:val="60B37D01"/>
    <w:rsid w:val="60E425BF"/>
    <w:rsid w:val="60E8699C"/>
    <w:rsid w:val="610072C4"/>
    <w:rsid w:val="61233EE4"/>
    <w:rsid w:val="6134466A"/>
    <w:rsid w:val="61836F2F"/>
    <w:rsid w:val="61864586"/>
    <w:rsid w:val="61E52375"/>
    <w:rsid w:val="622122B8"/>
    <w:rsid w:val="62997060"/>
    <w:rsid w:val="62FC2C29"/>
    <w:rsid w:val="635908A9"/>
    <w:rsid w:val="636A223A"/>
    <w:rsid w:val="63762921"/>
    <w:rsid w:val="637B4B20"/>
    <w:rsid w:val="641A31F0"/>
    <w:rsid w:val="64546433"/>
    <w:rsid w:val="645F424B"/>
    <w:rsid w:val="64CA139B"/>
    <w:rsid w:val="6558619E"/>
    <w:rsid w:val="656D1C4C"/>
    <w:rsid w:val="65886CAC"/>
    <w:rsid w:val="65A9643B"/>
    <w:rsid w:val="6679638D"/>
    <w:rsid w:val="66B457BE"/>
    <w:rsid w:val="675E7327"/>
    <w:rsid w:val="679B0086"/>
    <w:rsid w:val="67D3151A"/>
    <w:rsid w:val="67D4175D"/>
    <w:rsid w:val="67F251A2"/>
    <w:rsid w:val="67FE5E0C"/>
    <w:rsid w:val="68394F34"/>
    <w:rsid w:val="684F79EA"/>
    <w:rsid w:val="689148EB"/>
    <w:rsid w:val="68E225FC"/>
    <w:rsid w:val="691E7C9F"/>
    <w:rsid w:val="69650045"/>
    <w:rsid w:val="69773C2F"/>
    <w:rsid w:val="69E7776F"/>
    <w:rsid w:val="6A825067"/>
    <w:rsid w:val="6AFA2CF6"/>
    <w:rsid w:val="6BDA5FE9"/>
    <w:rsid w:val="6BEC3696"/>
    <w:rsid w:val="6CC87708"/>
    <w:rsid w:val="6D1C64F1"/>
    <w:rsid w:val="6D344B3D"/>
    <w:rsid w:val="6DB5367C"/>
    <w:rsid w:val="6E6832BE"/>
    <w:rsid w:val="6E6D5114"/>
    <w:rsid w:val="6E914B00"/>
    <w:rsid w:val="6EAD4677"/>
    <w:rsid w:val="6F2B77C2"/>
    <w:rsid w:val="6F4C2BC6"/>
    <w:rsid w:val="6FE17142"/>
    <w:rsid w:val="701C0E4F"/>
    <w:rsid w:val="70C7638B"/>
    <w:rsid w:val="711F5CE1"/>
    <w:rsid w:val="71624592"/>
    <w:rsid w:val="727937F5"/>
    <w:rsid w:val="72A21078"/>
    <w:rsid w:val="735F14A8"/>
    <w:rsid w:val="746C3F35"/>
    <w:rsid w:val="74F736CD"/>
    <w:rsid w:val="75F67A9A"/>
    <w:rsid w:val="768010C0"/>
    <w:rsid w:val="769077B7"/>
    <w:rsid w:val="76FC7E28"/>
    <w:rsid w:val="76FE0E19"/>
    <w:rsid w:val="77144016"/>
    <w:rsid w:val="77260702"/>
    <w:rsid w:val="778073C7"/>
    <w:rsid w:val="77CA4FDD"/>
    <w:rsid w:val="77F52473"/>
    <w:rsid w:val="78313EF7"/>
    <w:rsid w:val="786A12E7"/>
    <w:rsid w:val="78FB1603"/>
    <w:rsid w:val="79405577"/>
    <w:rsid w:val="795D304B"/>
    <w:rsid w:val="799F4E00"/>
    <w:rsid w:val="7A6E0A90"/>
    <w:rsid w:val="7A9C5E91"/>
    <w:rsid w:val="7AB01473"/>
    <w:rsid w:val="7B5C105A"/>
    <w:rsid w:val="7B6D7325"/>
    <w:rsid w:val="7C2C22C7"/>
    <w:rsid w:val="7C472392"/>
    <w:rsid w:val="7C77701A"/>
    <w:rsid w:val="7CF61351"/>
    <w:rsid w:val="7D8D1159"/>
    <w:rsid w:val="7DEC5AC3"/>
    <w:rsid w:val="7E7B6787"/>
    <w:rsid w:val="7E7D7CD8"/>
    <w:rsid w:val="7EA7532B"/>
    <w:rsid w:val="7F024AE7"/>
    <w:rsid w:val="7F4E1BF5"/>
    <w:rsid w:val="7F5632CE"/>
    <w:rsid w:val="7FB54766"/>
    <w:rsid w:val="7FB874C2"/>
    <w:rsid w:val="7FEB3B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pPr>
    <w:rPr>
      <w:rFonts w:ascii="Tahoma" w:hAnsi="Tahoma" w:eastAsia="微软雅黑" w:cs="黑体"/>
      <w:sz w:val="22"/>
      <w:szCs w:val="22"/>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Cambria Math" w:hAnsi="Cambria Math" w:cs="Cambria Math"/>
      <w:b/>
      <w:bCs/>
      <w:sz w:val="32"/>
      <w:szCs w:val="32"/>
    </w:rPr>
  </w:style>
  <w:style w:type="paragraph" w:styleId="4">
    <w:name w:val="heading 3"/>
    <w:basedOn w:val="1"/>
    <w:next w:val="1"/>
    <w:qFormat/>
    <w:uiPriority w:val="0"/>
    <w:pPr>
      <w:keepNext/>
      <w:keepLines/>
      <w:spacing w:line="416" w:lineRule="auto"/>
      <w:outlineLvl w:val="2"/>
    </w:pPr>
    <w:rPr>
      <w:rFonts w:ascii="Yu Mincho Light" w:hAnsi="Yu Mincho Light" w:cs="Yu Mincho Light"/>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qFormat/>
    <w:uiPriority w:val="99"/>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rFonts w:ascii="Times New Roman" w:hAnsi="Times New Roman"/>
      <w:sz w:val="18"/>
    </w:rPr>
  </w:style>
  <w:style w:type="character" w:styleId="9">
    <w:name w:val="Emphasis"/>
    <w:basedOn w:val="8"/>
    <w:qFormat/>
    <w:uiPriority w:val="0"/>
    <w:rPr>
      <w:i/>
      <w:iCs/>
    </w:rPr>
  </w:style>
  <w:style w:type="paragraph" w:customStyle="1" w:styleId="10">
    <w:name w:val="List Paragraph1"/>
    <w:basedOn w:val="1"/>
    <w:qFormat/>
    <w:uiPriority w:val="0"/>
    <w:pPr>
      <w:ind w:firstLine="420" w:firstLineChars="200"/>
    </w:pPr>
    <w:rPr>
      <w:rFonts w:ascii="Yu Mincho Light" w:hAnsi="Yu Mincho Light" w:cs="Yu Mincho Light"/>
      <w:szCs w:val="21"/>
    </w:rPr>
  </w:style>
  <w:style w:type="character" w:customStyle="1" w:styleId="11">
    <w:name w:val="页脚 Char"/>
    <w:basedOn w:val="8"/>
    <w:link w:val="5"/>
    <w:qFormat/>
    <w:uiPriority w:val="99"/>
    <w:rPr>
      <w:rFonts w:ascii="Tahoma" w:hAnsi="Tahoma" w:eastAsia="微软雅黑" w:cs="黑体"/>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7"/>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629EF-1064-49F2-B425-7931FA97600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2910</Words>
  <Characters>16591</Characters>
  <Lines>138</Lines>
  <Paragraphs>38</Paragraphs>
  <TotalTime>77</TotalTime>
  <ScaleCrop>false</ScaleCrop>
  <LinksUpToDate>false</LinksUpToDate>
  <CharactersWithSpaces>19463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2020-12-01T08:57:00Z</dcterms:created>
  <dc:creator>Darren</dc:creator>
  <cp:lastModifiedBy>白白白白</cp:lastModifiedBy>
  <cp:lastPrinted>2020-12-05T08:59:00Z</cp:lastPrinted>
  <dcterms:modified xsi:type="dcterms:W3CDTF">2020-12-30T08:24:03Z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