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源政字〔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沂源县人民政府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关于公布沂源县第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十一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批非物质文化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遗产名录的通知</w:t>
      </w: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各镇人民政府，各街道办事处，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经济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开发区管委会，县政府各部门，各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企事业单位：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县政府批准县文化和旅游局确定的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批非物质文化遗产名录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，现予以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各级、各有关部门和单位要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以习近平新时代中国特色社会主义思想为指导，深入学习贯彻党的二十大精神，按照《中华人民共和国非物质文化遗产法》《山东省非物质文化遗产条例》等要求，坚持以社会主义核心价值观为引领，切实做好我县非物质文化遗产项目的保护、传承和管理工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大力传承和发扬独具特色的地域文化，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为弘扬中华民族优秀传统文化作出新的更大贡献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件：沂源县第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批非物质文化遗产名录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                        沂源县人民政府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（此件公开发布）</w:t>
      </w:r>
    </w:p>
    <w:p>
      <w:pPr>
        <w:ind w:firstLine="640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fill="FFFFFF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fill="FFFFFF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fill="FFFFFF"/>
          <w:lang w:eastAsia="zh-CN"/>
        </w:rPr>
        <w:t>沂源县第十一批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fill="FFFFFF"/>
        </w:rPr>
        <w:t>非物质文化遗产名录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fill="FFFFFF"/>
          <w:lang w:eastAsia="zh-CN"/>
        </w:rPr>
        <w:t>（共计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fill="FFFFFF"/>
          <w:lang w:val="en-US" w:eastAsia="zh-CN"/>
        </w:rPr>
        <w:t>15项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eastAsia="zh-CN"/>
        </w:rPr>
        <w:t>一、传统技艺（共计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eastAsia="zh-CN"/>
        </w:rPr>
        <w:t>项）</w:t>
      </w:r>
    </w:p>
    <w:tbl>
      <w:tblPr>
        <w:tblStyle w:val="7"/>
        <w:tblW w:w="9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1190"/>
        <w:gridCol w:w="3692"/>
        <w:gridCol w:w="4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tblHeader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Ⅷ—101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古法蓝晒技艺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沂源县人民路小学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Ⅷ—102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金乡韵石磨浆豆腐制作技艺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淄博金典餐饮有限公司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Ⅷ—103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景泰蓝掐丝彩沙画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沂源县鲁阳小学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Ⅷ—104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秋岚汤圆制作技艺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山东宏阳食品有限公司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Ⅷ—105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鲁山花生油古法压榨技艺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山东沂源乐万家酒业食品有限公司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Ⅷ—106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印象牛头宴制作技艺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印象（沂源）餐饮文化有限公司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Ⅷ—107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酸枣山果酒酿造技艺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淄博市枣花香酒业有限公司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Ⅷ—108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猪胰皂制作技艺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沂源县鹤汇堂综合商行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Ⅷ—109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泉聚庄户烧肉传统制作技艺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沂源县泉聚宾馆有限公司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Ⅷ—110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尊海冰糖葫芦传统制作技艺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尊海食品集团有限公司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Ⅷ—111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沂源传统修脚术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沂源县益升苝蒎修脚店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Ⅷ—112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麻绳手工编织技艺</w:t>
            </w:r>
          </w:p>
        </w:tc>
        <w:tc>
          <w:tcPr>
            <w:tcW w:w="40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山东期颐健康养老有限公司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</w:rPr>
        <w:t>、传统美术（共计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</w:rPr>
        <w:t>项）</w:t>
      </w:r>
    </w:p>
    <w:tbl>
      <w:tblPr>
        <w:tblStyle w:val="7"/>
        <w:tblW w:w="9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1107"/>
        <w:gridCol w:w="3523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Ⅶ—40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锦灰堆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沂源县历山街道办事处振兴路小学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三、传统音乐（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eastAsia="zh-CN"/>
        </w:rPr>
        <w:t>共计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</w:rPr>
        <w:t>项）</w:t>
      </w:r>
    </w:p>
    <w:tbl>
      <w:tblPr>
        <w:tblStyle w:val="7"/>
        <w:tblW w:w="9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1108"/>
        <w:gridCol w:w="3516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Ⅱ—4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古琴弹奏技艺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淄博龙之媒文化传播有限公司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eastAsia="zh-CN"/>
        </w:rPr>
        <w:t>四、民俗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</w:rPr>
        <w:t>（共计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sz w:val="28"/>
          <w:szCs w:val="28"/>
        </w:rPr>
        <w:t>项）</w:t>
      </w:r>
    </w:p>
    <w:tbl>
      <w:tblPr>
        <w:tblStyle w:val="7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117"/>
        <w:gridCol w:w="3512"/>
        <w:gridCol w:w="3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pacing w:val="0"/>
                <w:sz w:val="28"/>
                <w:szCs w:val="2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Ⅹ—21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抓周礼民俗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沂源县七色花母婴生活馆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7332"/>
        </w:tabs>
        <w:spacing w:line="480" w:lineRule="exact"/>
        <w:ind w:left="1267" w:leftChars="146" w:hanging="960" w:hangingChars="3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6134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15pt;height:0.05pt;width:442pt;z-index:251656192;mso-width-relative:page;mso-height-relative:page;" filled="f" stroked="t" coordsize="21600,21600" o:gfxdata="UEsDBAoAAAAAAIdO4kAAAAAAAAAAAAAAAAAEAAAAZHJzL1BLAwQUAAAACACHTuJAAG49odMAAAAE&#10;AQAADwAAAGRycy9kb3ducmV2LnhtbE2Py2rDMBBF94X8g5hCd42c1jTG8TiEQKGbpuTxAYo1sU2t&#10;kbGUh/P1na7a5eEO954pljfXqQsNofWMMJsmoIgrb1uuEQ779+cMVIiGrek8E8JIAZbl5KEwufVX&#10;3tJlF2slJRxyg9DE2Odah6ohZ8LU98SSnfzgTBQcam0Hc5Vy1+mXJHnTzrQsC43pad1Q9b07O4Tt&#10;2m/mqz79+tjEz9P8fh+pqkfEp8dZsgAV6Rb/juFXX9ShFKejP7MNqkOQRyJC+gpKwixLhY/CKeiy&#10;0P/lyx9QSwMEFAAAAAgAh07iQPmtPwDcAQAAmQMAAA4AAABkcnMvZTJvRG9jLnhtbK1TzY7TMBC+&#10;I/EOlu80aZeWVdR0D5TlgmClhQeY2k5iyX/yeJv2JXgBJG5w4sidt2F5DMZu6e7CBSFymIw9n7/M&#10;93myvNhZw7Yqovau5dNJzZlywkvt+pa/e3v55JwzTOAkGO9Uy/cK+cXq8aPlGBo184M3UkVGJA6b&#10;MbR8SCk0VYViUBZw4oNyVOx8tJBoGftKRhiJ3ZpqVteLavRRhuiFQqTd9aHIV4W/65RIb7oOVWKm&#10;5dRbKjGWuMmxWi2h6SOEQYtjG/APXVjQjj56olpDAnYT9R9UVovo0XdpIrytfNdpoYoGUjOtf1Nz&#10;PUBQRQuZg+FkE/4/WvF6exWZli2fcebA0hXdfvj6/f2nH98+Urz98pnNskljwIaw1+EqHldIaVa8&#10;66LNb9LCdsXY/clYtUtM0OZ8MT17WpP/gmqLs3lmrO6OhojppfKW5aTlRrusGhrYvsJ0gP6C5G3j&#10;2EizNj9/NidGoKnpDCRKbSAd6PpyGL3R8lIbk49g7DfPTWRbyHNQnmMPD2D5K2vA4YArpQyDZlAg&#10;XzjJ0j6QQ45GmecerJKcGUWTn7OCTKDN3yBJvnHkQjb2YGXONl7u6T5uQtT9QFZMS5e5QvdfPDvO&#10;ah6w++vCdPdHrX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G49odMAAAAEAQAADwAAAAAAAAAB&#10;ACAAAAAiAAAAZHJzL2Rvd25yZXYueG1sUEsBAhQAFAAAAAgAh07iQPmtPwDcAQAAmQMAAA4AAAAA&#10;AAAAAQAgAAAAIgEAAGRycy9lMm9Eb2MueG1sUEsFBgAAAAAGAAYAWQEAAHA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z w:val="28"/>
          <w:szCs w:val="28"/>
        </w:rPr>
        <w:t>抄送：县委各部门，县人大常委会办公室，县政协办公室，县监委，</w:t>
      </w:r>
    </w:p>
    <w:p>
      <w:pPr>
        <w:tabs>
          <w:tab w:val="left" w:pos="7332"/>
        </w:tabs>
        <w:spacing w:line="480" w:lineRule="exact"/>
        <w:ind w:left="1112" w:leftChars="529" w:hanging="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县法院，县检察院。</w:t>
      </w:r>
    </w:p>
    <w:p>
      <w:pPr>
        <w:tabs>
          <w:tab w:val="left" w:pos="7332"/>
        </w:tabs>
        <w:spacing w:line="480" w:lineRule="exact"/>
        <w:ind w:left="1112" w:leftChars="529" w:hanging="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县工商联。</w:t>
      </w:r>
    </w:p>
    <w:p>
      <w:pPr>
        <w:tabs>
          <w:tab w:val="left" w:pos="7332"/>
          <w:tab w:val="left" w:pos="8640"/>
        </w:tabs>
        <w:spacing w:line="480" w:lineRule="exact"/>
        <w:ind w:firstLine="280" w:firstLineChars="100"/>
        <w:rPr>
          <w:rFonts w:hint="default"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56134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25pt;height:0.05pt;width:442pt;z-index:251658240;mso-width-relative:page;mso-height-relative:page;" filled="f" stroked="t" coordsize="21600,21600" o:gfxdata="UEsDBAoAAAAAAIdO4kAAAAAAAAAAAAAAAAAEAAAAZHJzL1BLAwQUAAAACACHTuJAVzgC7NYAAAAG&#10;AQAADwAAAGRycy9kb3ducmV2LnhtbE2PzWrDMBCE74W8g9hAb42c4iTGtRxKoNBLU5L2ARRrY5ta&#10;K2Ntfpyn7+bUHmdmmfm2WF99p844xDaQgfksAYVUBddSbeD76+0pAxXZkrNdIDQwYoR1OXkobO7C&#10;hXZ43nOtpIRibg00zH2udawa9DbOQo8k2TEM3rLIodZusBcp951+TpKl9rYlWWhsj5sGq5/9yRvY&#10;bcJ29dqnn+9b/jiubrcRq3o05nE6T15AMV757xju+IIOpTAdwolcVJ0BeYQNLNIFKEmzLBXjcDeW&#10;oMtC/8cvfwFQSwMEFAAAAAgAh07iQP5zDdHcAQAAmQMAAA4AAABkcnMvZTJvRG9jLnhtbK1TzY7T&#10;MBC+I/EOlu806ZaWVdR0D5TlgmClhQeY2k5iyX/yeJv2JXgBJG5w4sidt2F5DMZu6e7CBSFymIw9&#10;n7/M93myvNhZw7Yqovau5dNJzZlywkvt+pa/e3v55JwzTOAkGO9Uy/cK+cXq8aPlGBp15gdvpIqM&#10;SBw2Y2j5kFJoqgrFoCzgxAflqNj5aCHRMvaVjDASuzXVWV0vqtFHGaIXCpF214ciXxX+rlMivek6&#10;VImZllNvqcRY4ibHarWEpo8QBi2ObcA/dGFBO/roiWoNCdhN1H9QWS2iR9+lifC28l2nhSoaSM20&#10;/k3N9QBBFS1kDoaTTfj/aMXr7VVkWrZ8xpkDS1d0++Hr9/effnz7SPH2y2c2yyaNARvCXoereFwh&#10;pVnxros2v0kL2xVj9ydj1S4xQZvzxXT2tCb/BdUWs3lmrO6OhojppfKW5aTlRrusGhrYvsJ0gP6C&#10;5G3j2EizNj9/NidGoKnpDCRKbSAd6PpyGL3R8lIbk49g7DfPTWRbyHNQnmMPD2D5K2vA4YArpQyD&#10;ZlAgXzjJ0j6QQ45GmecerJKcGUWTn7OCTKDN3yBJvnHkQjb2YGXONl7u6T5uQtT9QFZMS5e5Qvdf&#10;PDvOah6w++vCdPdHrX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zgC7NYAAAAGAQAADwAAAAAA&#10;AAABACAAAAAiAAAAZHJzL2Rvd25yZXYueG1sUEsBAhQAFAAAAAgAh07iQP5zDdHcAQAAmQMAAA4A&#10;AAAAAAAAAQAgAAAAJQ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134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.05pt;width:442pt;z-index:251659264;mso-width-relative:page;mso-height-relative:page;" filled="f" stroked="t" coordsize="21600,21600" o:gfxdata="UEsDBAoAAAAAAIdO4kAAAAAAAAAAAAAAAAAEAAAAZHJzL1BLAwQUAAAACACHTuJA7f/jQdQAAAAE&#10;AQAADwAAAGRycy9kb3ducmV2LnhtbE2Py07DMBBF90j8gzVI7KjTglorxOkCVFUgNm2R2E6TaZwS&#10;j9PYffD3DKuyPLqje88U84vv1ImG2Aa2MB5loIirULfcWPjcLB4MqJiQa+wCk4UfijAvb28KzOtw&#10;5hWd1qlRUsIxRwsupT7XOlaOPMZR6Ikl24XBYxIcGl0PeJZy3+lJlk21x5ZlwWFPL46q7/XRW8DX&#10;5Sp9mcn7rH1zH/vN4rB05mDt/d04ewaV6JKux/CnL+pQitM2HLmOqrMgjyQLj1NQEhrzJLwVnoEu&#10;C/1fvvwFUEsDBBQAAAAIAIdO4kBBr6nQ3AEAAJkDAAAOAAAAZHJzL2Uyb0RvYy54bWytU0uOEzEQ&#10;3SNxB8t70p0MCaNWOrMgDBsEIw0coGK7uy35J5cnnVyCCyCxgxVL9txmhmNQdjIZPhuEyKJSdpWf&#10;6z2/Xl7srGFbFVF71/LppOZMOeGldn3L3729fHLOGSZwEox3quV7hfxi9fjRcgyNmvnBG6kiIxCH&#10;zRhaPqQUmqpCMSgLOPFBOSp2PlpItIx9JSOMhG5NNavrRTX6KEP0QiHS7vpQ5KuC33VKpDddhyox&#10;03KaLZUYS9zkWK2W0PQRwqDFcQz4hyksaEeXnqDWkIDdRP0HlNUievRdmghvK991WqjCgdhM69/Y&#10;XA8QVOFC4mA4yYT/D1a83l5FpmXL55w5sPREdx++3r7/9P3bR4p3Xz6zeRZpDNhQ73W4iscVUpoZ&#10;77po8z9xYbsi7P4krNolJmhzvpiePa1Jf0G1xVlBrB6OhojppfKW5aTlRrvMGhrYvsJE11HrfUve&#10;No6N5LXZs4II5JrOQCJwG4gHur4cRm+0vNTG5CMY+81zE9kWsg/KL7Mi4F/a8i1rwOHQV0oHhwwK&#10;5AsnWdoHUsiRlXmewSrJmVHk/JwRIDQJtPmbTrraOJogC3uQMmcbL/f0Hjch6n4gKaZlylyh9y/z&#10;Hr2aDfbzuiA9fFG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3/40HUAAAABAEAAA8AAAAAAAAA&#10;AQAgAAAAIgAAAGRycy9kb3ducmV2LnhtbFBLAQIUABQAAAAIAIdO4kBBr6nQ3AEAAJk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z w:val="28"/>
          <w:szCs w:val="28"/>
        </w:rPr>
        <w:t>沂源县人民政府办公室</w:t>
      </w:r>
      <w:r>
        <w:rPr>
          <w:rFonts w:ascii="Times New Roman" w:hAnsi="Times New Roman" w:eastAsia="仿宋_GB2312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 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ascii="Times New Roman" w:hAnsi="仿宋_GB2312" w:eastAsia="仿宋_GB2312"/>
          <w:sz w:val="28"/>
          <w:szCs w:val="28"/>
        </w:rPr>
        <w:t>年</w:t>
      </w:r>
      <w:r>
        <w:rPr>
          <w:rFonts w:hint="eastAsia" w:ascii="Times New Roman" w:hAnsi="仿宋_GB2312" w:eastAsia="仿宋_GB2312"/>
          <w:sz w:val="28"/>
          <w:szCs w:val="28"/>
          <w:lang w:val="en-US" w:eastAsia="zh-CN"/>
        </w:rPr>
        <w:t>12</w:t>
      </w:r>
      <w:r>
        <w:rPr>
          <w:rFonts w:ascii="Times New Roman" w:hAnsi="仿宋_GB2312" w:eastAsia="仿宋_GB2312"/>
          <w:sz w:val="28"/>
          <w:szCs w:val="28"/>
        </w:rPr>
        <w:t>月</w:t>
      </w:r>
      <w:r>
        <w:rPr>
          <w:rFonts w:hint="eastAsia" w:ascii="Times New Roman" w:hAnsi="仿宋_GB2312" w:eastAsia="仿宋_GB2312"/>
          <w:sz w:val="28"/>
          <w:szCs w:val="28"/>
          <w:lang w:val="en-US" w:eastAsia="zh-CN"/>
        </w:rPr>
        <w:t>29</w:t>
      </w:r>
      <w:r>
        <w:rPr>
          <w:rFonts w:ascii="Times New Roman" w:hAns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531" w:bottom="1701" w:left="1531" w:header="851" w:footer="141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ZmVjNTRiNmNiYTQ4ZmE4YmY5YzEyMTRkZjcwMGQifQ=="/>
  </w:docVars>
  <w:rsids>
    <w:rsidRoot w:val="231233CE"/>
    <w:rsid w:val="022F09D3"/>
    <w:rsid w:val="231233CE"/>
    <w:rsid w:val="26436BD9"/>
    <w:rsid w:val="413466DE"/>
    <w:rsid w:val="43123DB8"/>
    <w:rsid w:val="540168F4"/>
    <w:rsid w:val="5AE60DE5"/>
    <w:rsid w:val="73EA2AA9"/>
    <w:rsid w:val="77B42C39"/>
    <w:rsid w:val="78B4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795</Words>
  <Characters>836</Characters>
  <Lines>0</Lines>
  <Paragraphs>0</Paragraphs>
  <TotalTime>4</TotalTime>
  <ScaleCrop>false</ScaleCrop>
  <LinksUpToDate>false</LinksUpToDate>
  <CharactersWithSpaces>899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2023-12-07T03:12:00Z</dcterms:created>
  <dc:creator>未完 待续</dc:creator>
  <cp:lastModifiedBy>Administrator</cp:lastModifiedBy>
  <cp:lastPrinted>2024-12-30T03:33:44Z</cp:lastPrinted>
  <dcterms:modified xsi:type="dcterms:W3CDTF">2024-12-30T03:33:47Z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  <property fmtid="{D5CDD505-2E9C-101B-9397-08002B2CF9AE}" pid="3" name="ICV">
    <vt:lpwstr>1C2BF7D92C9B4C358D9175A43176FA2E_13</vt:lpwstr>
  </property>
</Properties>
</file>