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eastAsia="方正小标宋简体"/>
          <w:color w:val="FF0000"/>
          <w:w w:val="45"/>
          <w:sz w:val="130"/>
          <w:szCs w:val="130"/>
        </w:rPr>
      </w:pPr>
      <w:r>
        <w:rPr>
          <w:rFonts w:ascii="方正小标宋简体" w:eastAsia="方正小标宋简体"/>
          <w:color w:val="FF0000"/>
          <w:sz w:val="130"/>
          <w:szCs w:val="130"/>
        </w:rPr>
        <w:pict>
          <v:line id="_x0000_s2056" o:spid="_x0000_s2056" o:spt="20" style="position:absolute;left:0pt;margin-left:282.95pt;margin-top:87.45pt;height:0pt;width:0pt;z-index:251663360;mso-width-relative:page;mso-height-relative:page;" coordsize="21600,21600">
            <v:path arrowok="t"/>
            <v:fill focussize="0,0"/>
            <v:stroke/>
            <v:imagedata o:title=""/>
            <o:lock v:ext="edit"/>
          </v:line>
        </w:pict>
      </w:r>
    </w:p>
    <w:p>
      <w:pPr>
        <w:tabs>
          <w:tab w:val="left" w:pos="1460"/>
          <w:tab w:val="center" w:pos="4422"/>
        </w:tabs>
        <w:spacing w:line="580" w:lineRule="exact"/>
        <w:jc w:val="left"/>
        <w:rPr>
          <w:rFonts w:ascii="仿宋_GB2312" w:eastAsia="仿宋_GB2312"/>
          <w:b/>
          <w:sz w:val="32"/>
          <w:szCs w:val="32"/>
        </w:rPr>
      </w:pPr>
      <w:r>
        <w:rPr>
          <w:rFonts w:ascii="仿宋_GB2312" w:eastAsia="仿宋_GB2312"/>
          <w:b/>
          <w:sz w:val="32"/>
          <w:szCs w:val="32"/>
        </w:rPr>
        <w:tab/>
      </w:r>
    </w:p>
    <w:p>
      <w:pPr>
        <w:tabs>
          <w:tab w:val="left" w:pos="1615"/>
          <w:tab w:val="center" w:pos="4422"/>
        </w:tabs>
        <w:spacing w:line="580" w:lineRule="exact"/>
        <w:jc w:val="center"/>
        <w:rPr>
          <w:rFonts w:ascii="仿宋_GB2312" w:eastAsia="仿宋_GB2312"/>
          <w:b/>
          <w:sz w:val="32"/>
          <w:szCs w:val="32"/>
        </w:rPr>
      </w:pPr>
      <w:r>
        <w:rPr>
          <w:rFonts w:hint="eastAsia" w:ascii="仿宋_GB2312" w:eastAsia="仿宋_GB2312" w:cs="方正小标宋简体"/>
          <w:b/>
          <w:sz w:val="32"/>
          <w:szCs w:val="32"/>
        </w:rPr>
        <w:t>源政字〔2020〕5号</w:t>
      </w:r>
    </w:p>
    <w:p>
      <w:pPr>
        <w:tabs>
          <w:tab w:val="left" w:pos="1460"/>
          <w:tab w:val="center" w:pos="4422"/>
        </w:tabs>
        <w:spacing w:line="580" w:lineRule="exact"/>
        <w:jc w:val="left"/>
        <w:rPr>
          <w:rFonts w:ascii="仿宋_GB2312" w:eastAsia="仿宋_GB2312"/>
          <w:b/>
          <w:sz w:val="32"/>
          <w:szCs w:val="32"/>
        </w:rPr>
      </w:pPr>
    </w:p>
    <w:p>
      <w:pPr>
        <w:spacing w:line="640" w:lineRule="exact"/>
        <w:jc w:val="center"/>
        <w:rPr>
          <w:rFonts w:ascii="仿宋_GB2312" w:hAnsi="方正小标宋简体" w:eastAsia="仿宋_GB2312" w:cs="方正小标宋简体"/>
          <w:bCs/>
          <w:sz w:val="32"/>
          <w:szCs w:val="32"/>
        </w:rPr>
      </w:pPr>
    </w:p>
    <w:p>
      <w:pPr>
        <w:spacing w:line="60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沂源县人民政府</w:t>
      </w:r>
    </w:p>
    <w:p>
      <w:pPr>
        <w:spacing w:line="60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关于公布沂源县2020年新旧动能转换</w:t>
      </w:r>
      <w:bookmarkStart w:id="0" w:name="_GoBack"/>
      <w:bookmarkEnd w:id="0"/>
    </w:p>
    <w:p>
      <w:pPr>
        <w:spacing w:line="60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重大项目名单的通知</w:t>
      </w:r>
    </w:p>
    <w:p>
      <w:pPr>
        <w:spacing w:line="600" w:lineRule="exact"/>
        <w:rPr>
          <w:rFonts w:ascii="Times New Roman" w:hAnsi="Times New Roman" w:eastAsia="仿宋_GB2312" w:cs="Times New Roman"/>
          <w:b/>
          <w:bCs/>
          <w:sz w:val="32"/>
          <w:szCs w:val="32"/>
        </w:rPr>
      </w:pPr>
    </w:p>
    <w:p>
      <w:pPr>
        <w:spacing w:line="600" w:lineRule="exact"/>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各镇人民政府，各街道办事处，开发区管委会，县政府各部门，各企事业单位：</w:t>
      </w:r>
    </w:p>
    <w:p>
      <w:pPr>
        <w:spacing w:line="600" w:lineRule="exact"/>
        <w:ind w:firstLine="643" w:firstLineChars="2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2020年是全面建成小康社会和“十三五”规划收官之年。为加快推动新旧动能转换，促进全县经济社会持续健康发展，经研究，确定2020年新旧动能转换重大项目80个，总投资384亿元，年度计划投资110亿元。现将项目名单予以公布。</w:t>
      </w:r>
    </w:p>
    <w:p>
      <w:pPr>
        <w:spacing w:line="600" w:lineRule="exact"/>
        <w:ind w:firstLine="643" w:firstLineChars="2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各级各部门要按照县委、县政府工作要求，切实加强组织领导，健全项目推进机制，提高项目审批效率和服务保障水平，强化督导考核，确保重大项目顺利实施。</w:t>
      </w:r>
    </w:p>
    <w:p>
      <w:pPr>
        <w:spacing w:line="600" w:lineRule="exact"/>
        <w:rPr>
          <w:rFonts w:ascii="仿宋_GB2312" w:hAnsi="Times New Roman" w:eastAsia="仿宋_GB2312" w:cs="Times New Roman"/>
          <w:b/>
          <w:bCs/>
          <w:sz w:val="32"/>
          <w:szCs w:val="32"/>
        </w:rPr>
      </w:pPr>
    </w:p>
    <w:p>
      <w:pPr>
        <w:spacing w:line="600" w:lineRule="exact"/>
        <w:ind w:firstLine="643" w:firstLineChars="2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附件：沂源县2020年新旧动能转换重大项目名单</w:t>
      </w:r>
    </w:p>
    <w:p>
      <w:pPr>
        <w:spacing w:line="600" w:lineRule="exact"/>
        <w:ind w:firstLine="643" w:firstLineChars="200"/>
        <w:rPr>
          <w:rFonts w:ascii="仿宋_GB2312" w:hAnsi="Times New Roman" w:eastAsia="仿宋_GB2312" w:cs="Times New Roman"/>
          <w:b/>
          <w:bCs/>
          <w:sz w:val="32"/>
          <w:szCs w:val="32"/>
        </w:rPr>
      </w:pPr>
    </w:p>
    <w:p>
      <w:pPr>
        <w:spacing w:line="600" w:lineRule="exact"/>
        <w:ind w:firstLine="643" w:firstLineChars="200"/>
        <w:rPr>
          <w:rFonts w:ascii="仿宋_GB2312" w:hAnsi="Times New Roman" w:eastAsia="仿宋_GB2312" w:cs="Times New Roman"/>
          <w:b/>
          <w:bCs/>
          <w:sz w:val="32"/>
          <w:szCs w:val="32"/>
        </w:rPr>
      </w:pPr>
    </w:p>
    <w:p>
      <w:pPr>
        <w:spacing w:line="600" w:lineRule="exact"/>
        <w:ind w:right="932" w:rightChars="444"/>
        <w:jc w:val="distribute"/>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 xml:space="preserve">                               沂源县人民政府</w:t>
      </w:r>
    </w:p>
    <w:p>
      <w:pPr>
        <w:spacing w:line="600" w:lineRule="exact"/>
        <w:ind w:firstLine="5140" w:firstLineChars="16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2020年1月22日</w:t>
      </w:r>
    </w:p>
    <w:p>
      <w:pPr>
        <w:spacing w:line="600" w:lineRule="exact"/>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 xml:space="preserve">    （此件公开发布）</w:t>
      </w:r>
    </w:p>
    <w:p>
      <w:pPr>
        <w:spacing w:line="560" w:lineRule="exact"/>
        <w:rPr>
          <w:rFonts w:ascii="仿宋_GB2312" w:hAnsi="Times New Roman" w:eastAsia="仿宋_GB2312" w:cs="Times New Roman"/>
          <w:b/>
          <w:bCs/>
          <w:sz w:val="32"/>
          <w:szCs w:val="32"/>
        </w:rPr>
      </w:pPr>
    </w:p>
    <w:p>
      <w:pPr>
        <w:spacing w:line="560" w:lineRule="exact"/>
        <w:rPr>
          <w:rFonts w:ascii="仿宋_GB2312" w:hAnsi="Times New Roman" w:eastAsia="仿宋_GB2312" w:cs="Times New Roman"/>
          <w:b/>
          <w:bCs/>
          <w:sz w:val="32"/>
          <w:szCs w:val="32"/>
        </w:rPr>
      </w:pPr>
    </w:p>
    <w:p>
      <w:pPr>
        <w:spacing w:line="560" w:lineRule="exact"/>
        <w:rPr>
          <w:rFonts w:ascii="仿宋_GB2312" w:hAnsi="Times New Roman" w:eastAsia="仿宋_GB2312" w:cs="Times New Roman"/>
          <w:b/>
          <w:bCs/>
          <w:sz w:val="32"/>
          <w:szCs w:val="32"/>
        </w:rPr>
      </w:pPr>
    </w:p>
    <w:p>
      <w:pPr>
        <w:spacing w:line="560" w:lineRule="exact"/>
        <w:rPr>
          <w:rFonts w:ascii="仿宋_GB2312" w:hAnsi="Times New Roman" w:eastAsia="仿宋_GB2312" w:cs="Times New Roman"/>
          <w:b/>
          <w:bCs/>
          <w:sz w:val="32"/>
          <w:szCs w:val="32"/>
        </w:rPr>
      </w:pPr>
    </w:p>
    <w:p>
      <w:pPr>
        <w:spacing w:line="560" w:lineRule="exact"/>
        <w:rPr>
          <w:rFonts w:ascii="仿宋_GB2312" w:hAnsi="Times New Roman" w:eastAsia="仿宋_GB2312" w:cs="Times New Roman"/>
          <w:b/>
          <w:bCs/>
          <w:sz w:val="32"/>
          <w:szCs w:val="32"/>
        </w:rPr>
      </w:pPr>
    </w:p>
    <w:p>
      <w:pPr>
        <w:spacing w:line="560" w:lineRule="exact"/>
        <w:rPr>
          <w:rFonts w:ascii="仿宋_GB2312" w:hAnsi="Times New Roman" w:eastAsia="仿宋_GB2312" w:cs="Times New Roman"/>
          <w:b/>
          <w:bCs/>
          <w:sz w:val="32"/>
          <w:szCs w:val="32"/>
        </w:rPr>
      </w:pPr>
    </w:p>
    <w:p>
      <w:pPr>
        <w:spacing w:line="560" w:lineRule="exact"/>
        <w:rPr>
          <w:rFonts w:ascii="仿宋_GB2312" w:hAnsi="Times New Roman" w:eastAsia="仿宋_GB2312" w:cs="Times New Roman"/>
          <w:b/>
          <w:bCs/>
          <w:sz w:val="32"/>
          <w:szCs w:val="32"/>
        </w:rPr>
      </w:pPr>
    </w:p>
    <w:p>
      <w:pPr>
        <w:spacing w:line="560" w:lineRule="exact"/>
        <w:rPr>
          <w:rFonts w:ascii="仿宋_GB2312" w:hAnsi="Times New Roman" w:eastAsia="仿宋_GB2312" w:cs="Times New Roman"/>
          <w:b/>
          <w:bCs/>
          <w:sz w:val="32"/>
          <w:szCs w:val="32"/>
        </w:rPr>
      </w:pPr>
    </w:p>
    <w:p>
      <w:pPr>
        <w:spacing w:line="560" w:lineRule="exact"/>
        <w:rPr>
          <w:rFonts w:ascii="仿宋_GB2312" w:hAnsi="Times New Roman" w:eastAsia="仿宋_GB2312" w:cs="Times New Roman"/>
          <w:b/>
          <w:bCs/>
          <w:sz w:val="32"/>
          <w:szCs w:val="32"/>
        </w:rPr>
      </w:pPr>
    </w:p>
    <w:p>
      <w:pPr>
        <w:spacing w:line="560" w:lineRule="exact"/>
        <w:rPr>
          <w:rFonts w:ascii="仿宋_GB2312" w:hAnsi="Times New Roman" w:eastAsia="仿宋_GB2312" w:cs="Times New Roman"/>
          <w:b/>
          <w:bCs/>
          <w:sz w:val="32"/>
          <w:szCs w:val="32"/>
        </w:rPr>
      </w:pPr>
    </w:p>
    <w:p>
      <w:pPr>
        <w:spacing w:line="560" w:lineRule="exact"/>
        <w:rPr>
          <w:rFonts w:ascii="仿宋_GB2312" w:hAnsi="Times New Roman" w:eastAsia="仿宋_GB2312" w:cs="Times New Roman"/>
          <w:b/>
          <w:bCs/>
          <w:sz w:val="32"/>
          <w:szCs w:val="32"/>
        </w:rPr>
      </w:pPr>
    </w:p>
    <w:p>
      <w:pPr>
        <w:spacing w:line="560" w:lineRule="exact"/>
        <w:rPr>
          <w:rFonts w:ascii="仿宋_GB2312" w:hAnsi="Times New Roman" w:eastAsia="仿宋_GB2312" w:cs="Times New Roman"/>
          <w:b/>
          <w:bCs/>
          <w:sz w:val="32"/>
          <w:szCs w:val="32"/>
        </w:rPr>
      </w:pPr>
    </w:p>
    <w:p>
      <w:pPr>
        <w:spacing w:line="560" w:lineRule="exact"/>
        <w:rPr>
          <w:rFonts w:ascii="仿宋_GB2312" w:hAnsi="Times New Roman" w:eastAsia="仿宋_GB2312" w:cs="Times New Roman"/>
          <w:b/>
          <w:bCs/>
          <w:sz w:val="32"/>
          <w:szCs w:val="32"/>
        </w:rPr>
      </w:pPr>
    </w:p>
    <w:p>
      <w:pPr>
        <w:spacing w:line="560" w:lineRule="exact"/>
        <w:rPr>
          <w:rFonts w:ascii="仿宋_GB2312" w:hAnsi="Times New Roman" w:eastAsia="仿宋_GB2312" w:cs="Times New Roman"/>
          <w:b/>
          <w:bCs/>
          <w:sz w:val="32"/>
          <w:szCs w:val="32"/>
        </w:rPr>
      </w:pPr>
    </w:p>
    <w:p>
      <w:pPr>
        <w:spacing w:line="560" w:lineRule="exact"/>
        <w:rPr>
          <w:rFonts w:ascii="黑体" w:hAnsi="黑体" w:eastAsia="黑体" w:cs="Times New Roman"/>
          <w:b/>
          <w:bCs/>
          <w:sz w:val="32"/>
          <w:szCs w:val="32"/>
        </w:rPr>
      </w:pPr>
      <w:r>
        <w:rPr>
          <w:rFonts w:hint="eastAsia" w:ascii="黑体" w:hAnsi="黑体" w:eastAsia="黑体" w:cs="Times New Roman"/>
          <w:b/>
          <w:bCs/>
          <w:sz w:val="32"/>
          <w:szCs w:val="32"/>
        </w:rPr>
        <w:t>附件</w:t>
      </w:r>
    </w:p>
    <w:p>
      <w:pPr>
        <w:spacing w:line="560" w:lineRule="exact"/>
        <w:rPr>
          <w:rFonts w:ascii="仿宋_GB2312" w:hAnsi="Times New Roman" w:eastAsia="仿宋_GB2312" w:cs="Times New Roman"/>
          <w:b/>
          <w:bCs/>
          <w:sz w:val="32"/>
          <w:szCs w:val="32"/>
        </w:rPr>
      </w:pPr>
    </w:p>
    <w:p>
      <w:pPr>
        <w:jc w:val="center"/>
        <w:rPr>
          <w:rFonts w:ascii="方正小标宋简体" w:hAnsi="宋体" w:eastAsia="方正小标宋简体" w:cs="宋体"/>
          <w:b/>
          <w:bCs/>
          <w:kern w:val="0"/>
          <w:sz w:val="40"/>
          <w:szCs w:val="36"/>
        </w:rPr>
      </w:pPr>
      <w:r>
        <w:rPr>
          <w:rFonts w:hint="eastAsia" w:ascii="方正小标宋简体" w:hAnsi="宋体" w:eastAsia="方正小标宋简体" w:cs="宋体"/>
          <w:b/>
          <w:bCs/>
          <w:kern w:val="0"/>
          <w:sz w:val="40"/>
          <w:szCs w:val="36"/>
        </w:rPr>
        <w:t>沂源县2020年新旧动能转换重大项目名单</w:t>
      </w:r>
    </w:p>
    <w:p>
      <w:pPr>
        <w:jc w:val="center"/>
        <w:rPr>
          <w:rFonts w:ascii="Times New Roman" w:hAnsi="Times New Roman" w:eastAsia="仿宋_GB2312" w:cs="Times New Roman"/>
          <w:bCs/>
          <w:sz w:val="36"/>
          <w:szCs w:val="32"/>
        </w:rPr>
      </w:pPr>
    </w:p>
    <w:tbl>
      <w:tblPr>
        <w:tblStyle w:val="5"/>
        <w:tblW w:w="9322" w:type="dxa"/>
        <w:jc w:val="center"/>
        <w:tblLayout w:type="autofit"/>
        <w:tblCellMar>
          <w:top w:w="0" w:type="dxa"/>
          <w:left w:w="108" w:type="dxa"/>
          <w:bottom w:w="0" w:type="dxa"/>
          <w:right w:w="108" w:type="dxa"/>
        </w:tblCellMar>
      </w:tblPr>
      <w:tblGrid>
        <w:gridCol w:w="760"/>
        <w:gridCol w:w="4269"/>
        <w:gridCol w:w="420"/>
        <w:gridCol w:w="280"/>
        <w:gridCol w:w="3593"/>
      </w:tblGrid>
      <w:tr>
        <w:tblPrEx>
          <w:tblCellMar>
            <w:top w:w="0" w:type="dxa"/>
            <w:left w:w="108" w:type="dxa"/>
            <w:bottom w:w="0" w:type="dxa"/>
            <w:right w:w="108" w:type="dxa"/>
          </w:tblCellMar>
        </w:tblPrEx>
        <w:trPr>
          <w:trHeight w:val="600" w:hRule="atLeast"/>
          <w:tblHeader/>
          <w:jc w:val="center"/>
        </w:trPr>
        <w:tc>
          <w:tcPr>
            <w:tcW w:w="760" w:type="dxa"/>
            <w:tcBorders>
              <w:top w:val="nil"/>
              <w:left w:val="nil"/>
              <w:bottom w:val="nil"/>
              <w:right w:val="nil"/>
            </w:tcBorders>
            <w:shd w:val="clear" w:color="auto" w:fill="auto"/>
            <w:vAlign w:val="center"/>
          </w:tcPr>
          <w:p>
            <w:pPr>
              <w:widowControl/>
              <w:jc w:val="center"/>
              <w:rPr>
                <w:rFonts w:ascii="黑体" w:hAnsi="黑体" w:eastAsia="黑体" w:cs="宋体"/>
                <w:b/>
                <w:bCs/>
                <w:kern w:val="0"/>
                <w:sz w:val="24"/>
                <w:szCs w:val="24"/>
              </w:rPr>
            </w:pPr>
            <w:r>
              <w:rPr>
                <w:rFonts w:hint="eastAsia" w:ascii="黑体" w:hAnsi="黑体" w:eastAsia="黑体" w:cs="宋体"/>
                <w:b/>
                <w:bCs/>
                <w:kern w:val="0"/>
                <w:sz w:val="24"/>
                <w:szCs w:val="24"/>
              </w:rPr>
              <w:t>序号</w:t>
            </w:r>
          </w:p>
        </w:tc>
        <w:tc>
          <w:tcPr>
            <w:tcW w:w="4269" w:type="dxa"/>
            <w:tcBorders>
              <w:top w:val="nil"/>
              <w:left w:val="nil"/>
              <w:bottom w:val="nil"/>
              <w:right w:val="nil"/>
            </w:tcBorders>
            <w:shd w:val="clear" w:color="auto" w:fill="auto"/>
            <w:vAlign w:val="center"/>
          </w:tcPr>
          <w:p>
            <w:pPr>
              <w:widowControl/>
              <w:jc w:val="center"/>
              <w:rPr>
                <w:rFonts w:ascii="黑体" w:hAnsi="黑体" w:eastAsia="黑体" w:cs="宋体"/>
                <w:b/>
                <w:bCs/>
                <w:kern w:val="0"/>
                <w:sz w:val="24"/>
                <w:szCs w:val="24"/>
              </w:rPr>
            </w:pPr>
            <w:r>
              <w:rPr>
                <w:rFonts w:hint="eastAsia" w:ascii="黑体" w:hAnsi="黑体" w:eastAsia="黑体" w:cs="宋体"/>
                <w:b/>
                <w:bCs/>
                <w:kern w:val="0"/>
                <w:sz w:val="24"/>
                <w:szCs w:val="24"/>
              </w:rPr>
              <w:t>项目名称</w:t>
            </w:r>
          </w:p>
        </w:tc>
        <w:tc>
          <w:tcPr>
            <w:tcW w:w="420" w:type="dxa"/>
            <w:tcBorders>
              <w:top w:val="nil"/>
              <w:left w:val="nil"/>
              <w:bottom w:val="nil"/>
              <w:right w:val="nil"/>
            </w:tcBorders>
            <w:shd w:val="clear" w:color="auto" w:fill="auto"/>
            <w:vAlign w:val="center"/>
          </w:tcPr>
          <w:p>
            <w:pPr>
              <w:widowControl/>
              <w:jc w:val="center"/>
              <w:rPr>
                <w:rFonts w:ascii="黑体" w:hAnsi="黑体" w:eastAsia="黑体" w:cs="宋体"/>
                <w:b/>
                <w:bCs/>
                <w:kern w:val="0"/>
                <w:sz w:val="24"/>
                <w:szCs w:val="24"/>
              </w:rPr>
            </w:pPr>
          </w:p>
        </w:tc>
        <w:tc>
          <w:tcPr>
            <w:tcW w:w="3873" w:type="dxa"/>
            <w:gridSpan w:val="2"/>
            <w:tcBorders>
              <w:top w:val="nil"/>
              <w:left w:val="nil"/>
              <w:bottom w:val="nil"/>
              <w:right w:val="nil"/>
            </w:tcBorders>
            <w:shd w:val="clear" w:color="auto" w:fill="auto"/>
            <w:vAlign w:val="center"/>
          </w:tcPr>
          <w:p>
            <w:pPr>
              <w:widowControl/>
              <w:jc w:val="left"/>
              <w:rPr>
                <w:rFonts w:ascii="黑体" w:hAnsi="黑体" w:eastAsia="黑体" w:cs="宋体"/>
                <w:b/>
                <w:bCs/>
                <w:kern w:val="0"/>
                <w:sz w:val="24"/>
                <w:szCs w:val="24"/>
              </w:rPr>
            </w:pPr>
            <w:r>
              <w:rPr>
                <w:rFonts w:hint="eastAsia" w:ascii="黑体" w:hAnsi="黑体" w:eastAsia="黑体" w:cs="宋体"/>
                <w:b/>
                <w:bCs/>
                <w:kern w:val="0"/>
                <w:sz w:val="24"/>
                <w:szCs w:val="24"/>
              </w:rPr>
              <w:t xml:space="preserve">         建设规模</w:t>
            </w:r>
          </w:p>
        </w:tc>
      </w:tr>
      <w:tr>
        <w:tblPrEx>
          <w:tblCellMar>
            <w:top w:w="0" w:type="dxa"/>
            <w:left w:w="108" w:type="dxa"/>
            <w:bottom w:w="0" w:type="dxa"/>
            <w:right w:w="108" w:type="dxa"/>
          </w:tblCellMar>
        </w:tblPrEx>
        <w:trPr>
          <w:trHeight w:val="600" w:hRule="atLeast"/>
          <w:jc w:val="center"/>
        </w:trPr>
        <w:tc>
          <w:tcPr>
            <w:tcW w:w="9322" w:type="dxa"/>
            <w:gridSpan w:val="5"/>
            <w:tcBorders>
              <w:top w:val="nil"/>
              <w:left w:val="nil"/>
              <w:bottom w:val="nil"/>
              <w:right w:val="nil"/>
            </w:tcBorders>
            <w:shd w:val="clear" w:color="auto" w:fill="auto"/>
            <w:vAlign w:val="center"/>
          </w:tcPr>
          <w:p>
            <w:pPr>
              <w:widowControl/>
              <w:jc w:val="left"/>
              <w:rPr>
                <w:rFonts w:ascii="黑体" w:hAnsi="黑体" w:eastAsia="黑体" w:cs="宋体"/>
                <w:b/>
                <w:bCs/>
                <w:kern w:val="0"/>
                <w:sz w:val="24"/>
                <w:szCs w:val="24"/>
              </w:rPr>
            </w:pPr>
            <w:r>
              <w:rPr>
                <w:rFonts w:hint="eastAsia" w:ascii="黑体" w:hAnsi="黑体" w:eastAsia="黑体" w:cs="宋体"/>
                <w:b/>
                <w:bCs/>
                <w:kern w:val="0"/>
                <w:sz w:val="24"/>
                <w:szCs w:val="24"/>
              </w:rPr>
              <w:t>一、市重大项目（24个）</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1</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spacing w:val="-6"/>
                <w:kern w:val="0"/>
                <w:sz w:val="24"/>
                <w:szCs w:val="24"/>
              </w:rPr>
            </w:pPr>
            <w:r>
              <w:rPr>
                <w:rFonts w:hint="eastAsia" w:ascii="仿宋_GB2312" w:hAnsi="Times New Roman" w:eastAsia="仿宋_GB2312" w:cs="Times New Roman"/>
                <w:b/>
                <w:spacing w:val="-6"/>
                <w:kern w:val="0"/>
                <w:sz w:val="24"/>
                <w:szCs w:val="24"/>
              </w:rPr>
              <w:t>瑞阳制药有限公司生物医药园建设项目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年产PD-1单抗体粉针剂180万支、PD-L1单抗体粉针剂60万支</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2</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瑞阳制药有限公司哌拉西林国际高端认证产业化项目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年产哌拉西林钠1000吨、美洛西林钠128.8吨、阿洛西林9.2吨等</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3</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瑞阳制药有限公司非青类药品高端认证暨技术升级项目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年产曲美他嗪原料药108吨、奥拉西坦原料药24吨</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4</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spacing w:val="-4"/>
                <w:kern w:val="0"/>
                <w:sz w:val="24"/>
                <w:szCs w:val="24"/>
              </w:rPr>
            </w:pPr>
            <w:r>
              <w:rPr>
                <w:rFonts w:hint="eastAsia" w:ascii="仿宋_GB2312" w:hAnsi="Times New Roman" w:eastAsia="仿宋_GB2312" w:cs="Times New Roman"/>
                <w:b/>
                <w:spacing w:val="-4"/>
                <w:kern w:val="0"/>
                <w:sz w:val="24"/>
                <w:szCs w:val="24"/>
              </w:rPr>
              <w:t>山东省药用玻璃股份有限公司一级耐水药用玻璃瓶及低硼硅管制系列瓶项目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年产一级耐水药用玻璃瓶40亿只、硼硅管制瓶20亿只</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5</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山东省药用玻璃股份有限公司高档轻量玻璃瓶项目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年产高档轻量玻璃瓶24亿只</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6</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山东鑫泉医药有限公司酶抑制剂及无菌原料药建设项目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年产酶抑制剂、头孢类原料药等3000吨</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7</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淄博卓意玻纤材料有限公司玻纤带增强聚乙烯复合管材管道“数字化”制造项目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年产玻纤带增强聚乙烯复合管材（GFT-RTP）管道130万米</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8</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淄博卓意玻纤材料有限公司特种纤维项目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年产特种玻璃纤维8万吨</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9</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淄博卓意玻纤材料有限公司玻纤技术研发院项目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总建筑面积12万平方米</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10</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山东沃源新型面料股份有限公司高档面料生产线搬迁改造项目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年产高档面料5000万米</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11</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山东兴国新力控股集团有限公司改性膜项目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年产改性膜1.5万吨</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12</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山东瑞丰高分子材料股份有限公司高透明MBS树脂项目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年产高透明MBS树脂4万吨</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13</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淄博科医特医用制品有限公司透析桶及透析液项目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年产透析桶6000万个</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14</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沂源本草药业有限公司医药气雾剂制造项目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spacing w:val="-4"/>
                <w:kern w:val="0"/>
                <w:sz w:val="24"/>
                <w:szCs w:val="24"/>
              </w:rPr>
            </w:pPr>
            <w:r>
              <w:rPr>
                <w:rFonts w:hint="eastAsia" w:ascii="仿宋_GB2312" w:hAnsi="Times New Roman" w:eastAsia="仿宋_GB2312" w:cs="Times New Roman"/>
                <w:b/>
                <w:spacing w:val="-4"/>
                <w:kern w:val="0"/>
                <w:sz w:val="24"/>
                <w:szCs w:val="24"/>
              </w:rPr>
              <w:t>年产七味清咽气雾剂1500万支等</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15</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中胶伟业（山东）橡胶有限公司精细能量胶粉生产项目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年产100万吨精细能量胶粉</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16</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山东瑞泰新材料科技有限公司高性能军用高温合金材料产业化项目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年产高温合金500吨</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17</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山东果山园果业有限公司果品深加工项目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年加工销售果品精深加工产品7万吨</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18</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沂源县春</w:t>
            </w:r>
            <w:r>
              <w:rPr>
                <w:rFonts w:hint="eastAsia" w:ascii="仿宋_GB2312" w:hAnsi="Times New Roman" w:eastAsia="宋体" w:cs="Times New Roman"/>
                <w:b/>
                <w:kern w:val="0"/>
                <w:sz w:val="24"/>
                <w:szCs w:val="24"/>
              </w:rPr>
              <w:t>沨</w:t>
            </w:r>
            <w:r>
              <w:rPr>
                <w:rFonts w:hint="eastAsia" w:ascii="仿宋_GB2312" w:hAnsi="Times New Roman" w:eastAsia="仿宋_GB2312" w:cs="Times New Roman"/>
                <w:b/>
                <w:kern w:val="0"/>
                <w:sz w:val="24"/>
                <w:szCs w:val="24"/>
              </w:rPr>
              <w:t>渡生态旅游有限公司沂源春</w:t>
            </w:r>
            <w:r>
              <w:rPr>
                <w:rFonts w:hint="eastAsia" w:ascii="仿宋_GB2312" w:hAnsi="Times New Roman" w:eastAsia="宋体" w:cs="Times New Roman"/>
                <w:b/>
                <w:kern w:val="0"/>
                <w:sz w:val="24"/>
                <w:szCs w:val="24"/>
              </w:rPr>
              <w:t>沨</w:t>
            </w:r>
            <w:r>
              <w:rPr>
                <w:rFonts w:hint="eastAsia" w:ascii="仿宋_GB2312" w:hAnsi="Times New Roman" w:eastAsia="仿宋_GB2312" w:cs="Times New Roman"/>
                <w:b/>
                <w:kern w:val="0"/>
                <w:sz w:val="24"/>
                <w:szCs w:val="24"/>
              </w:rPr>
              <w:t>渡休闲旅游度假区项目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总建筑面积7.5万平方米</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19</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山东</w:t>
            </w:r>
            <w:r>
              <w:rPr>
                <w:rFonts w:hint="eastAsia" w:ascii="仿宋_GB2312" w:hAnsi="Times New Roman" w:eastAsia="宋体" w:cs="Times New Roman"/>
                <w:b/>
                <w:kern w:val="0"/>
                <w:sz w:val="24"/>
                <w:szCs w:val="24"/>
              </w:rPr>
              <w:t>虡</w:t>
            </w:r>
            <w:r>
              <w:rPr>
                <w:rFonts w:hint="eastAsia" w:ascii="仿宋_GB2312" w:hAnsi="Times New Roman" w:eastAsia="仿宋_GB2312" w:cs="Times New Roman"/>
                <w:b/>
                <w:kern w:val="0"/>
                <w:sz w:val="24"/>
                <w:szCs w:val="24"/>
              </w:rPr>
              <w:t>盛文化发展有限公司</w:t>
            </w:r>
            <w:r>
              <w:rPr>
                <w:rFonts w:hint="eastAsia" w:ascii="仿宋_GB2312" w:hAnsi="Times New Roman" w:eastAsia="宋体" w:cs="Times New Roman"/>
                <w:b/>
                <w:kern w:val="0"/>
                <w:sz w:val="24"/>
                <w:szCs w:val="24"/>
              </w:rPr>
              <w:t>虡</w:t>
            </w:r>
            <w:r>
              <w:rPr>
                <w:rFonts w:hint="eastAsia" w:ascii="仿宋_GB2312" w:hAnsi="Times New Roman" w:eastAsia="仿宋_GB2312" w:cs="Times New Roman"/>
                <w:b/>
                <w:kern w:val="0"/>
                <w:sz w:val="24"/>
                <w:szCs w:val="24"/>
              </w:rPr>
              <w:t>盛文化旅游产业园项目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总建筑面积3万平方米</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20</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山东桃花岛艺术乡村文化旅游发展有限公司沂河源田园综合体项目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总建筑面积10.2万平方米</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21</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沂源县人民医院国家级药物临床试验机构及医养结合中心建设项目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总建筑面积26万平方米，设计床位1100张</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22</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沂源县人民医院新院建设项目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总建筑面积15万平方米</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23</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沂源县S229沂邳线沂源芝芳至张良段改建工程</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改建14公里</w:t>
            </w:r>
          </w:p>
        </w:tc>
      </w:tr>
      <w:tr>
        <w:tblPrEx>
          <w:tblCellMar>
            <w:top w:w="0" w:type="dxa"/>
            <w:left w:w="108" w:type="dxa"/>
            <w:bottom w:w="0" w:type="dxa"/>
            <w:right w:w="108" w:type="dxa"/>
          </w:tblCellMar>
        </w:tblPrEx>
        <w:trPr>
          <w:trHeight w:val="1519"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24</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沂源经济开发区基础设施建设项目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新建、改扩建道路13条、28公里；新建2×50MW热电联产机组、1×9MW生活垃圾焚烧发电机组和1×30MW生物质焚烧发电机组</w:t>
            </w:r>
          </w:p>
        </w:tc>
      </w:tr>
      <w:tr>
        <w:tblPrEx>
          <w:tblCellMar>
            <w:top w:w="0" w:type="dxa"/>
            <w:left w:w="108" w:type="dxa"/>
            <w:bottom w:w="0" w:type="dxa"/>
            <w:right w:w="108" w:type="dxa"/>
          </w:tblCellMar>
        </w:tblPrEx>
        <w:trPr>
          <w:trHeight w:val="600" w:hRule="atLeast"/>
          <w:jc w:val="center"/>
        </w:trPr>
        <w:tc>
          <w:tcPr>
            <w:tcW w:w="9322" w:type="dxa"/>
            <w:gridSpan w:val="5"/>
            <w:tcBorders>
              <w:top w:val="nil"/>
              <w:left w:val="nil"/>
              <w:bottom w:val="nil"/>
              <w:right w:val="nil"/>
            </w:tcBorders>
            <w:shd w:val="clear" w:color="auto" w:fill="auto"/>
            <w:vAlign w:val="center"/>
          </w:tcPr>
          <w:p>
            <w:pPr>
              <w:widowControl/>
              <w:jc w:val="left"/>
              <w:rPr>
                <w:rFonts w:ascii="黑体" w:hAnsi="黑体" w:eastAsia="黑体" w:cs="Times New Roman"/>
                <w:b/>
                <w:bCs/>
                <w:kern w:val="0"/>
                <w:sz w:val="24"/>
                <w:szCs w:val="24"/>
              </w:rPr>
            </w:pPr>
          </w:p>
          <w:p>
            <w:pPr>
              <w:widowControl/>
              <w:jc w:val="left"/>
              <w:rPr>
                <w:rFonts w:ascii="黑体" w:hAnsi="黑体" w:eastAsia="黑体" w:cs="Times New Roman"/>
                <w:b/>
                <w:bCs/>
                <w:kern w:val="0"/>
                <w:sz w:val="24"/>
                <w:szCs w:val="24"/>
              </w:rPr>
            </w:pPr>
          </w:p>
          <w:p>
            <w:pPr>
              <w:widowControl/>
              <w:jc w:val="left"/>
              <w:rPr>
                <w:rFonts w:ascii="黑体" w:hAnsi="黑体" w:eastAsia="黑体" w:cs="Times New Roman"/>
                <w:b/>
                <w:bCs/>
                <w:kern w:val="0"/>
                <w:sz w:val="24"/>
                <w:szCs w:val="24"/>
              </w:rPr>
            </w:pPr>
          </w:p>
          <w:p>
            <w:pPr>
              <w:widowControl/>
              <w:jc w:val="left"/>
              <w:rPr>
                <w:rFonts w:ascii="黑体" w:hAnsi="黑体" w:eastAsia="黑体" w:cs="Times New Roman"/>
                <w:b/>
                <w:bCs/>
                <w:kern w:val="0"/>
                <w:sz w:val="24"/>
                <w:szCs w:val="24"/>
              </w:rPr>
            </w:pPr>
            <w:r>
              <w:rPr>
                <w:rFonts w:ascii="黑体" w:hAnsi="黑体" w:eastAsia="黑体" w:cs="Times New Roman"/>
                <w:b/>
                <w:bCs/>
                <w:kern w:val="0"/>
                <w:sz w:val="24"/>
                <w:szCs w:val="24"/>
              </w:rPr>
              <w:t>二、县重大项目（56个）</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1</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山东鼎晖农业科技有限公司物联网果园示范园项目</w:t>
            </w:r>
          </w:p>
        </w:tc>
        <w:tc>
          <w:tcPr>
            <w:tcW w:w="42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spacing w:val="-6"/>
                <w:kern w:val="0"/>
                <w:sz w:val="24"/>
                <w:szCs w:val="24"/>
              </w:rPr>
            </w:pPr>
            <w:r>
              <w:rPr>
                <w:rFonts w:hint="eastAsia" w:ascii="仿宋_GB2312" w:hAnsi="Times New Roman" w:eastAsia="仿宋_GB2312" w:cs="Times New Roman"/>
                <w:b/>
                <w:spacing w:val="-6"/>
                <w:kern w:val="0"/>
                <w:sz w:val="24"/>
                <w:szCs w:val="24"/>
              </w:rPr>
              <w:t>建设现代智能苹果采摘园1000亩</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2</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沂源县2020年国家水土保持重点工程项目</w:t>
            </w:r>
          </w:p>
        </w:tc>
        <w:tc>
          <w:tcPr>
            <w:tcW w:w="42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治理水土流失面积46.3平方公里</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3</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沂源县高标准农田建设项目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建设9万亩高标准农田</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4</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沂源县河道治理项目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对12条主干河道及村镇支流进行清淤疏浚、岸坡整治</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5</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新智造公司量子测距仪生产基地项目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noWrap/>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年产量子测距仪70万套</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6</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合力泰电子公司手机摄像头模组项目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noWrap/>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年产手机摄像头模组5亿只</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7</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淄博福堡农业发展有限公司腰果加工项目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年加工腰果1.5万吨</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8</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山东兴国新力控股集团有限公司超薄电子级玻纤布扩产改造项目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spacing w:val="-4"/>
                <w:kern w:val="0"/>
                <w:sz w:val="24"/>
                <w:szCs w:val="24"/>
              </w:rPr>
            </w:pPr>
            <w:r>
              <w:rPr>
                <w:rFonts w:hint="eastAsia" w:ascii="仿宋_GB2312" w:hAnsi="Times New Roman" w:eastAsia="仿宋_GB2312" w:cs="Times New Roman"/>
                <w:b/>
                <w:spacing w:val="-4"/>
                <w:kern w:val="0"/>
                <w:sz w:val="24"/>
                <w:szCs w:val="24"/>
              </w:rPr>
              <w:t>年产超薄电子级玻纤布3000万米</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9</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山东硕源工业机械设备有限公司高压辊磨机研发生产制作项目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年产20台高压辊磨机</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10</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淄博德源金属材料有限公司高温耐磨及超高强铝合金喷射成形技术升级改造项目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购置 2 条生产线</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11</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山东尊海食品有限公司休闲食品加工项目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年产2000吨果蔬干制品及泡菜</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12</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spacing w:val="-4"/>
                <w:kern w:val="0"/>
                <w:sz w:val="24"/>
                <w:szCs w:val="24"/>
              </w:rPr>
            </w:pPr>
            <w:r>
              <w:rPr>
                <w:rFonts w:hint="eastAsia" w:ascii="仿宋_GB2312" w:hAnsi="Times New Roman" w:eastAsia="仿宋_GB2312" w:cs="Times New Roman"/>
                <w:b/>
                <w:spacing w:val="-4"/>
                <w:kern w:val="0"/>
                <w:sz w:val="24"/>
                <w:szCs w:val="24"/>
              </w:rPr>
              <w:t>山东和创光电有限公司手机摄像头项目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安装镜头生产线30条</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13</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沂源县莱士单采血浆有限公司莱士单采血浆站项目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总建筑面积7000平方米</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14</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山东安耐科氢能技术有限公司清洁能源高端智能装备制造与氢电油气示范站项目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总建筑面积1.5万平方米</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15</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淄博玖鼎电子有限公司智能终端及元器件配套项目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noWrap/>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总建筑面积3.3万平方米</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16</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山东裕腾电子科技有限公司智能终端及元器件配套项目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noWrap/>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总建筑面积3.1万平方米</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17</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山东泉聚新材料有限公司超轻质绝热材料项目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年产5万吨超轻质绝热材料</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18</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置信产业集团有限公司沂源电子信息产业园建设项目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总建筑面积20万平方米</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19</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青岛啤酒集团沂源啤酒城建设项目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spacing w:val="-4"/>
                <w:kern w:val="0"/>
                <w:sz w:val="24"/>
                <w:szCs w:val="24"/>
              </w:rPr>
            </w:pPr>
            <w:r>
              <w:rPr>
                <w:rFonts w:hint="eastAsia" w:ascii="仿宋_GB2312" w:hAnsi="Times New Roman" w:eastAsia="仿宋_GB2312" w:cs="Times New Roman"/>
                <w:b/>
                <w:spacing w:val="-4"/>
                <w:kern w:val="0"/>
                <w:sz w:val="24"/>
                <w:szCs w:val="24"/>
              </w:rPr>
              <w:t>年产40万吨啤酒、10万吨矿泉水</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20</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山东汉肽生物医药有限公司生物多肽药项目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总建筑面积1.5万平方米</w:t>
            </w:r>
          </w:p>
        </w:tc>
      </w:tr>
      <w:tr>
        <w:tblPrEx>
          <w:tblCellMar>
            <w:top w:w="0" w:type="dxa"/>
            <w:left w:w="108" w:type="dxa"/>
            <w:bottom w:w="0" w:type="dxa"/>
            <w:right w:w="108" w:type="dxa"/>
          </w:tblCellMar>
        </w:tblPrEx>
        <w:trPr>
          <w:trHeight w:val="647"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21</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山东宏</w:t>
            </w:r>
            <w:r>
              <w:rPr>
                <w:rFonts w:hint="eastAsia" w:ascii="仿宋_GB2312" w:hAnsi="Times New Roman" w:eastAsia="宋体" w:cs="Times New Roman"/>
                <w:b/>
                <w:kern w:val="0"/>
                <w:sz w:val="24"/>
                <w:szCs w:val="24"/>
              </w:rPr>
              <w:t>昇</w:t>
            </w:r>
            <w:r>
              <w:rPr>
                <w:rFonts w:hint="eastAsia" w:ascii="仿宋_GB2312" w:hAnsi="Times New Roman" w:eastAsia="仿宋_GB2312" w:cs="Times New Roman"/>
                <w:b/>
                <w:kern w:val="0"/>
                <w:sz w:val="24"/>
                <w:szCs w:val="24"/>
              </w:rPr>
              <w:t>新材料有限公司聚氨酯项目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年产10万吨聚氨酯</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22</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南麻街道柏源文化博览园项目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建设大型园艺盆景园区、特色旅游接待酒店、特色民宿等</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23</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鲁村镇安平村村民委员会展寿山旅游开发项目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总建筑面积1.5万平方米</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24</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燕崖镇市级乡村振兴齐鲁样板示范区建设项目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建设果品交易市场、旅游接待中心、农民技能培训中心、电子商务中心等</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25</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海棠湾置业公司沂源海棠湾养老养生温泉度假村项目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总建筑面积7万平方米</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26</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淄博千秋雪食品有限公司鲁山神农药谷项目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总建筑面积4200平方米</w:t>
            </w:r>
          </w:p>
        </w:tc>
      </w:tr>
      <w:tr>
        <w:tblPrEx>
          <w:tblCellMar>
            <w:top w:w="0" w:type="dxa"/>
            <w:left w:w="108" w:type="dxa"/>
            <w:bottom w:w="0" w:type="dxa"/>
            <w:right w:w="108" w:type="dxa"/>
          </w:tblCellMar>
        </w:tblPrEx>
        <w:trPr>
          <w:trHeight w:val="532"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27</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沂源源泰蓝海钧华大饭店项目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总建筑面积3万平方米</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28</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山东双马山现代农业旅游公司沐心·双马山花海渔村精品旅游项目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建设四季花海板块、渔村板块、乡村振兴板块</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29</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沂源中源汽贸城置业有限公司鲁中汽车（五金机电）产业园（二期）及电子商务产业园项目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总建筑面积29.41万平方米</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30</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沂源县游客集散中心建设项目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总建筑面积1.25万平方米</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31</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沂源苹果鲜达全程冷链物流项目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总建筑面积1.3万平方米</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32</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山东征途营地教育科技有限公司田园综合体项目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建设水果采摘、农副产品加工基地等</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33</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鲁村镇石门村村民委员会石门水寨乡村旅游度假区项目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建设采摘园240亩，游客接待中心4300平方米</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34</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山东灵龙文化旅游发展有限公司灵龙山居项目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建设特色民居150套</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35</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朱彦夫事迹党性教育基地提升工程</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总建筑面积4200平方米</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36</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山东金源佳悦农业科技发展有限公司云泽小镇田园综合体项目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总建筑面积1720平方米</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37</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张家坡镇张良寨生态农庄项目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总建筑面积3000平方米</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38</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山东极有鲜电子商务产业园项目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总建筑面积12.1万平方米</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39</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鲁中义乌国际商贸城二期工程</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总建筑面积21万平方米</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40</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齐中农批（山东）冷链物流有限公司鲁中冷链物流智慧产业园项目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总建筑面积48万平方米</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41</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沂源县青少年校外活动中心项目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总建筑面积1.6万平方米</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42</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悦庄镇夕阳红颐养中心项目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总建筑面积6176平方米</w:t>
            </w:r>
          </w:p>
        </w:tc>
      </w:tr>
      <w:tr>
        <w:tblPrEx>
          <w:tblCellMar>
            <w:top w:w="0" w:type="dxa"/>
            <w:left w:w="108" w:type="dxa"/>
            <w:bottom w:w="0" w:type="dxa"/>
            <w:right w:w="108" w:type="dxa"/>
          </w:tblCellMar>
        </w:tblPrEx>
        <w:trPr>
          <w:trHeight w:val="533"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43</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瑞泽园公司养和健康养老中心项目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总建筑面积1.5万平方米</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44</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沂源京医汇健康管理有限公司京医到家综合门诊部项目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总建筑面积1.5万平方米</w:t>
            </w:r>
          </w:p>
        </w:tc>
      </w:tr>
      <w:tr>
        <w:tblPrEx>
          <w:tblCellMar>
            <w:top w:w="0" w:type="dxa"/>
            <w:left w:w="108" w:type="dxa"/>
            <w:bottom w:w="0" w:type="dxa"/>
            <w:right w:w="108" w:type="dxa"/>
          </w:tblCellMar>
        </w:tblPrEx>
        <w:trPr>
          <w:trHeight w:val="688"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45</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城西初级中学建设项目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总建筑面积2.5万平方米</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46</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城区道路建设工程</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实施学前路、东埠路、北麻路、润生路4条道路建设工程，全长2481米</w:t>
            </w:r>
          </w:p>
        </w:tc>
      </w:tr>
      <w:tr>
        <w:tblPrEx>
          <w:tblCellMar>
            <w:top w:w="0" w:type="dxa"/>
            <w:left w:w="108" w:type="dxa"/>
            <w:bottom w:w="0" w:type="dxa"/>
            <w:right w:w="108" w:type="dxa"/>
          </w:tblCellMar>
        </w:tblPrEx>
        <w:trPr>
          <w:trHeight w:val="624"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47</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城中村园区村改造项目（续建）</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spacing w:val="-4"/>
                <w:kern w:val="0"/>
                <w:sz w:val="24"/>
                <w:szCs w:val="24"/>
              </w:rPr>
            </w:pPr>
            <w:r>
              <w:rPr>
                <w:rFonts w:hint="eastAsia" w:ascii="仿宋_GB2312" w:hAnsi="Times New Roman" w:eastAsia="仿宋_GB2312" w:cs="Times New Roman"/>
                <w:b/>
                <w:spacing w:val="-4"/>
                <w:kern w:val="0"/>
                <w:sz w:val="24"/>
                <w:szCs w:val="24"/>
              </w:rPr>
              <w:t>改造16个村，建设楼房11105套</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48</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沂源县源能热电有限公司城西供暖主管网延伸工程</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铺设DN600管道12千米</w:t>
            </w:r>
          </w:p>
        </w:tc>
      </w:tr>
      <w:tr>
        <w:tblPrEx>
          <w:tblCellMar>
            <w:top w:w="0" w:type="dxa"/>
            <w:left w:w="108" w:type="dxa"/>
            <w:bottom w:w="0" w:type="dxa"/>
            <w:right w:w="108" w:type="dxa"/>
          </w:tblCellMar>
        </w:tblPrEx>
        <w:trPr>
          <w:trHeight w:val="716"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49</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东里镇江河南村搬迁安置项目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总建筑面积3.24万平方米</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50</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东里镇城乡供水提升工程</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新打深井4眼，新开工水厂1座，新铺供水管道160.28千米</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51</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县道改造提升工程</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县道曹徐路、三峨路、东公路改造提升30.1公里</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52</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G341胶海线沂源临朐至沂源钢城界段大中修工程</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全长30.344千米</w:t>
            </w:r>
          </w:p>
        </w:tc>
      </w:tr>
      <w:tr>
        <w:tblPrEx>
          <w:tblCellMar>
            <w:top w:w="0" w:type="dxa"/>
            <w:left w:w="108" w:type="dxa"/>
            <w:bottom w:w="0" w:type="dxa"/>
            <w:right w:w="108" w:type="dxa"/>
          </w:tblCellMar>
        </w:tblPrEx>
        <w:trPr>
          <w:trHeight w:val="607"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53</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华源路改线工程项目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全长4.2千米</w:t>
            </w:r>
          </w:p>
        </w:tc>
      </w:tr>
      <w:tr>
        <w:tblPrEx>
          <w:tblCellMar>
            <w:top w:w="0" w:type="dxa"/>
            <w:left w:w="108" w:type="dxa"/>
            <w:bottom w:w="0" w:type="dxa"/>
            <w:right w:w="108" w:type="dxa"/>
          </w:tblCellMar>
        </w:tblPrEx>
        <w:trPr>
          <w:trHeight w:val="840"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54</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康源路（人民路二段）建设项目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全长3.8千米</w:t>
            </w:r>
          </w:p>
        </w:tc>
      </w:tr>
      <w:tr>
        <w:tblPrEx>
          <w:tblCellMar>
            <w:top w:w="0" w:type="dxa"/>
            <w:left w:w="108" w:type="dxa"/>
            <w:bottom w:w="0" w:type="dxa"/>
            <w:right w:w="108" w:type="dxa"/>
          </w:tblCellMar>
        </w:tblPrEx>
        <w:trPr>
          <w:trHeight w:val="617"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55</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城中村园区村改造项目（新建）</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spacing w:val="-10"/>
                <w:kern w:val="0"/>
                <w:sz w:val="24"/>
                <w:szCs w:val="24"/>
              </w:rPr>
            </w:pPr>
            <w:r>
              <w:rPr>
                <w:rFonts w:hint="eastAsia" w:ascii="仿宋_GB2312" w:hAnsi="Times New Roman" w:eastAsia="仿宋_GB2312" w:cs="Times New Roman"/>
                <w:b/>
                <w:spacing w:val="-10"/>
                <w:kern w:val="0"/>
                <w:sz w:val="24"/>
                <w:szCs w:val="24"/>
              </w:rPr>
              <w:t>涉及3个社区改造，建设楼房892套</w:t>
            </w:r>
          </w:p>
        </w:tc>
      </w:tr>
      <w:tr>
        <w:tblPrEx>
          <w:tblCellMar>
            <w:top w:w="0" w:type="dxa"/>
            <w:left w:w="108" w:type="dxa"/>
            <w:bottom w:w="0" w:type="dxa"/>
            <w:right w:w="108" w:type="dxa"/>
          </w:tblCellMar>
        </w:tblPrEx>
        <w:trPr>
          <w:trHeight w:val="628" w:hRule="atLeast"/>
          <w:jc w:val="center"/>
        </w:trPr>
        <w:tc>
          <w:tcPr>
            <w:tcW w:w="760" w:type="dxa"/>
            <w:tcBorders>
              <w:top w:val="nil"/>
              <w:left w:val="nil"/>
              <w:bottom w:val="nil"/>
              <w:right w:val="nil"/>
            </w:tcBorders>
            <w:shd w:val="clear" w:color="auto" w:fill="auto"/>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56</w:t>
            </w:r>
          </w:p>
        </w:tc>
        <w:tc>
          <w:tcPr>
            <w:tcW w:w="4269"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color w:val="000000"/>
                <w:kern w:val="0"/>
                <w:sz w:val="24"/>
                <w:szCs w:val="24"/>
              </w:rPr>
            </w:pPr>
            <w:r>
              <w:rPr>
                <w:rFonts w:hint="eastAsia" w:ascii="仿宋_GB2312" w:hAnsi="Times New Roman" w:eastAsia="仿宋_GB2312" w:cs="Times New Roman"/>
                <w:b/>
                <w:color w:val="000000"/>
                <w:kern w:val="0"/>
                <w:sz w:val="24"/>
                <w:szCs w:val="24"/>
              </w:rPr>
              <w:t>县级人防基本指挥所及地面指挥中心项目</w:t>
            </w:r>
          </w:p>
        </w:tc>
        <w:tc>
          <w:tcPr>
            <w:tcW w:w="42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280"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kern w:val="0"/>
                <w:sz w:val="24"/>
                <w:szCs w:val="24"/>
              </w:rPr>
            </w:pPr>
          </w:p>
        </w:tc>
        <w:tc>
          <w:tcPr>
            <w:tcW w:w="3593" w:type="dxa"/>
            <w:tcBorders>
              <w:top w:val="nil"/>
              <w:left w:val="nil"/>
              <w:bottom w:val="nil"/>
              <w:right w:val="nil"/>
            </w:tcBorders>
            <w:shd w:val="clear" w:color="auto" w:fill="auto"/>
            <w:vAlign w:val="center"/>
          </w:tcPr>
          <w:p>
            <w:pPr>
              <w:widowControl/>
              <w:jc w:val="left"/>
              <w:rPr>
                <w:rFonts w:ascii="仿宋_GB2312" w:hAnsi="Times New Roman" w:eastAsia="仿宋_GB2312" w:cs="Times New Roman"/>
                <w:b/>
                <w:color w:val="000000"/>
                <w:kern w:val="0"/>
                <w:sz w:val="24"/>
                <w:szCs w:val="24"/>
              </w:rPr>
            </w:pPr>
            <w:r>
              <w:rPr>
                <w:rFonts w:hint="eastAsia" w:ascii="仿宋_GB2312" w:hAnsi="Times New Roman" w:eastAsia="仿宋_GB2312" w:cs="Times New Roman"/>
                <w:b/>
                <w:color w:val="000000"/>
                <w:kern w:val="0"/>
                <w:sz w:val="24"/>
                <w:szCs w:val="24"/>
              </w:rPr>
              <w:t>总建筑面积1.35万平方米</w:t>
            </w:r>
          </w:p>
        </w:tc>
      </w:tr>
    </w:tbl>
    <w:p>
      <w:pPr>
        <w:ind w:firstLine="643" w:firstLineChars="200"/>
        <w:rPr>
          <w:rFonts w:ascii="仿宋_GB2312" w:eastAsia="仿宋_GB2312" w:cs="仿宋_GB2312"/>
          <w:b/>
          <w:bCs/>
          <w:snapToGrid w:val="0"/>
          <w:kern w:val="0"/>
          <w:sz w:val="32"/>
          <w:szCs w:val="32"/>
        </w:rPr>
      </w:pPr>
    </w:p>
    <w:p>
      <w:pPr>
        <w:tabs>
          <w:tab w:val="left" w:pos="7332"/>
        </w:tabs>
        <w:spacing w:line="460" w:lineRule="exact"/>
        <w:ind w:left="1267" w:leftChars="146" w:hanging="960" w:hangingChars="300"/>
        <w:rPr>
          <w:rFonts w:ascii="Calibri" w:hAnsi="Calibri" w:eastAsia="仿宋_GB2312"/>
          <w:b/>
          <w:sz w:val="28"/>
          <w:szCs w:val="28"/>
        </w:rPr>
      </w:pPr>
      <w:r>
        <w:rPr>
          <w:rFonts w:ascii="Calibri" w:hAnsi="Calibri" w:eastAsia="仿宋_GB2312"/>
          <w:sz w:val="32"/>
          <w:szCs w:val="32"/>
        </w:rPr>
        <w:pict>
          <v:line id="直线 6" o:spid="_x0000_s2050" o:spt="20" style="position:absolute;left:0pt;margin-left:0pt;margin-top:2.1pt;height:0.05pt;width:442pt;z-index:251657216;mso-width-relative:page;mso-height-relative:page;" coordsize="21600,21600">
            <v:path arrowok="t"/>
            <v:fill focussize="0,0"/>
            <v:stroke weight="1.25pt"/>
            <v:imagedata o:title=""/>
            <o:lock v:ext="edit"/>
          </v:line>
        </w:pict>
      </w:r>
      <w:r>
        <w:rPr>
          <w:rFonts w:ascii="Calibri" w:hAnsi="Calibri" w:eastAsia="仿宋_GB2312"/>
          <w:b/>
          <w:sz w:val="28"/>
          <w:szCs w:val="28"/>
        </w:rPr>
        <w:t>抄送：县委各部门，县人大常委会办公室，县政协办公室，县监委</w:t>
      </w:r>
      <w:r>
        <w:rPr>
          <w:rFonts w:hint="eastAsia" w:ascii="Calibri" w:hAnsi="Calibri" w:eastAsia="仿宋_GB2312"/>
          <w:b/>
          <w:sz w:val="28"/>
          <w:szCs w:val="28"/>
        </w:rPr>
        <w:t>，</w:t>
      </w:r>
    </w:p>
    <w:p>
      <w:pPr>
        <w:tabs>
          <w:tab w:val="left" w:pos="7332"/>
        </w:tabs>
        <w:spacing w:line="460" w:lineRule="exact"/>
        <w:ind w:left="1111" w:leftChars="529" w:firstLine="36"/>
        <w:rPr>
          <w:rFonts w:ascii="Calibri" w:hAnsi="Calibri" w:eastAsia="仿宋_GB2312"/>
          <w:b/>
          <w:sz w:val="28"/>
          <w:szCs w:val="28"/>
        </w:rPr>
      </w:pPr>
      <w:r>
        <w:rPr>
          <w:rFonts w:ascii="Calibri" w:hAnsi="Calibri" w:eastAsia="仿宋_GB2312"/>
          <w:b/>
          <w:sz w:val="28"/>
          <w:szCs w:val="28"/>
        </w:rPr>
        <w:t>县法院，县检察院。</w:t>
      </w:r>
    </w:p>
    <w:p>
      <w:pPr>
        <w:tabs>
          <w:tab w:val="left" w:pos="7332"/>
        </w:tabs>
        <w:spacing w:line="460" w:lineRule="exact"/>
        <w:ind w:left="1111" w:leftChars="529" w:firstLine="36"/>
        <w:rPr>
          <w:rFonts w:ascii="Calibri" w:hAnsi="Calibri" w:eastAsia="仿宋_GB2312"/>
          <w:b/>
          <w:sz w:val="28"/>
          <w:szCs w:val="28"/>
        </w:rPr>
      </w:pPr>
      <w:r>
        <w:rPr>
          <w:rFonts w:ascii="Calibri" w:hAnsi="Calibri" w:eastAsia="仿宋_GB2312"/>
          <w:b/>
          <w:sz w:val="28"/>
          <w:szCs w:val="28"/>
        </w:rPr>
        <w:t>县工商联。</w:t>
      </w:r>
    </w:p>
    <w:p>
      <w:pPr>
        <w:tabs>
          <w:tab w:val="left" w:pos="7332"/>
          <w:tab w:val="left" w:pos="8640"/>
        </w:tabs>
        <w:spacing w:line="500" w:lineRule="exact"/>
        <w:ind w:firstLine="280" w:firstLineChars="100"/>
        <w:rPr>
          <w:rFonts w:ascii="Times New Roman" w:hAnsi="Times New Roman" w:eastAsia="仿宋_GB2312" w:cs="Times New Roman"/>
          <w:bCs/>
          <w:sz w:val="32"/>
          <w:szCs w:val="32"/>
        </w:rPr>
      </w:pPr>
      <w:r>
        <w:rPr>
          <w:rFonts w:ascii="Calibri" w:hAnsi="Calibri" w:eastAsia="仿宋_GB2312"/>
          <w:sz w:val="28"/>
          <w:szCs w:val="28"/>
        </w:rPr>
        <w:pict>
          <v:line id="直线 8" o:spid="_x0000_s2051" o:spt="20" style="position:absolute;left:0pt;margin-left:0pt;margin-top:27.25pt;height:0.05pt;width:442pt;z-index:251658240;mso-width-relative:page;mso-height-relative:page;" coordsize="21600,21600">
            <v:path arrowok="t"/>
            <v:fill focussize="0,0"/>
            <v:stroke weight="1.25pt"/>
            <v:imagedata o:title=""/>
            <o:lock v:ext="edit"/>
          </v:line>
        </w:pict>
      </w:r>
      <w:r>
        <w:rPr>
          <w:rFonts w:ascii="Calibri" w:hAnsi="Calibri" w:eastAsia="仿宋_GB2312"/>
          <w:sz w:val="28"/>
          <w:szCs w:val="28"/>
        </w:rPr>
        <w:pict>
          <v:line id="直线 9" o:spid="_x0000_s2052" o:spt="20" style="position:absolute;left:0pt;margin-left:0pt;margin-top:1.8pt;height:0.05pt;width:442pt;z-index:251658240;mso-width-relative:page;mso-height-relative:page;" coordsize="21600,21600">
            <v:path arrowok="t"/>
            <v:fill focussize="0,0"/>
            <v:stroke weight="1pt"/>
            <v:imagedata o:title=""/>
            <o:lock v:ext="edit"/>
          </v:line>
        </w:pict>
      </w:r>
      <w:r>
        <w:rPr>
          <w:rFonts w:ascii="Calibri" w:hAnsi="Calibri" w:eastAsia="仿宋_GB2312"/>
          <w:b/>
          <w:sz w:val="28"/>
          <w:szCs w:val="28"/>
        </w:rPr>
        <w:t xml:space="preserve">沂源县人民政府办公室    </w:t>
      </w:r>
      <w:r>
        <w:rPr>
          <w:rFonts w:hint="eastAsia" w:ascii="Calibri" w:hAnsi="Calibri" w:eastAsia="仿宋_GB2312"/>
          <w:b/>
          <w:sz w:val="28"/>
          <w:szCs w:val="28"/>
        </w:rPr>
        <w:t xml:space="preserve">           </w:t>
      </w:r>
      <w:r>
        <w:rPr>
          <w:rFonts w:ascii="Calibri" w:hAnsi="Calibri" w:eastAsia="仿宋_GB2312"/>
          <w:b/>
          <w:sz w:val="28"/>
          <w:szCs w:val="28"/>
        </w:rPr>
        <w:t xml:space="preserve">  </w:t>
      </w:r>
      <w:r>
        <w:rPr>
          <w:rFonts w:hint="eastAsia" w:ascii="Calibri" w:hAnsi="Calibri" w:eastAsia="仿宋_GB2312"/>
          <w:b/>
          <w:sz w:val="28"/>
          <w:szCs w:val="28"/>
        </w:rPr>
        <w:t xml:space="preserve">   </w:t>
      </w:r>
      <w:r>
        <w:rPr>
          <w:rFonts w:hint="eastAsia" w:ascii="仿宋_GB2312" w:hAnsi="仿宋_GB2312" w:eastAsia="仿宋_GB2312" w:cs="仿宋_GB2312"/>
          <w:b/>
          <w:sz w:val="28"/>
          <w:szCs w:val="28"/>
        </w:rPr>
        <w:t>2020年1月</w:t>
      </w:r>
      <w:r>
        <w:rPr>
          <w:rFonts w:hint="eastAsia" w:ascii="仿宋_GB2312" w:hAnsi="仿宋_GB2312" w:cs="仿宋_GB2312"/>
          <w:b/>
          <w:sz w:val="28"/>
          <w:szCs w:val="28"/>
        </w:rPr>
        <w:t>22</w:t>
      </w:r>
      <w:r>
        <w:rPr>
          <w:rFonts w:hint="eastAsia" w:ascii="仿宋_GB2312" w:hAnsi="仿宋_GB2312" w:eastAsia="仿宋_GB2312" w:cs="仿宋_GB2312"/>
          <w:b/>
          <w:sz w:val="28"/>
          <w:szCs w:val="28"/>
        </w:rPr>
        <w:t>日印发</w:t>
      </w:r>
    </w:p>
    <w:sectPr>
      <w:footerReference r:id="rId3" w:type="default"/>
      <w:footerReference r:id="rId4" w:type="even"/>
      <w:pgSz w:w="11906" w:h="16838"/>
      <w:pgMar w:top="1985" w:right="1588" w:bottom="1701" w:left="1588" w:header="851" w:footer="1418"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49557"/>
      <w:docPartObj>
        <w:docPartGallery w:val="autotext"/>
      </w:docPartObj>
    </w:sdtPr>
    <w:sdtEndPr>
      <w:rPr>
        <w:rFonts w:ascii="宋体" w:hAnsi="宋体" w:eastAsia="宋体"/>
        <w:sz w:val="28"/>
        <w:szCs w:val="28"/>
      </w:rPr>
    </w:sdtEndPr>
    <w:sdtContent>
      <w:p>
        <w:pPr>
          <w:pStyle w:val="3"/>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5</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46530"/>
      <w:docPartObj>
        <w:docPartGallery w:val="autotext"/>
      </w:docPartObj>
    </w:sdtPr>
    <w:sdtEndPr>
      <w:rPr>
        <w:rFonts w:ascii="宋体" w:hAnsi="宋体" w:eastAsia="宋体"/>
        <w:sz w:val="28"/>
        <w:szCs w:val="28"/>
      </w:rPr>
    </w:sdtEndPr>
    <w:sdtContent>
      <w:p>
        <w:pPr>
          <w:pStyle w:val="3"/>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4</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F2B89"/>
    <w:rsid w:val="00000F32"/>
    <w:rsid w:val="00037955"/>
    <w:rsid w:val="00066DCE"/>
    <w:rsid w:val="00096078"/>
    <w:rsid w:val="000C48AB"/>
    <w:rsid w:val="00166F42"/>
    <w:rsid w:val="001B6A0B"/>
    <w:rsid w:val="0020101A"/>
    <w:rsid w:val="002E701C"/>
    <w:rsid w:val="002E79E0"/>
    <w:rsid w:val="00380075"/>
    <w:rsid w:val="003F2B89"/>
    <w:rsid w:val="004B15F9"/>
    <w:rsid w:val="005A7F9F"/>
    <w:rsid w:val="00640A18"/>
    <w:rsid w:val="006B5D00"/>
    <w:rsid w:val="00706E1C"/>
    <w:rsid w:val="0076695E"/>
    <w:rsid w:val="008A5A57"/>
    <w:rsid w:val="008B10F3"/>
    <w:rsid w:val="009817D5"/>
    <w:rsid w:val="009A492A"/>
    <w:rsid w:val="00A32E76"/>
    <w:rsid w:val="00A37648"/>
    <w:rsid w:val="00A753BE"/>
    <w:rsid w:val="00AE30B1"/>
    <w:rsid w:val="00AF35B2"/>
    <w:rsid w:val="00B37F32"/>
    <w:rsid w:val="00B70F6C"/>
    <w:rsid w:val="00B76475"/>
    <w:rsid w:val="00BE592E"/>
    <w:rsid w:val="00C2168E"/>
    <w:rsid w:val="00CA6FEB"/>
    <w:rsid w:val="00E01EDC"/>
    <w:rsid w:val="00E27002"/>
    <w:rsid w:val="00E53607"/>
    <w:rsid w:val="00EC7610"/>
    <w:rsid w:val="00FB082C"/>
    <w:rsid w:val="00FC6DDB"/>
    <w:rsid w:val="0D604B7F"/>
    <w:rsid w:val="0EAD6A44"/>
    <w:rsid w:val="2BBF5A1C"/>
    <w:rsid w:val="3E5A7FB8"/>
    <w:rsid w:val="3E685D6C"/>
    <w:rsid w:val="40274DBA"/>
    <w:rsid w:val="40F22D80"/>
    <w:rsid w:val="490560DC"/>
    <w:rsid w:val="559379A0"/>
    <w:rsid w:val="574A2629"/>
    <w:rsid w:val="5A7F6FAB"/>
    <w:rsid w:val="62A10E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sz w:val="18"/>
      <w:szCs w:val="18"/>
    </w:rPr>
  </w:style>
  <w:style w:type="character" w:customStyle="1" w:styleId="8">
    <w:name w:val="页眉 Char"/>
    <w:basedOn w:val="6"/>
    <w:link w:val="4"/>
    <w:semiHidden/>
    <w:qFormat/>
    <w:uiPriority w:val="99"/>
    <w:rPr>
      <w:kern w:val="2"/>
      <w:sz w:val="18"/>
      <w:szCs w:val="18"/>
    </w:rPr>
  </w:style>
  <w:style w:type="character" w:customStyle="1" w:styleId="9">
    <w:name w:val="页脚 Char"/>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6"/>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599</Words>
  <Characters>3418</Characters>
  <Lines>28</Lines>
  <Paragraphs>8</Paragraphs>
  <TotalTime>49</TotalTime>
  <ScaleCrop>false</ScaleCrop>
  <LinksUpToDate>false</LinksUpToDate>
  <CharactersWithSpaces>4009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2020-01-16T07:56:00Z</dcterms:created>
  <dc:creator>Administrator</dc:creator>
  <cp:lastModifiedBy>白白白白</cp:lastModifiedBy>
  <cp:lastPrinted>2020-01-22T06:53:00Z</cp:lastPrinted>
  <dcterms:modified xsi:type="dcterms:W3CDTF">2020-12-29T01:24:04Z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