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B24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bdr w:val="none" w:color="auto" w:sz="0" w:space="0"/>
        </w:rPr>
        <w:t>淄博市医疗保障局沂</w:t>
      </w:r>
      <w:bookmarkStart w:id="0" w:name="_GoBack"/>
      <w:r>
        <w:rPr>
          <w:rFonts w:hint="eastAsia" w:ascii="微软雅黑" w:hAnsi="微软雅黑" w:eastAsia="微软雅黑" w:cs="微软雅黑"/>
          <w:b/>
          <w:bCs/>
          <w:i w:val="0"/>
          <w:iCs w:val="0"/>
          <w:caps w:val="0"/>
          <w:color w:val="333333"/>
          <w:spacing w:val="0"/>
          <w:sz w:val="42"/>
          <w:szCs w:val="42"/>
          <w:bdr w:val="none" w:color="auto" w:sz="0" w:space="0"/>
        </w:rPr>
        <w:t>源</w:t>
      </w:r>
      <w:bookmarkEnd w:id="0"/>
      <w:r>
        <w:rPr>
          <w:rFonts w:hint="eastAsia" w:ascii="微软雅黑" w:hAnsi="微软雅黑" w:eastAsia="微软雅黑" w:cs="微软雅黑"/>
          <w:b/>
          <w:bCs/>
          <w:i w:val="0"/>
          <w:iCs w:val="0"/>
          <w:caps w:val="0"/>
          <w:color w:val="333333"/>
          <w:spacing w:val="0"/>
          <w:sz w:val="42"/>
          <w:szCs w:val="42"/>
          <w:bdr w:val="none" w:color="auto" w:sz="0" w:space="0"/>
        </w:rPr>
        <w:t>分局2024年政府信息公开工作年度报告</w:t>
      </w:r>
    </w:p>
    <w:p w14:paraId="17C97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度报告中所列数据的统计期限自2024年1月1日起，至2024年12月31日止。如对报告内容有疑问，请与淄博市医疗保障局沂源分局联系（地址：沂源县鲁山路61号中国建设银行沂源支行九楼办公室；邮编：256100；电话：0533-3225791；电子邮箱：sylbzjyyfj@zb.shandong.cn）。</w:t>
      </w:r>
    </w:p>
    <w:p w14:paraId="04F3AF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一、总体情况</w:t>
      </w:r>
    </w:p>
    <w:p w14:paraId="4F16A5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淄博市医疗保障局沂源分局全面贯彻落实党的二十大精神和《中华人民共和国政府信息公开条例》，严格执行县委、县政府有关信息公开的制度规定，研究制定本单位政务公开制度，明确信息公开任务，局办公室协调有关科室定期公开各项信息，为群众提供及时、准确、高质量的疑问解答和政策信息。</w:t>
      </w:r>
    </w:p>
    <w:p w14:paraId="6441F8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1.主动公开方面</w:t>
      </w:r>
    </w:p>
    <w:p w14:paraId="5C3E2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市医保局沂源分局严格按照报告《条例》第二十条和第二十一条规定主动公开政府信息的情况，全面更新公开机构职能，包括法定职责、领导分工、内设机构、所属事业单位等相关信息；公开政策法规信息5条，政策解读多样化3条；重点民生信息20条；社会公益信息16条，行政执法信息12条，政府信息公开指南2条等，以上信息根据变化和更新及时公开。持续完善政务公开制度建设，提升兼职工作人员能力素质，主动公开最新政策，及时提供详细政策解答，按时公开单位工作情况。</w:t>
      </w:r>
    </w:p>
    <w:p w14:paraId="4E8034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4581525" cy="27527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81525" cy="2752725"/>
                    </a:xfrm>
                    <a:prstGeom prst="rect">
                      <a:avLst/>
                    </a:prstGeom>
                    <a:noFill/>
                    <a:ln w="9525">
                      <a:noFill/>
                    </a:ln>
                  </pic:spPr>
                </pic:pic>
              </a:graphicData>
            </a:graphic>
          </wp:inline>
        </w:drawing>
      </w:r>
    </w:p>
    <w:p w14:paraId="215290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2.依申请公开工作方面</w:t>
      </w:r>
    </w:p>
    <w:p w14:paraId="50708F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2024年，市医保局沂源分局未接收到依申请公开政府信息。依申请公开政府信息与去年相比数量减少5条。</w:t>
      </w:r>
    </w:p>
    <w:p w14:paraId="4A6978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3.政府信息管理方面</w:t>
      </w:r>
    </w:p>
    <w:p w14:paraId="4C1A42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根据《主动公开事项梳理目录》和省医保局《主动公开事项目录指引》，健全完善本单位政府信息主动公开目录，严格执行保密审查制度，落实信息公开制度，政府信息由分管负责人和主要负责人审核后公开，提升信息公开规范性、制度性、准确性。明确监督举报方式和渠道，保障公众的知情权、参与权和监督权。</w:t>
      </w:r>
    </w:p>
    <w:p w14:paraId="40D8E1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4.平台建设方面</w:t>
      </w:r>
    </w:p>
    <w:p w14:paraId="1D49BB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以沂源县人民政府网站平台为主阵地，及时更新发布机构职能、政策文件、执法结果、重点工作等内容，为群众提供准确、详细的政策信息和疑难解答。不断提升信息公开的效率性、专业化，政策解读内容让群众更容易理解，重点民生公开更加及时。</w:t>
      </w:r>
    </w:p>
    <w:p w14:paraId="2256CD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5.监督保障方面</w:t>
      </w:r>
    </w:p>
    <w:p w14:paraId="37A188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完善政务公开机制，健全信息公开制度，明确两名兼职信息公开工作人员，组织参加政府信息公开培训4次，提升信息公开规范化程度。</w:t>
      </w:r>
    </w:p>
    <w:p w14:paraId="244339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二、主动公开政府信息情况</w:t>
      </w:r>
    </w:p>
    <w:tbl>
      <w:tblPr>
        <w:tblW w:w="88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79"/>
        <w:gridCol w:w="2179"/>
        <w:gridCol w:w="2179"/>
        <w:gridCol w:w="2287"/>
      </w:tblGrid>
      <w:tr w14:paraId="77D3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7886" w:type="dxa"/>
            <w:gridSpan w:val="4"/>
            <w:tcBorders>
              <w:top w:val="single" w:color="auto" w:sz="8" w:space="0"/>
              <w:left w:val="single" w:color="auto" w:sz="8" w:space="0"/>
              <w:bottom w:val="single" w:color="auto" w:sz="8" w:space="0"/>
              <w:right w:val="single" w:color="000000" w:sz="8" w:space="0"/>
            </w:tcBorders>
            <w:shd w:val="clear" w:color="auto" w:fill="C6D9F1"/>
            <w:tcMar>
              <w:left w:w="108" w:type="dxa"/>
              <w:right w:w="108" w:type="dxa"/>
            </w:tcMar>
            <w:vAlign w:val="center"/>
          </w:tcPr>
          <w:p w14:paraId="36D997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ascii="黑体" w:hAnsi="宋体" w:eastAsia="黑体" w:cs="黑体"/>
                <w:i w:val="0"/>
                <w:iCs w:val="0"/>
                <w:caps w:val="0"/>
                <w:color w:val="000000"/>
                <w:spacing w:val="0"/>
                <w:sz w:val="21"/>
                <w:szCs w:val="21"/>
                <w:bdr w:val="none" w:color="auto" w:sz="0" w:space="0"/>
              </w:rPr>
              <w:t>第二十条第（一）项</w:t>
            </w:r>
          </w:p>
        </w:tc>
      </w:tr>
      <w:tr w14:paraId="1100D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948"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D91AC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ascii="仿宋_GB2312" w:hAnsi="微软雅黑" w:eastAsia="仿宋_GB2312" w:cs="仿宋_GB2312"/>
                <w:i w:val="0"/>
                <w:iCs w:val="0"/>
                <w:caps w:val="0"/>
                <w:color w:val="000000"/>
                <w:spacing w:val="0"/>
                <w:sz w:val="21"/>
                <w:szCs w:val="21"/>
                <w:bdr w:val="none" w:color="auto" w:sz="0" w:space="0"/>
              </w:rPr>
              <w:t>信息内容</w:t>
            </w:r>
          </w:p>
        </w:tc>
        <w:tc>
          <w:tcPr>
            <w:tcW w:w="1948" w:type="dxa"/>
            <w:tcBorders>
              <w:top w:val="nil"/>
              <w:left w:val="nil"/>
              <w:bottom w:val="single" w:color="auto" w:sz="8" w:space="0"/>
              <w:right w:val="single" w:color="auto" w:sz="8" w:space="0"/>
            </w:tcBorders>
            <w:shd w:val="clear"/>
            <w:tcMar>
              <w:left w:w="108" w:type="dxa"/>
              <w:right w:w="108" w:type="dxa"/>
            </w:tcMar>
            <w:vAlign w:val="center"/>
          </w:tcPr>
          <w:p w14:paraId="272102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本年制发件数</w:t>
            </w:r>
          </w:p>
        </w:tc>
        <w:tc>
          <w:tcPr>
            <w:tcW w:w="1948" w:type="dxa"/>
            <w:tcBorders>
              <w:top w:val="nil"/>
              <w:left w:val="nil"/>
              <w:bottom w:val="single" w:color="auto" w:sz="8" w:space="0"/>
              <w:right w:val="single" w:color="auto" w:sz="8" w:space="0"/>
            </w:tcBorders>
            <w:shd w:val="clear"/>
            <w:tcMar>
              <w:left w:w="108" w:type="dxa"/>
              <w:right w:w="108" w:type="dxa"/>
            </w:tcMar>
            <w:vAlign w:val="center"/>
          </w:tcPr>
          <w:p w14:paraId="5E69B1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本年废止件数</w:t>
            </w:r>
          </w:p>
        </w:tc>
        <w:tc>
          <w:tcPr>
            <w:tcW w:w="2044" w:type="dxa"/>
            <w:tcBorders>
              <w:top w:val="nil"/>
              <w:left w:val="nil"/>
              <w:bottom w:val="single" w:color="auto" w:sz="8" w:space="0"/>
              <w:right w:val="single" w:color="auto" w:sz="8" w:space="0"/>
            </w:tcBorders>
            <w:shd w:val="clear"/>
            <w:tcMar>
              <w:left w:w="108" w:type="dxa"/>
              <w:right w:w="108" w:type="dxa"/>
            </w:tcMar>
            <w:vAlign w:val="center"/>
          </w:tcPr>
          <w:p w14:paraId="7B136E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现行有效件数</w:t>
            </w:r>
          </w:p>
        </w:tc>
      </w:tr>
      <w:tr w14:paraId="0F16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948"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BEB4D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规章</w:t>
            </w:r>
          </w:p>
        </w:tc>
        <w:tc>
          <w:tcPr>
            <w:tcW w:w="1948" w:type="dxa"/>
            <w:tcBorders>
              <w:top w:val="nil"/>
              <w:left w:val="nil"/>
              <w:bottom w:val="single" w:color="auto" w:sz="8" w:space="0"/>
              <w:right w:val="single" w:color="auto" w:sz="8" w:space="0"/>
            </w:tcBorders>
            <w:shd w:val="clear"/>
            <w:tcMar>
              <w:left w:w="108" w:type="dxa"/>
              <w:right w:w="108" w:type="dxa"/>
            </w:tcMar>
            <w:vAlign w:val="center"/>
          </w:tcPr>
          <w:p w14:paraId="51E743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14:paraId="1A0508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c>
          <w:tcPr>
            <w:tcW w:w="2044" w:type="dxa"/>
            <w:tcBorders>
              <w:top w:val="nil"/>
              <w:left w:val="nil"/>
              <w:bottom w:val="single" w:color="auto" w:sz="8" w:space="0"/>
              <w:right w:val="single" w:color="auto" w:sz="8" w:space="0"/>
            </w:tcBorders>
            <w:shd w:val="clear"/>
            <w:tcMar>
              <w:left w:w="108" w:type="dxa"/>
              <w:right w:w="108" w:type="dxa"/>
            </w:tcMar>
            <w:vAlign w:val="center"/>
          </w:tcPr>
          <w:p w14:paraId="3F09DE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r>
      <w:tr w14:paraId="09767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trPr>
        <w:tc>
          <w:tcPr>
            <w:tcW w:w="1948"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4950F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行政规范性文件</w:t>
            </w:r>
          </w:p>
        </w:tc>
        <w:tc>
          <w:tcPr>
            <w:tcW w:w="1948" w:type="dxa"/>
            <w:tcBorders>
              <w:top w:val="nil"/>
              <w:left w:val="nil"/>
              <w:bottom w:val="single" w:color="auto" w:sz="8" w:space="0"/>
              <w:right w:val="single" w:color="auto" w:sz="8" w:space="0"/>
            </w:tcBorders>
            <w:shd w:val="clear"/>
            <w:tcMar>
              <w:left w:w="108" w:type="dxa"/>
              <w:right w:w="108" w:type="dxa"/>
            </w:tcMar>
            <w:vAlign w:val="center"/>
          </w:tcPr>
          <w:p w14:paraId="0D9C55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14:paraId="5BE069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 </w:t>
            </w:r>
          </w:p>
          <w:p w14:paraId="1C8B50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c>
          <w:tcPr>
            <w:tcW w:w="2044" w:type="dxa"/>
            <w:tcBorders>
              <w:top w:val="nil"/>
              <w:left w:val="nil"/>
              <w:bottom w:val="single" w:color="auto" w:sz="8" w:space="0"/>
              <w:right w:val="single" w:color="auto" w:sz="8" w:space="0"/>
            </w:tcBorders>
            <w:shd w:val="clear"/>
            <w:tcMar>
              <w:left w:w="108" w:type="dxa"/>
              <w:right w:w="108" w:type="dxa"/>
            </w:tcMar>
            <w:vAlign w:val="center"/>
          </w:tcPr>
          <w:p w14:paraId="3CA314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left"/>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 </w:t>
            </w:r>
          </w:p>
          <w:p w14:paraId="6AEA3C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r>
      <w:tr w14:paraId="1BEC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7886" w:type="dxa"/>
            <w:gridSpan w:val="4"/>
            <w:tcBorders>
              <w:top w:val="nil"/>
              <w:left w:val="single" w:color="auto" w:sz="8" w:space="0"/>
              <w:bottom w:val="single" w:color="auto" w:sz="8" w:space="0"/>
              <w:right w:val="single" w:color="000000" w:sz="8" w:space="0"/>
            </w:tcBorders>
            <w:shd w:val="clear" w:color="auto" w:fill="C6D9F1"/>
            <w:tcMar>
              <w:left w:w="108" w:type="dxa"/>
              <w:right w:w="108" w:type="dxa"/>
            </w:tcMar>
            <w:vAlign w:val="center"/>
          </w:tcPr>
          <w:p w14:paraId="230C97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i w:val="0"/>
                <w:iCs w:val="0"/>
                <w:caps w:val="0"/>
                <w:color w:val="000000"/>
                <w:spacing w:val="0"/>
                <w:sz w:val="21"/>
                <w:szCs w:val="21"/>
                <w:bdr w:val="none" w:color="auto" w:sz="0" w:space="0"/>
              </w:rPr>
              <w:t>第二十条第（五）项</w:t>
            </w:r>
          </w:p>
        </w:tc>
      </w:tr>
      <w:tr w14:paraId="07D0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948"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6B343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信息内容</w:t>
            </w:r>
          </w:p>
        </w:tc>
        <w:tc>
          <w:tcPr>
            <w:tcW w:w="5939" w:type="dxa"/>
            <w:gridSpan w:val="3"/>
            <w:tcBorders>
              <w:top w:val="single" w:color="auto" w:sz="8" w:space="0"/>
              <w:left w:val="nil"/>
              <w:bottom w:val="single" w:color="auto" w:sz="8" w:space="0"/>
              <w:right w:val="single" w:color="000000" w:sz="8" w:space="0"/>
            </w:tcBorders>
            <w:shd w:val="clear"/>
            <w:tcMar>
              <w:left w:w="108" w:type="dxa"/>
              <w:right w:w="108" w:type="dxa"/>
            </w:tcMar>
            <w:vAlign w:val="center"/>
          </w:tcPr>
          <w:p w14:paraId="46FF81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本年处理决定数量</w:t>
            </w:r>
          </w:p>
        </w:tc>
      </w:tr>
      <w:tr w14:paraId="00E2C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948"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8F8D4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行政许可</w:t>
            </w:r>
          </w:p>
        </w:tc>
        <w:tc>
          <w:tcPr>
            <w:tcW w:w="5939" w:type="dxa"/>
            <w:gridSpan w:val="3"/>
            <w:tcBorders>
              <w:top w:val="nil"/>
              <w:left w:val="nil"/>
              <w:bottom w:val="single" w:color="auto" w:sz="8" w:space="0"/>
              <w:right w:val="single" w:color="000000" w:sz="8" w:space="0"/>
            </w:tcBorders>
            <w:shd w:val="clear"/>
            <w:tcMar>
              <w:left w:w="108" w:type="dxa"/>
              <w:right w:w="108" w:type="dxa"/>
            </w:tcMar>
            <w:vAlign w:val="center"/>
          </w:tcPr>
          <w:p w14:paraId="7F0585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r>
      <w:tr w14:paraId="4F52A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7886" w:type="dxa"/>
            <w:gridSpan w:val="4"/>
            <w:tcBorders>
              <w:top w:val="nil"/>
              <w:left w:val="single" w:color="auto" w:sz="8" w:space="0"/>
              <w:bottom w:val="single" w:color="auto" w:sz="8" w:space="0"/>
              <w:right w:val="single" w:color="000000" w:sz="8" w:space="0"/>
            </w:tcBorders>
            <w:shd w:val="clear" w:color="auto" w:fill="C6D9F1"/>
            <w:tcMar>
              <w:left w:w="108" w:type="dxa"/>
              <w:right w:w="108" w:type="dxa"/>
            </w:tcMar>
            <w:vAlign w:val="center"/>
          </w:tcPr>
          <w:p w14:paraId="795104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i w:val="0"/>
                <w:iCs w:val="0"/>
                <w:caps w:val="0"/>
                <w:color w:val="000000"/>
                <w:spacing w:val="0"/>
                <w:sz w:val="21"/>
                <w:szCs w:val="21"/>
                <w:bdr w:val="none" w:color="auto" w:sz="0" w:space="0"/>
              </w:rPr>
              <w:t>第二十条第（六）项</w:t>
            </w:r>
          </w:p>
        </w:tc>
      </w:tr>
      <w:tr w14:paraId="5C26C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948"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5067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信息内容</w:t>
            </w:r>
          </w:p>
        </w:tc>
        <w:tc>
          <w:tcPr>
            <w:tcW w:w="5939" w:type="dxa"/>
            <w:gridSpan w:val="3"/>
            <w:tcBorders>
              <w:top w:val="single" w:color="auto" w:sz="8" w:space="0"/>
              <w:left w:val="nil"/>
              <w:bottom w:val="single" w:color="auto" w:sz="8" w:space="0"/>
              <w:right w:val="single" w:color="000000" w:sz="8" w:space="0"/>
            </w:tcBorders>
            <w:shd w:val="clear"/>
            <w:tcMar>
              <w:left w:w="108" w:type="dxa"/>
              <w:right w:w="108" w:type="dxa"/>
            </w:tcMar>
            <w:vAlign w:val="center"/>
          </w:tcPr>
          <w:p w14:paraId="1F83BD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本年处理决定数量</w:t>
            </w:r>
          </w:p>
        </w:tc>
      </w:tr>
      <w:tr w14:paraId="0A1CB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948"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94756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行政处罚</w:t>
            </w:r>
          </w:p>
        </w:tc>
        <w:tc>
          <w:tcPr>
            <w:tcW w:w="5939" w:type="dxa"/>
            <w:gridSpan w:val="3"/>
            <w:tcBorders>
              <w:top w:val="nil"/>
              <w:left w:val="nil"/>
              <w:bottom w:val="single" w:color="auto" w:sz="8" w:space="0"/>
              <w:right w:val="single" w:color="000000" w:sz="8" w:space="0"/>
            </w:tcBorders>
            <w:shd w:val="clear"/>
            <w:tcMar>
              <w:left w:w="108" w:type="dxa"/>
              <w:right w:w="108" w:type="dxa"/>
            </w:tcMar>
            <w:vAlign w:val="center"/>
          </w:tcPr>
          <w:p w14:paraId="71BB0D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r>
      <w:tr w14:paraId="07FD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948"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3DC79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行政强制</w:t>
            </w:r>
          </w:p>
        </w:tc>
        <w:tc>
          <w:tcPr>
            <w:tcW w:w="5939" w:type="dxa"/>
            <w:gridSpan w:val="3"/>
            <w:tcBorders>
              <w:top w:val="nil"/>
              <w:left w:val="nil"/>
              <w:bottom w:val="single" w:color="auto" w:sz="8" w:space="0"/>
              <w:right w:val="single" w:color="000000" w:sz="8" w:space="0"/>
            </w:tcBorders>
            <w:shd w:val="clear"/>
            <w:tcMar>
              <w:left w:w="108" w:type="dxa"/>
              <w:right w:w="108" w:type="dxa"/>
            </w:tcMar>
            <w:vAlign w:val="center"/>
          </w:tcPr>
          <w:p w14:paraId="0A4E5C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r>
      <w:tr w14:paraId="06EC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7886" w:type="dxa"/>
            <w:gridSpan w:val="4"/>
            <w:tcBorders>
              <w:top w:val="nil"/>
              <w:left w:val="single" w:color="auto" w:sz="8" w:space="0"/>
              <w:bottom w:val="single" w:color="auto" w:sz="8" w:space="0"/>
              <w:right w:val="single" w:color="000000" w:sz="8" w:space="0"/>
            </w:tcBorders>
            <w:shd w:val="clear" w:color="auto" w:fill="C6D9F1"/>
            <w:tcMar>
              <w:left w:w="108" w:type="dxa"/>
              <w:right w:w="108" w:type="dxa"/>
            </w:tcMar>
            <w:vAlign w:val="center"/>
          </w:tcPr>
          <w:p w14:paraId="3A3B71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i w:val="0"/>
                <w:iCs w:val="0"/>
                <w:caps w:val="0"/>
                <w:color w:val="000000"/>
                <w:spacing w:val="0"/>
                <w:sz w:val="21"/>
                <w:szCs w:val="21"/>
                <w:bdr w:val="none" w:color="auto" w:sz="0" w:space="0"/>
              </w:rPr>
              <w:t>第二十条第（八）项</w:t>
            </w:r>
          </w:p>
        </w:tc>
      </w:tr>
      <w:tr w14:paraId="679CC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948"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79F86D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信息内容</w:t>
            </w:r>
          </w:p>
        </w:tc>
        <w:tc>
          <w:tcPr>
            <w:tcW w:w="5939" w:type="dxa"/>
            <w:gridSpan w:val="3"/>
            <w:tcBorders>
              <w:top w:val="single" w:color="auto" w:sz="8" w:space="0"/>
              <w:left w:val="nil"/>
              <w:bottom w:val="single" w:color="auto" w:sz="8" w:space="0"/>
              <w:right w:val="single" w:color="000000" w:sz="8" w:space="0"/>
            </w:tcBorders>
            <w:shd w:val="clear"/>
            <w:tcMar>
              <w:left w:w="108" w:type="dxa"/>
              <w:right w:w="108" w:type="dxa"/>
            </w:tcMar>
            <w:vAlign w:val="center"/>
          </w:tcPr>
          <w:p w14:paraId="52AF29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本年收费金额（单位：万元）</w:t>
            </w:r>
          </w:p>
        </w:tc>
      </w:tr>
      <w:tr w14:paraId="25F05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948"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37280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行政事业性收费</w:t>
            </w:r>
          </w:p>
        </w:tc>
        <w:tc>
          <w:tcPr>
            <w:tcW w:w="5939" w:type="dxa"/>
            <w:gridSpan w:val="3"/>
            <w:tcBorders>
              <w:top w:val="nil"/>
              <w:left w:val="nil"/>
              <w:bottom w:val="single" w:color="auto" w:sz="8" w:space="0"/>
              <w:right w:val="single" w:color="000000" w:sz="8" w:space="0"/>
            </w:tcBorders>
            <w:shd w:val="clear"/>
            <w:tcMar>
              <w:left w:w="108" w:type="dxa"/>
              <w:right w:w="108" w:type="dxa"/>
            </w:tcMar>
            <w:vAlign w:val="center"/>
          </w:tcPr>
          <w:p w14:paraId="139867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1"/>
                <w:szCs w:val="21"/>
                <w:bdr w:val="none" w:color="auto" w:sz="0" w:space="0"/>
              </w:rPr>
              <w:t>0</w:t>
            </w:r>
          </w:p>
        </w:tc>
      </w:tr>
    </w:tbl>
    <w:p w14:paraId="6897D0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 </w:t>
      </w:r>
    </w:p>
    <w:p w14:paraId="478D72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三、收到和处理政府信息公开申请情况</w:t>
      </w:r>
    </w:p>
    <w:tbl>
      <w:tblPr>
        <w:tblW w:w="954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6"/>
        <w:gridCol w:w="1661"/>
        <w:gridCol w:w="2865"/>
        <w:gridCol w:w="732"/>
        <w:gridCol w:w="5"/>
        <w:gridCol w:w="525"/>
        <w:gridCol w:w="5"/>
        <w:gridCol w:w="525"/>
        <w:gridCol w:w="701"/>
        <w:gridCol w:w="658"/>
        <w:gridCol w:w="516"/>
        <w:gridCol w:w="688"/>
        <w:gridCol w:w="24"/>
      </w:tblGrid>
      <w:tr w14:paraId="29D029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13" w:hRule="atLeast"/>
          <w:jc w:val="center"/>
        </w:trPr>
        <w:tc>
          <w:tcPr>
            <w:tcW w:w="5093"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04170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ascii="楷体_GB2312" w:eastAsia="楷体_GB2312" w:cs="楷体_GB2312"/>
                <w:sz w:val="21"/>
                <w:szCs w:val="21"/>
                <w:bdr w:val="none" w:color="auto" w:sz="0" w:space="0"/>
              </w:rPr>
              <w:t>（本列数据的勾稽关系为：第一项加第二项之和，</w:t>
            </w:r>
          </w:p>
          <w:p w14:paraId="4F960C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楷体_GB2312" w:eastAsia="楷体_GB2312" w:cs="楷体_GB2312"/>
                <w:sz w:val="21"/>
                <w:szCs w:val="21"/>
                <w:bdr w:val="none" w:color="auto" w:sz="0" w:space="0"/>
              </w:rPr>
              <w:t>等于第三项加第四项之和）</w:t>
            </w:r>
          </w:p>
        </w:tc>
        <w:tc>
          <w:tcPr>
            <w:tcW w:w="4448" w:type="dxa"/>
            <w:gridSpan w:val="10"/>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CE6C1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sz w:val="24"/>
                <w:szCs w:val="24"/>
              </w:rPr>
            </w:pPr>
            <w:r>
              <w:rPr>
                <w:rFonts w:hint="eastAsia" w:ascii="黑体" w:hAnsi="宋体" w:eastAsia="黑体" w:cs="黑体"/>
                <w:sz w:val="21"/>
                <w:szCs w:val="21"/>
                <w:bdr w:val="none" w:color="auto" w:sz="0" w:space="0"/>
              </w:rPr>
              <w:t>申请人情况</w:t>
            </w:r>
          </w:p>
        </w:tc>
      </w:tr>
      <w:tr w14:paraId="518DF4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5093"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B44C551">
            <w:pPr>
              <w:rPr>
                <w:rFonts w:hint="eastAsia" w:ascii="宋体"/>
                <w:sz w:val="24"/>
                <w:szCs w:val="24"/>
              </w:rPr>
            </w:pPr>
          </w:p>
        </w:tc>
        <w:tc>
          <w:tcPr>
            <w:tcW w:w="747"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250E6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1"/>
                <w:szCs w:val="21"/>
                <w:bdr w:val="none" w:color="auto" w:sz="0" w:space="0"/>
              </w:rPr>
              <w:t>自然人</w:t>
            </w:r>
          </w:p>
        </w:tc>
        <w:tc>
          <w:tcPr>
            <w:tcW w:w="3000" w:type="dxa"/>
            <w:gridSpan w:val="7"/>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3FB30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sz w:val="24"/>
                <w:szCs w:val="24"/>
              </w:rPr>
            </w:pPr>
            <w:r>
              <w:rPr>
                <w:rFonts w:hint="eastAsia" w:ascii="黑体" w:hAnsi="宋体" w:eastAsia="黑体" w:cs="黑体"/>
                <w:sz w:val="21"/>
                <w:szCs w:val="21"/>
                <w:bdr w:val="none" w:color="auto" w:sz="0" w:space="0"/>
              </w:rPr>
              <w:t>法人或其他组织</w:t>
            </w:r>
          </w:p>
        </w:tc>
        <w:tc>
          <w:tcPr>
            <w:tcW w:w="70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EBC6D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1"/>
                <w:szCs w:val="21"/>
                <w:bdr w:val="none" w:color="auto" w:sz="0" w:space="0"/>
              </w:rPr>
              <w:t>总计</w:t>
            </w:r>
          </w:p>
        </w:tc>
        <w:tc>
          <w:tcPr>
            <w:tcW w:w="0" w:type="auto"/>
            <w:tcBorders>
              <w:top w:val="outset" w:color="auto" w:sz="6" w:space="0"/>
              <w:left w:val="nil"/>
              <w:bottom w:val="outset" w:color="auto" w:sz="6" w:space="0"/>
              <w:right w:val="outset" w:color="auto" w:sz="6" w:space="0"/>
            </w:tcBorders>
            <w:shd w:val="clear"/>
            <w:vAlign w:val="center"/>
          </w:tcPr>
          <w:p w14:paraId="1965E8E4">
            <w:pPr>
              <w:rPr>
                <w:rFonts w:hint="eastAsia" w:ascii="宋体"/>
                <w:sz w:val="24"/>
                <w:szCs w:val="24"/>
              </w:rPr>
            </w:pPr>
          </w:p>
        </w:tc>
      </w:tr>
      <w:tr w14:paraId="51434C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22" w:hRule="atLeast"/>
          <w:jc w:val="center"/>
        </w:trPr>
        <w:tc>
          <w:tcPr>
            <w:tcW w:w="5093"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B16AE28">
            <w:pPr>
              <w:rPr>
                <w:rFonts w:hint="eastAsia" w:ascii="宋体"/>
                <w:sz w:val="24"/>
                <w:szCs w:val="24"/>
              </w:rPr>
            </w:pPr>
          </w:p>
        </w:tc>
        <w:tc>
          <w:tcPr>
            <w:tcW w:w="747"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2346A10">
            <w:pPr>
              <w:rPr>
                <w:rFonts w:hint="eastAsia" w:ascii="宋体"/>
                <w:sz w:val="24"/>
                <w:szCs w:val="24"/>
              </w:rPr>
            </w:pP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14EA1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06" w:right="-107" w:hanging="1"/>
              <w:jc w:val="center"/>
              <w:rPr>
                <w:sz w:val="24"/>
                <w:szCs w:val="24"/>
              </w:rPr>
            </w:pPr>
            <w:r>
              <w:rPr>
                <w:rFonts w:hint="eastAsia" w:ascii="黑体" w:hAnsi="宋体" w:eastAsia="黑体" w:cs="黑体"/>
                <w:sz w:val="21"/>
                <w:szCs w:val="21"/>
                <w:bdr w:val="none" w:color="auto" w:sz="0" w:space="0"/>
              </w:rPr>
              <w:t>商业企业</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20D90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07" w:right="-107"/>
              <w:jc w:val="center"/>
              <w:rPr>
                <w:sz w:val="24"/>
                <w:szCs w:val="24"/>
              </w:rPr>
            </w:pPr>
            <w:r>
              <w:rPr>
                <w:rFonts w:hint="eastAsia" w:ascii="黑体" w:hAnsi="宋体" w:eastAsia="黑体" w:cs="黑体"/>
                <w:sz w:val="21"/>
                <w:szCs w:val="21"/>
                <w:bdr w:val="none" w:color="auto" w:sz="0" w:space="0"/>
              </w:rPr>
              <w:t>科研机构</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609BE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07" w:right="-107"/>
              <w:jc w:val="center"/>
              <w:rPr>
                <w:sz w:val="24"/>
                <w:szCs w:val="24"/>
              </w:rPr>
            </w:pPr>
            <w:r>
              <w:rPr>
                <w:rFonts w:hint="eastAsia" w:ascii="黑体" w:hAnsi="宋体" w:eastAsia="黑体" w:cs="黑体"/>
                <w:sz w:val="21"/>
                <w:szCs w:val="21"/>
                <w:bdr w:val="none" w:color="auto" w:sz="0" w:space="0"/>
              </w:rPr>
              <w:t>社会公益组织</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E40AE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06" w:right="-107" w:hanging="1"/>
              <w:jc w:val="center"/>
              <w:rPr>
                <w:sz w:val="24"/>
                <w:szCs w:val="24"/>
              </w:rPr>
            </w:pPr>
            <w:r>
              <w:rPr>
                <w:rFonts w:hint="eastAsia" w:ascii="黑体" w:hAnsi="宋体" w:eastAsia="黑体" w:cs="黑体"/>
                <w:sz w:val="21"/>
                <w:szCs w:val="21"/>
                <w:bdr w:val="none" w:color="auto" w:sz="0" w:space="0"/>
              </w:rPr>
              <w:t>法律服务机构</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C5E7F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63" w:right="-134"/>
              <w:jc w:val="center"/>
              <w:rPr>
                <w:sz w:val="24"/>
                <w:szCs w:val="24"/>
              </w:rPr>
            </w:pPr>
            <w:r>
              <w:rPr>
                <w:rFonts w:hint="eastAsia" w:ascii="黑体" w:hAnsi="宋体" w:eastAsia="黑体" w:cs="黑体"/>
                <w:sz w:val="21"/>
                <w:szCs w:val="21"/>
                <w:bdr w:val="none" w:color="auto" w:sz="0" w:space="0"/>
              </w:rPr>
              <w:t>其他</w:t>
            </w:r>
          </w:p>
        </w:tc>
        <w:tc>
          <w:tcPr>
            <w:tcW w:w="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A38E01B">
            <w:pPr>
              <w:rPr>
                <w:rFonts w:hint="eastAsia" w:ascii="宋体"/>
                <w:sz w:val="24"/>
                <w:szCs w:val="24"/>
              </w:rPr>
            </w:pPr>
          </w:p>
        </w:tc>
        <w:tc>
          <w:tcPr>
            <w:tcW w:w="0" w:type="auto"/>
            <w:tcBorders>
              <w:top w:val="outset" w:color="auto" w:sz="6" w:space="0"/>
              <w:left w:val="nil"/>
              <w:bottom w:val="outset" w:color="auto" w:sz="6" w:space="0"/>
              <w:right w:val="outset" w:color="auto" w:sz="6" w:space="0"/>
            </w:tcBorders>
            <w:shd w:val="clear"/>
            <w:vAlign w:val="center"/>
          </w:tcPr>
          <w:p w14:paraId="29F75310">
            <w:pPr>
              <w:rPr>
                <w:rFonts w:hint="eastAsia" w:ascii="宋体"/>
                <w:sz w:val="24"/>
                <w:szCs w:val="24"/>
              </w:rPr>
            </w:pPr>
          </w:p>
        </w:tc>
      </w:tr>
      <w:tr w14:paraId="0980B1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093"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BD775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bdr w:val="none" w:color="auto" w:sz="0" w:space="0"/>
              </w:rPr>
              <w:t>一、本年新收政府信息公开申请数量</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CFAA0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77027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6B6E2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BBC63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9B93C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968F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03E92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275087AC">
            <w:pPr>
              <w:rPr>
                <w:rFonts w:hint="eastAsia" w:ascii="宋体"/>
                <w:sz w:val="24"/>
                <w:szCs w:val="24"/>
              </w:rPr>
            </w:pPr>
          </w:p>
        </w:tc>
      </w:tr>
      <w:tr w14:paraId="7CEEF7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jc w:val="center"/>
        </w:trPr>
        <w:tc>
          <w:tcPr>
            <w:tcW w:w="5093"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51436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bdr w:val="none" w:color="auto" w:sz="0" w:space="0"/>
              </w:rPr>
              <w:t>二、上年结转政府信息公开申请数量</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F05FD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03B29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BFCAF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309E3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413F7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B2259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B4050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6F1441CA">
            <w:pPr>
              <w:rPr>
                <w:rFonts w:hint="eastAsia" w:ascii="宋体"/>
                <w:sz w:val="24"/>
                <w:szCs w:val="24"/>
              </w:rPr>
            </w:pPr>
          </w:p>
        </w:tc>
      </w:tr>
      <w:tr w14:paraId="5CC9BA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16"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21833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rPr>
                <w:sz w:val="24"/>
                <w:szCs w:val="24"/>
              </w:rPr>
            </w:pPr>
            <w:r>
              <w:rPr>
                <w:rFonts w:hint="eastAsia" w:ascii="黑体" w:hAnsi="宋体" w:eastAsia="黑体" w:cs="黑体"/>
                <w:sz w:val="21"/>
                <w:szCs w:val="21"/>
                <w:bdr w:val="none" w:color="auto" w:sz="0" w:space="0"/>
              </w:rPr>
              <w:t>三、本年度办理结果</w:t>
            </w:r>
          </w:p>
        </w:tc>
        <w:tc>
          <w:tcPr>
            <w:tcW w:w="4677"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B364B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bdr w:val="none" w:color="auto" w:sz="0" w:space="0"/>
              </w:rPr>
              <w:t>（一）予以公开</w:t>
            </w:r>
          </w:p>
        </w:tc>
        <w:tc>
          <w:tcPr>
            <w:tcW w:w="752"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F7D6E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6F707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423A9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1D463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0EA16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ADA07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58480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27477F8D">
            <w:pPr>
              <w:rPr>
                <w:rFonts w:hint="eastAsia" w:ascii="宋体"/>
                <w:sz w:val="24"/>
                <w:szCs w:val="24"/>
              </w:rPr>
            </w:pPr>
          </w:p>
        </w:tc>
      </w:tr>
      <w:tr w14:paraId="267390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67D69F3">
            <w:pPr>
              <w:rPr>
                <w:rFonts w:hint="eastAsia" w:ascii="宋体"/>
                <w:sz w:val="24"/>
                <w:szCs w:val="24"/>
              </w:rPr>
            </w:pPr>
          </w:p>
        </w:tc>
        <w:tc>
          <w:tcPr>
            <w:tcW w:w="4677"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228AE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黑体" w:hAnsi="宋体" w:eastAsia="黑体" w:cs="黑体"/>
                <w:sz w:val="21"/>
                <w:szCs w:val="21"/>
                <w:bdr w:val="none" w:color="auto" w:sz="0" w:space="0"/>
              </w:rPr>
              <w:t>（二）部分公开（区分处理的，只计这一情形，不计其他情形）</w:t>
            </w:r>
          </w:p>
        </w:tc>
        <w:tc>
          <w:tcPr>
            <w:tcW w:w="752"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22FFE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F9FE3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2F973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1F505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799B8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702EA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F7101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26159EC3">
            <w:pPr>
              <w:rPr>
                <w:rFonts w:hint="eastAsia" w:ascii="宋体"/>
                <w:sz w:val="24"/>
                <w:szCs w:val="24"/>
              </w:rPr>
            </w:pPr>
          </w:p>
        </w:tc>
      </w:tr>
      <w:tr w14:paraId="0C1EA8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9CDE2C3">
            <w:pPr>
              <w:rPr>
                <w:rFonts w:hint="eastAsia" w:ascii="宋体"/>
                <w:sz w:val="24"/>
                <w:szCs w:val="24"/>
              </w:rPr>
            </w:pPr>
          </w:p>
        </w:tc>
        <w:tc>
          <w:tcPr>
            <w:tcW w:w="170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3FC1B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7" w:right="0"/>
              <w:rPr>
                <w:sz w:val="24"/>
                <w:szCs w:val="24"/>
              </w:rPr>
            </w:pPr>
            <w:r>
              <w:rPr>
                <w:rFonts w:hint="eastAsia" w:ascii="黑体" w:hAnsi="宋体" w:eastAsia="黑体" w:cs="黑体"/>
                <w:sz w:val="21"/>
                <w:szCs w:val="21"/>
                <w:bdr w:val="none" w:color="auto" w:sz="0" w:space="0"/>
              </w:rPr>
              <w:t>（三）不予公开</w:t>
            </w: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5FE41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1.属于国家秘密</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851FE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4F378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BEE83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8B43E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05EFC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29B73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383AD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51F6C2AE">
            <w:pPr>
              <w:rPr>
                <w:rFonts w:hint="eastAsia" w:ascii="宋体"/>
                <w:sz w:val="24"/>
                <w:szCs w:val="24"/>
              </w:rPr>
            </w:pPr>
          </w:p>
        </w:tc>
      </w:tr>
      <w:tr w14:paraId="704909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0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B4F3686">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47741F1">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00902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2.其他法律行政法规禁止公开</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2C964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F04DE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8ED3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F1C6F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C63FC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22FC2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3207A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7F7A80DB">
            <w:pPr>
              <w:rPr>
                <w:rFonts w:hint="eastAsia" w:ascii="宋体"/>
                <w:sz w:val="24"/>
                <w:szCs w:val="24"/>
              </w:rPr>
            </w:pPr>
          </w:p>
        </w:tc>
      </w:tr>
      <w:tr w14:paraId="6FC680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89"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9803A9E">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7D2F252">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CD918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3.危及“三安全一稳定”</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53E9C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C0494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71004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D714C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CDABB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4149D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E4684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52D740DD">
            <w:pPr>
              <w:rPr>
                <w:rFonts w:hint="eastAsia" w:ascii="宋体"/>
                <w:sz w:val="24"/>
                <w:szCs w:val="24"/>
              </w:rPr>
            </w:pPr>
          </w:p>
        </w:tc>
      </w:tr>
      <w:tr w14:paraId="616B98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4326735">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87E4095">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E447E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4.保护第三方合法权益</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47CFD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C3C2E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2FB7D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3274E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24343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BB3FF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A3B00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65750F60">
            <w:pPr>
              <w:rPr>
                <w:rFonts w:hint="eastAsia" w:ascii="宋体"/>
                <w:sz w:val="24"/>
                <w:szCs w:val="24"/>
              </w:rPr>
            </w:pPr>
          </w:p>
        </w:tc>
      </w:tr>
      <w:tr w14:paraId="069EF4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A536C75">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032BC04">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FAE2D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5.属于三类内部事务信息</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F5973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21B20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8815A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A5EEC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1144E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E5CDE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A148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25967E07">
            <w:pPr>
              <w:rPr>
                <w:rFonts w:hint="eastAsia" w:ascii="宋体"/>
                <w:sz w:val="24"/>
                <w:szCs w:val="24"/>
              </w:rPr>
            </w:pPr>
          </w:p>
        </w:tc>
      </w:tr>
      <w:tr w14:paraId="573CDC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70595BB">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B9D3E95">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62962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6.属于四类过程性信息</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30A9E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D3ED1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87F5A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09778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25179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F7E24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59F18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36DFB3E2">
            <w:pPr>
              <w:rPr>
                <w:rFonts w:hint="eastAsia" w:ascii="宋体"/>
                <w:sz w:val="24"/>
                <w:szCs w:val="24"/>
              </w:rPr>
            </w:pPr>
          </w:p>
        </w:tc>
      </w:tr>
      <w:tr w14:paraId="231689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E659E5F">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ABD26AA">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A8D68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7.属于行政执法案卷</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E7ACA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6A5A9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B63BD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FEBD2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663E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7D246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8058B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7F8D7982">
            <w:pPr>
              <w:rPr>
                <w:rFonts w:hint="eastAsia" w:ascii="宋体"/>
                <w:sz w:val="24"/>
                <w:szCs w:val="24"/>
              </w:rPr>
            </w:pPr>
          </w:p>
        </w:tc>
      </w:tr>
      <w:tr w14:paraId="7867CA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59"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FC704CA">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26A3F94">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6EA26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8.属于行政查询事项</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35BF5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84EFE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3AAB3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312A2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9D2A2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8D2F4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E1D26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10CF4735">
            <w:pPr>
              <w:rPr>
                <w:rFonts w:hint="eastAsia" w:ascii="宋体"/>
                <w:sz w:val="24"/>
                <w:szCs w:val="24"/>
              </w:rPr>
            </w:pPr>
          </w:p>
        </w:tc>
      </w:tr>
      <w:tr w14:paraId="72F865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4672F12">
            <w:pPr>
              <w:rPr>
                <w:rFonts w:hint="eastAsia" w:ascii="宋体"/>
                <w:sz w:val="24"/>
                <w:szCs w:val="24"/>
              </w:rPr>
            </w:pPr>
          </w:p>
        </w:tc>
        <w:tc>
          <w:tcPr>
            <w:tcW w:w="170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FB106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rPr>
                <w:sz w:val="24"/>
                <w:szCs w:val="24"/>
              </w:rPr>
            </w:pPr>
            <w:r>
              <w:rPr>
                <w:rFonts w:hint="eastAsia" w:ascii="黑体" w:hAnsi="宋体" w:eastAsia="黑体" w:cs="黑体"/>
                <w:sz w:val="21"/>
                <w:szCs w:val="21"/>
                <w:bdr w:val="none" w:color="auto" w:sz="0" w:space="0"/>
              </w:rPr>
              <w:t>（四）无法提供</w:t>
            </w: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FCEC8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1.本机关不掌握相关政府信息</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BC288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4830F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A69C1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E4F67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7EC9D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3B44B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7C474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5C94426A">
            <w:pPr>
              <w:rPr>
                <w:rFonts w:hint="eastAsia" w:ascii="宋体"/>
                <w:sz w:val="24"/>
                <w:szCs w:val="24"/>
              </w:rPr>
            </w:pPr>
          </w:p>
        </w:tc>
      </w:tr>
      <w:tr w14:paraId="4CF523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DAA1E19">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D6DA59E">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00FD0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2.没有现成信息需要另行制作</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D12FC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B4376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61DF4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82EE9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32A19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75535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C319B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4E852522">
            <w:pPr>
              <w:rPr>
                <w:rFonts w:hint="eastAsia" w:ascii="宋体"/>
                <w:sz w:val="24"/>
                <w:szCs w:val="24"/>
              </w:rPr>
            </w:pPr>
          </w:p>
        </w:tc>
      </w:tr>
      <w:tr w14:paraId="00E784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AEF3E3D">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3563CB5">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D8E54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3.补正后申请内容仍不明确</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D75BC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4980D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051DF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5FC87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46A6F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E47E9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E6F58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69827D6C">
            <w:pPr>
              <w:rPr>
                <w:rFonts w:hint="eastAsia" w:ascii="宋体"/>
                <w:sz w:val="24"/>
                <w:szCs w:val="24"/>
              </w:rPr>
            </w:pPr>
          </w:p>
        </w:tc>
      </w:tr>
      <w:tr w14:paraId="004EAB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F3CB270">
            <w:pPr>
              <w:rPr>
                <w:rFonts w:hint="eastAsia" w:ascii="宋体"/>
                <w:sz w:val="24"/>
                <w:szCs w:val="24"/>
              </w:rPr>
            </w:pPr>
          </w:p>
        </w:tc>
        <w:tc>
          <w:tcPr>
            <w:tcW w:w="170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48073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rPr>
                <w:sz w:val="24"/>
                <w:szCs w:val="24"/>
              </w:rPr>
            </w:pPr>
            <w:r>
              <w:rPr>
                <w:rFonts w:hint="eastAsia" w:ascii="黑体" w:hAnsi="宋体" w:eastAsia="黑体" w:cs="黑体"/>
                <w:sz w:val="21"/>
                <w:szCs w:val="21"/>
                <w:bdr w:val="none" w:color="auto" w:sz="0" w:space="0"/>
              </w:rPr>
              <w:t>（五）不予处理</w:t>
            </w: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50C55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1.信访举报投诉类申请</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D380E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152F9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C8A06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4089A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D2B6C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B4B30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082E6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0CCABA97">
            <w:pPr>
              <w:rPr>
                <w:rFonts w:hint="eastAsia" w:ascii="宋体"/>
                <w:sz w:val="24"/>
                <w:szCs w:val="24"/>
              </w:rPr>
            </w:pPr>
          </w:p>
        </w:tc>
      </w:tr>
      <w:tr w14:paraId="1C09F3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CA6CD1A">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9962C48">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1853C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2.重复申请</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3935A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ECD7D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A19DA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8B073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A59CC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96121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1F410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5509EB83">
            <w:pPr>
              <w:rPr>
                <w:rFonts w:hint="eastAsia" w:ascii="宋体"/>
                <w:sz w:val="24"/>
                <w:szCs w:val="24"/>
              </w:rPr>
            </w:pPr>
          </w:p>
        </w:tc>
      </w:tr>
      <w:tr w14:paraId="54DD65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D75E5FA">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433A832">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D757A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3.要求提供公开出版物</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244E8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4A490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8C918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1387F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3DDC6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D54D3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53BCE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45D9D7BF">
            <w:pPr>
              <w:rPr>
                <w:rFonts w:hint="eastAsia" w:ascii="宋体"/>
                <w:sz w:val="24"/>
                <w:szCs w:val="24"/>
              </w:rPr>
            </w:pPr>
          </w:p>
        </w:tc>
      </w:tr>
      <w:tr w14:paraId="124886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F3CDD18">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13E3294">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40E8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4.无正当理由大量反复申请</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AB542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5E1FC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172FC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7277B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51917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029C6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29488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078DD0C2">
            <w:pPr>
              <w:rPr>
                <w:rFonts w:hint="eastAsia" w:ascii="宋体"/>
                <w:sz w:val="24"/>
                <w:szCs w:val="24"/>
              </w:rPr>
            </w:pPr>
          </w:p>
        </w:tc>
      </w:tr>
      <w:tr w14:paraId="10E8A9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4C3DFA5">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7FE3D40">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7432A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5.要求行政机关确认或重新</w:t>
            </w:r>
          </w:p>
          <w:p w14:paraId="0FFDF5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rPr>
                <w:sz w:val="24"/>
                <w:szCs w:val="24"/>
              </w:rPr>
            </w:pPr>
            <w:r>
              <w:rPr>
                <w:rFonts w:hint="eastAsia" w:ascii="仿宋_GB2312" w:eastAsia="仿宋_GB2312" w:cs="仿宋_GB2312"/>
                <w:sz w:val="21"/>
                <w:szCs w:val="21"/>
                <w:bdr w:val="none" w:color="auto" w:sz="0" w:space="0"/>
              </w:rPr>
              <w:t>出具已获取信息</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1B56A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28672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4CCA2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E21FC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61B61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FAA04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D7B0F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2DB220FF">
            <w:pPr>
              <w:rPr>
                <w:rFonts w:hint="eastAsia" w:ascii="宋体"/>
                <w:sz w:val="24"/>
                <w:szCs w:val="24"/>
              </w:rPr>
            </w:pPr>
          </w:p>
        </w:tc>
      </w:tr>
      <w:tr w14:paraId="596D03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F093D48">
            <w:pPr>
              <w:rPr>
                <w:rFonts w:hint="eastAsia" w:ascii="宋体"/>
                <w:sz w:val="24"/>
                <w:szCs w:val="24"/>
              </w:rPr>
            </w:pPr>
          </w:p>
        </w:tc>
        <w:tc>
          <w:tcPr>
            <w:tcW w:w="1701"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69D1B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r>
              <w:rPr>
                <w:rFonts w:hint="eastAsia" w:ascii="黑体" w:hAnsi="宋体" w:eastAsia="黑体" w:cs="黑体"/>
                <w:sz w:val="21"/>
                <w:szCs w:val="21"/>
                <w:bdr w:val="none" w:color="auto" w:sz="0" w:space="0"/>
              </w:rPr>
              <w:t>（六）其他处理</w:t>
            </w:r>
          </w:p>
        </w:tc>
        <w:tc>
          <w:tcPr>
            <w:tcW w:w="2976" w:type="dxa"/>
            <w:tcBorders>
              <w:top w:val="single" w:color="auto" w:sz="8" w:space="0"/>
              <w:left w:val="single" w:color="auto" w:sz="8" w:space="0"/>
              <w:bottom w:val="single" w:color="auto" w:sz="8" w:space="0"/>
              <w:right w:val="single" w:color="auto" w:sz="8" w:space="0"/>
            </w:tcBorders>
            <w:shd w:val="clear"/>
            <w:vAlign w:val="center"/>
          </w:tcPr>
          <w:p w14:paraId="4DDA23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1.申请人无正当理由逾期不补正、行政机关不再处理其政府信息公开申请</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50B62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459D5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03FEE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1ADBD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1F9C8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95F1F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DF44F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3AA8FB3A">
            <w:pPr>
              <w:rPr>
                <w:rFonts w:hint="eastAsia" w:ascii="宋体"/>
                <w:sz w:val="24"/>
                <w:szCs w:val="24"/>
              </w:rPr>
            </w:pPr>
          </w:p>
        </w:tc>
      </w:tr>
      <w:tr w14:paraId="789398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A46A942">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70A8B4E">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vAlign w:val="center"/>
          </w:tcPr>
          <w:p w14:paraId="14F43B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2.申请人逾期未按收费通知要求缴纳费用、行政机关不再处理其政府信息公开申请</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2B65B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5250B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CB4B8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19E25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E29B6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16746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E3D09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0FFE21A7">
            <w:pPr>
              <w:rPr>
                <w:rFonts w:hint="eastAsia" w:ascii="宋体"/>
                <w:sz w:val="24"/>
                <w:szCs w:val="24"/>
              </w:rPr>
            </w:pPr>
          </w:p>
        </w:tc>
      </w:tr>
      <w:tr w14:paraId="6554C7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17AC2B8">
            <w:pPr>
              <w:rPr>
                <w:rFonts w:hint="eastAsia" w:ascii="宋体"/>
                <w:sz w:val="24"/>
                <w:szCs w:val="24"/>
              </w:rPr>
            </w:pPr>
          </w:p>
        </w:tc>
        <w:tc>
          <w:tcPr>
            <w:tcW w:w="1701"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C4DB421">
            <w:pPr>
              <w:rPr>
                <w:rFonts w:hint="eastAsia" w:ascii="宋体"/>
                <w:sz w:val="24"/>
                <w:szCs w:val="24"/>
              </w:rPr>
            </w:pPr>
          </w:p>
        </w:tc>
        <w:tc>
          <w:tcPr>
            <w:tcW w:w="2976" w:type="dxa"/>
            <w:tcBorders>
              <w:top w:val="single" w:color="auto" w:sz="8" w:space="0"/>
              <w:left w:val="single" w:color="auto" w:sz="8" w:space="0"/>
              <w:bottom w:val="single" w:color="auto" w:sz="8" w:space="0"/>
              <w:right w:val="single" w:color="auto" w:sz="8" w:space="0"/>
            </w:tcBorders>
            <w:shd w:val="clear"/>
            <w:vAlign w:val="center"/>
          </w:tcPr>
          <w:p w14:paraId="6727D6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Fonts w:hint="eastAsia" w:ascii="仿宋_GB2312" w:eastAsia="仿宋_GB2312" w:cs="仿宋_GB2312"/>
                <w:sz w:val="21"/>
                <w:szCs w:val="21"/>
                <w:bdr w:val="none" w:color="auto" w:sz="0" w:space="0"/>
              </w:rPr>
              <w:t>3.其他</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3A3B6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6DC40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26D2B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2FE4D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5D83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2FD15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FD0EF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38458147">
            <w:pPr>
              <w:rPr>
                <w:rFonts w:hint="eastAsia" w:ascii="宋体"/>
                <w:sz w:val="24"/>
                <w:szCs w:val="24"/>
              </w:rPr>
            </w:pPr>
          </w:p>
        </w:tc>
      </w:tr>
      <w:tr w14:paraId="44F183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16"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9D97DF6">
            <w:pPr>
              <w:rPr>
                <w:rFonts w:hint="eastAsia" w:ascii="宋体"/>
                <w:sz w:val="24"/>
                <w:szCs w:val="24"/>
              </w:rPr>
            </w:pPr>
          </w:p>
        </w:tc>
        <w:tc>
          <w:tcPr>
            <w:tcW w:w="4677"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D2E80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黑体" w:hAnsi="宋体" w:eastAsia="黑体" w:cs="黑体"/>
                <w:sz w:val="21"/>
                <w:szCs w:val="21"/>
                <w:bdr w:val="none" w:color="auto" w:sz="0" w:space="0"/>
              </w:rPr>
              <w:t>（七）总计</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4D3F3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521A9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1476F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8D766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C52E6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23405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A0FFC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4FF386E9">
            <w:pPr>
              <w:rPr>
                <w:rFonts w:hint="eastAsia" w:ascii="宋体"/>
                <w:sz w:val="24"/>
                <w:szCs w:val="24"/>
              </w:rPr>
            </w:pPr>
          </w:p>
        </w:tc>
      </w:tr>
      <w:tr w14:paraId="3BE5AD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093" w:type="dxa"/>
            <w:gridSpan w:val="3"/>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4CA6B5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4"/>
                <w:szCs w:val="24"/>
              </w:rPr>
            </w:pPr>
            <w:r>
              <w:rPr>
                <w:rFonts w:hint="eastAsia" w:ascii="黑体" w:hAnsi="宋体" w:eastAsia="黑体" w:cs="黑体"/>
                <w:sz w:val="21"/>
                <w:szCs w:val="21"/>
                <w:bdr w:val="none" w:color="auto" w:sz="0" w:space="0"/>
              </w:rPr>
              <w:t>四、结转下年度继续办理</w:t>
            </w:r>
          </w:p>
        </w:tc>
        <w:tc>
          <w:tcPr>
            <w:tcW w:w="74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78B5B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319C5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40"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50F0F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294CFA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7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C1051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22A87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DC37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1270BFA6">
            <w:pPr>
              <w:rPr>
                <w:rFonts w:hint="eastAsia" w:ascii="宋体"/>
                <w:sz w:val="24"/>
                <w:szCs w:val="24"/>
              </w:rPr>
            </w:pPr>
          </w:p>
        </w:tc>
      </w:tr>
    </w:tbl>
    <w:p w14:paraId="6CC1DB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3E3D12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四、政府信息公开行政复议、行政诉讼情况</w:t>
      </w:r>
    </w:p>
    <w:p w14:paraId="115465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CBCBD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78205F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bdr w:val="none" w:color="auto" w:sz="0" w:space="0"/>
              </w:rPr>
              <w:t>行政复议</w:t>
            </w:r>
          </w:p>
        </w:tc>
        <w:tc>
          <w:tcPr>
            <w:tcW w:w="5997"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14:paraId="2E018C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bdr w:val="none" w:color="auto" w:sz="0" w:space="0"/>
              </w:rPr>
              <w:t>行政诉讼</w:t>
            </w:r>
          </w:p>
        </w:tc>
      </w:tr>
      <w:tr w14:paraId="7D3CEA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6D343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9" w:right="-170"/>
              <w:jc w:val="center"/>
              <w:rPr>
                <w:sz w:val="24"/>
                <w:szCs w:val="24"/>
              </w:rPr>
            </w:pPr>
            <w:r>
              <w:rPr>
                <w:rFonts w:hint="eastAsia" w:ascii="黑体" w:hAnsi="宋体" w:eastAsia="黑体" w:cs="黑体"/>
                <w:sz w:val="20"/>
                <w:szCs w:val="20"/>
                <w:bdr w:val="none" w:color="auto" w:sz="0" w:space="0"/>
              </w:rPr>
              <w:t>结果</w:t>
            </w:r>
          </w:p>
          <w:p w14:paraId="227295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9" w:right="-170"/>
              <w:jc w:val="center"/>
              <w:rPr>
                <w:sz w:val="24"/>
                <w:szCs w:val="24"/>
              </w:rPr>
            </w:pPr>
            <w:r>
              <w:rPr>
                <w:rFonts w:hint="eastAsia" w:ascii="黑体" w:hAnsi="宋体" w:eastAsia="黑体" w:cs="黑体"/>
                <w:sz w:val="20"/>
                <w:szCs w:val="20"/>
                <w:bdr w:val="none" w:color="auto" w:sz="0" w:space="0"/>
              </w:rPr>
              <w:t>维持</w:t>
            </w:r>
          </w:p>
        </w:tc>
        <w:tc>
          <w:tcPr>
            <w:tcW w:w="604" w:type="dxa"/>
            <w:vMerge w:val="restart"/>
            <w:tcBorders>
              <w:top w:val="nil"/>
              <w:left w:val="nil"/>
              <w:bottom w:val="single" w:color="auto" w:sz="8" w:space="0"/>
              <w:right w:val="single" w:color="auto" w:sz="8" w:space="0"/>
            </w:tcBorders>
            <w:shd w:val="clear"/>
            <w:tcMar>
              <w:left w:w="108" w:type="dxa"/>
              <w:right w:w="108" w:type="dxa"/>
            </w:tcMar>
            <w:vAlign w:val="center"/>
          </w:tcPr>
          <w:p w14:paraId="3EB811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3" w:right="-132" w:hanging="1"/>
              <w:jc w:val="center"/>
              <w:rPr>
                <w:sz w:val="24"/>
                <w:szCs w:val="24"/>
              </w:rPr>
            </w:pPr>
            <w:r>
              <w:rPr>
                <w:rFonts w:hint="eastAsia" w:ascii="黑体" w:hAnsi="宋体" w:eastAsia="黑体" w:cs="黑体"/>
                <w:sz w:val="20"/>
                <w:szCs w:val="20"/>
                <w:bdr w:val="none" w:color="auto" w:sz="0" w:space="0"/>
              </w:rPr>
              <w:t>结果纠正</w:t>
            </w:r>
          </w:p>
        </w:tc>
        <w:tc>
          <w:tcPr>
            <w:tcW w:w="60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59EF6C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2" w:right="-97"/>
              <w:jc w:val="center"/>
              <w:rPr>
                <w:sz w:val="24"/>
                <w:szCs w:val="24"/>
              </w:rPr>
            </w:pPr>
            <w:r>
              <w:rPr>
                <w:rFonts w:hint="eastAsia" w:ascii="黑体" w:hAnsi="宋体" w:eastAsia="黑体" w:cs="黑体"/>
                <w:sz w:val="20"/>
                <w:szCs w:val="20"/>
                <w:bdr w:val="none" w:color="auto" w:sz="0" w:space="0"/>
              </w:rPr>
              <w:t>其他结果</w:t>
            </w:r>
          </w:p>
        </w:tc>
        <w:tc>
          <w:tcPr>
            <w:tcW w:w="60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2F097A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118"/>
              <w:jc w:val="center"/>
              <w:rPr>
                <w:sz w:val="24"/>
                <w:szCs w:val="24"/>
              </w:rPr>
            </w:pPr>
            <w:r>
              <w:rPr>
                <w:rFonts w:hint="eastAsia" w:ascii="黑体" w:hAnsi="宋体" w:eastAsia="黑体" w:cs="黑体"/>
                <w:sz w:val="20"/>
                <w:szCs w:val="20"/>
                <w:bdr w:val="none" w:color="auto" w:sz="0" w:space="0"/>
              </w:rPr>
              <w:t>尚未</w:t>
            </w:r>
          </w:p>
          <w:p w14:paraId="546CAA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8" w:right="-118"/>
              <w:jc w:val="center"/>
              <w:rPr>
                <w:sz w:val="24"/>
                <w:szCs w:val="24"/>
              </w:rPr>
            </w:pPr>
            <w:r>
              <w:rPr>
                <w:rFonts w:hint="eastAsia" w:ascii="黑体" w:hAnsi="宋体" w:eastAsia="黑体" w:cs="黑体"/>
                <w:sz w:val="20"/>
                <w:szCs w:val="20"/>
                <w:bdr w:val="none" w:color="auto" w:sz="0" w:space="0"/>
              </w:rPr>
              <w:t>审结</w:t>
            </w:r>
          </w:p>
        </w:tc>
        <w:tc>
          <w:tcPr>
            <w:tcW w:w="65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69C66B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sz w:val="24"/>
                <w:szCs w:val="24"/>
              </w:rPr>
            </w:pPr>
            <w:r>
              <w:rPr>
                <w:rFonts w:hint="eastAsia" w:ascii="黑体" w:hAnsi="宋体" w:eastAsia="黑体" w:cs="黑体"/>
                <w:sz w:val="20"/>
                <w:szCs w:val="20"/>
                <w:bdr w:val="none" w:color="auto" w:sz="0" w:space="0"/>
              </w:rPr>
              <w:t>总</w:t>
            </w:r>
          </w:p>
          <w:p w14:paraId="69B453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sz w:val="24"/>
                <w:szCs w:val="24"/>
              </w:rPr>
            </w:pPr>
            <w:r>
              <w:rPr>
                <w:rFonts w:hint="eastAsia" w:ascii="黑体" w:hAnsi="宋体" w:eastAsia="黑体" w:cs="黑体"/>
                <w:sz w:val="20"/>
                <w:szCs w:val="20"/>
                <w:bdr w:val="none" w:color="auto" w:sz="0" w:space="0"/>
              </w:rPr>
              <w:t>计</w:t>
            </w:r>
          </w:p>
        </w:tc>
        <w:tc>
          <w:tcPr>
            <w:tcW w:w="2970"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11EC42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bdr w:val="none" w:color="auto" w:sz="0" w:space="0"/>
              </w:rPr>
              <w:t>未经复议直接起诉</w:t>
            </w:r>
          </w:p>
        </w:tc>
        <w:tc>
          <w:tcPr>
            <w:tcW w:w="3027"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7BC36A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bdr w:val="none" w:color="auto" w:sz="0" w:space="0"/>
              </w:rPr>
              <w:t>复议后起诉</w:t>
            </w:r>
          </w:p>
        </w:tc>
      </w:tr>
      <w:tr w14:paraId="1369BB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5D942D8">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left w:w="108" w:type="dxa"/>
              <w:right w:w="108" w:type="dxa"/>
            </w:tcMar>
            <w:vAlign w:val="center"/>
          </w:tcPr>
          <w:p w14:paraId="356C517F">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7AE1AF3E">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2756065E">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398D807E">
            <w:pPr>
              <w:rPr>
                <w:rFonts w:hint="eastAsia" w:ascii="宋体"/>
                <w:sz w:val="24"/>
                <w:szCs w:val="24"/>
              </w:rPr>
            </w:pPr>
          </w:p>
        </w:tc>
        <w:tc>
          <w:tcPr>
            <w:tcW w:w="550" w:type="dxa"/>
            <w:tcBorders>
              <w:top w:val="nil"/>
              <w:left w:val="nil"/>
              <w:bottom w:val="single" w:color="auto" w:sz="8" w:space="0"/>
              <w:right w:val="single" w:color="auto" w:sz="8" w:space="0"/>
            </w:tcBorders>
            <w:shd w:val="clear"/>
            <w:tcMar>
              <w:left w:w="108" w:type="dxa"/>
              <w:right w:w="108" w:type="dxa"/>
            </w:tcMar>
            <w:vAlign w:val="center"/>
          </w:tcPr>
          <w:p w14:paraId="7ED029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26"/>
              <w:jc w:val="center"/>
              <w:rPr>
                <w:sz w:val="24"/>
                <w:szCs w:val="24"/>
              </w:rPr>
            </w:pPr>
            <w:r>
              <w:rPr>
                <w:rFonts w:hint="eastAsia" w:ascii="黑体" w:hAnsi="宋体" w:eastAsia="黑体" w:cs="黑体"/>
                <w:sz w:val="20"/>
                <w:szCs w:val="20"/>
                <w:bdr w:val="none" w:color="auto" w:sz="0" w:space="0"/>
              </w:rPr>
              <w:t>结果维持</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53F099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88"/>
              <w:jc w:val="center"/>
              <w:rPr>
                <w:sz w:val="24"/>
                <w:szCs w:val="24"/>
              </w:rPr>
            </w:pPr>
            <w:r>
              <w:rPr>
                <w:rFonts w:hint="eastAsia" w:ascii="黑体" w:hAnsi="宋体" w:eastAsia="黑体" w:cs="黑体"/>
                <w:sz w:val="20"/>
                <w:szCs w:val="20"/>
                <w:bdr w:val="none" w:color="auto" w:sz="0" w:space="0"/>
              </w:rPr>
              <w:t>结果纠正</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65B75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 w:right="-136"/>
              <w:jc w:val="center"/>
              <w:rPr>
                <w:sz w:val="24"/>
                <w:szCs w:val="24"/>
              </w:rPr>
            </w:pPr>
            <w:r>
              <w:rPr>
                <w:rFonts w:hint="eastAsia" w:ascii="黑体" w:hAnsi="宋体" w:eastAsia="黑体" w:cs="黑体"/>
                <w:sz w:val="20"/>
                <w:szCs w:val="20"/>
                <w:bdr w:val="none" w:color="auto" w:sz="0" w:space="0"/>
              </w:rPr>
              <w:t>其他</w:t>
            </w:r>
          </w:p>
          <w:p w14:paraId="413A1C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6" w:right="-136"/>
              <w:jc w:val="center"/>
              <w:rPr>
                <w:sz w:val="24"/>
                <w:szCs w:val="24"/>
              </w:rPr>
            </w:pPr>
            <w:r>
              <w:rPr>
                <w:rFonts w:hint="eastAsia" w:ascii="黑体" w:hAnsi="宋体" w:eastAsia="黑体" w:cs="黑体"/>
                <w:sz w:val="20"/>
                <w:szCs w:val="20"/>
                <w:bdr w:val="none" w:color="auto" w:sz="0" w:space="0"/>
              </w:rPr>
              <w:t>结果</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0B0E21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4" w:right="-153"/>
              <w:jc w:val="center"/>
              <w:rPr>
                <w:sz w:val="24"/>
                <w:szCs w:val="24"/>
              </w:rPr>
            </w:pPr>
            <w:r>
              <w:rPr>
                <w:rFonts w:hint="eastAsia" w:ascii="黑体" w:hAnsi="宋体" w:eastAsia="黑体" w:cs="黑体"/>
                <w:sz w:val="20"/>
                <w:szCs w:val="20"/>
                <w:bdr w:val="none" w:color="auto" w:sz="0" w:space="0"/>
              </w:rPr>
              <w:t>尚未</w:t>
            </w:r>
          </w:p>
          <w:p w14:paraId="035407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64" w:right="-153"/>
              <w:jc w:val="center"/>
              <w:rPr>
                <w:sz w:val="24"/>
                <w:szCs w:val="24"/>
              </w:rPr>
            </w:pPr>
            <w:r>
              <w:rPr>
                <w:rFonts w:hint="eastAsia" w:ascii="黑体" w:hAnsi="宋体" w:eastAsia="黑体" w:cs="黑体"/>
                <w:sz w:val="20"/>
                <w:szCs w:val="20"/>
                <w:bdr w:val="none" w:color="auto" w:sz="0" w:space="0"/>
              </w:rPr>
              <w:t>审结</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35FE1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bdr w:val="none" w:color="auto" w:sz="0" w:space="0"/>
              </w:rPr>
              <w:t>总计</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74376E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9" w:right="-78"/>
              <w:jc w:val="center"/>
              <w:rPr>
                <w:sz w:val="24"/>
                <w:szCs w:val="24"/>
              </w:rPr>
            </w:pPr>
            <w:r>
              <w:rPr>
                <w:rFonts w:hint="eastAsia" w:ascii="黑体" w:hAnsi="宋体" w:eastAsia="黑体" w:cs="黑体"/>
                <w:sz w:val="20"/>
                <w:szCs w:val="20"/>
                <w:bdr w:val="none" w:color="auto" w:sz="0" w:space="0"/>
              </w:rPr>
              <w:t>结果维持</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0EFE4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6" w:right="-124"/>
              <w:jc w:val="center"/>
              <w:rPr>
                <w:sz w:val="24"/>
                <w:szCs w:val="24"/>
              </w:rPr>
            </w:pPr>
            <w:r>
              <w:rPr>
                <w:rFonts w:hint="eastAsia" w:ascii="黑体" w:hAnsi="宋体" w:eastAsia="黑体" w:cs="黑体"/>
                <w:sz w:val="20"/>
                <w:szCs w:val="20"/>
                <w:bdr w:val="none" w:color="auto" w:sz="0" w:space="0"/>
              </w:rPr>
              <w:t>结果</w:t>
            </w:r>
          </w:p>
          <w:p w14:paraId="784173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6" w:right="-124"/>
              <w:jc w:val="center"/>
              <w:rPr>
                <w:sz w:val="24"/>
                <w:szCs w:val="24"/>
              </w:rPr>
            </w:pPr>
            <w:r>
              <w:rPr>
                <w:rFonts w:hint="eastAsia" w:ascii="黑体" w:hAnsi="宋体" w:eastAsia="黑体" w:cs="黑体"/>
                <w:sz w:val="20"/>
                <w:szCs w:val="20"/>
                <w:bdr w:val="none" w:color="auto" w:sz="0" w:space="0"/>
              </w:rPr>
              <w:t>纠正</w:t>
            </w:r>
          </w:p>
        </w:tc>
        <w:tc>
          <w:tcPr>
            <w:tcW w:w="6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37BB6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3" w:right="-134" w:hanging="1"/>
              <w:jc w:val="center"/>
              <w:rPr>
                <w:sz w:val="24"/>
                <w:szCs w:val="24"/>
              </w:rPr>
            </w:pPr>
            <w:r>
              <w:rPr>
                <w:rFonts w:hint="eastAsia" w:ascii="黑体" w:hAnsi="宋体" w:eastAsia="黑体" w:cs="黑体"/>
                <w:sz w:val="20"/>
                <w:szCs w:val="20"/>
                <w:bdr w:val="none" w:color="auto" w:sz="0" w:space="0"/>
              </w:rPr>
              <w:t>其他</w:t>
            </w:r>
          </w:p>
          <w:p w14:paraId="4944D9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73" w:right="-134" w:hanging="1"/>
              <w:jc w:val="center"/>
              <w:rPr>
                <w:sz w:val="24"/>
                <w:szCs w:val="24"/>
              </w:rPr>
            </w:pPr>
            <w:r>
              <w:rPr>
                <w:rFonts w:hint="eastAsia" w:ascii="黑体" w:hAnsi="宋体" w:eastAsia="黑体" w:cs="黑体"/>
                <w:sz w:val="20"/>
                <w:szCs w:val="20"/>
                <w:bdr w:val="none" w:color="auto" w:sz="0" w:space="0"/>
              </w:rPr>
              <w:t>结果</w:t>
            </w:r>
          </w:p>
        </w:tc>
        <w:tc>
          <w:tcPr>
            <w:tcW w:w="606"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5B04B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67" w:right="-105" w:hanging="2"/>
              <w:jc w:val="center"/>
              <w:rPr>
                <w:sz w:val="24"/>
                <w:szCs w:val="24"/>
              </w:rPr>
            </w:pPr>
            <w:r>
              <w:rPr>
                <w:rFonts w:hint="eastAsia" w:ascii="黑体" w:hAnsi="宋体" w:eastAsia="黑体" w:cs="黑体"/>
                <w:sz w:val="20"/>
                <w:szCs w:val="20"/>
                <w:bdr w:val="none" w:color="auto" w:sz="0" w:space="0"/>
              </w:rPr>
              <w:t>尚未审结</w:t>
            </w:r>
          </w:p>
        </w:tc>
        <w:tc>
          <w:tcPr>
            <w:tcW w:w="606"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4F265F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hAnsi="宋体" w:eastAsia="黑体" w:cs="黑体"/>
                <w:sz w:val="20"/>
                <w:szCs w:val="20"/>
                <w:bdr w:val="none" w:color="auto" w:sz="0" w:space="0"/>
              </w:rPr>
              <w:t>总计</w:t>
            </w:r>
          </w:p>
        </w:tc>
      </w:tr>
      <w:tr w14:paraId="5E16D7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E160B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14:paraId="441931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14:paraId="64A19C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04" w:type="dxa"/>
            <w:tcBorders>
              <w:top w:val="nil"/>
              <w:left w:val="nil"/>
              <w:bottom w:val="single" w:color="auto" w:sz="8" w:space="0"/>
              <w:right w:val="single" w:color="auto" w:sz="8" w:space="0"/>
            </w:tcBorders>
            <w:shd w:val="clear"/>
            <w:tcMar>
              <w:left w:w="108" w:type="dxa"/>
              <w:right w:w="108" w:type="dxa"/>
            </w:tcMar>
            <w:vAlign w:val="center"/>
          </w:tcPr>
          <w:p w14:paraId="766317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58" w:type="dxa"/>
            <w:tcBorders>
              <w:top w:val="nil"/>
              <w:left w:val="nil"/>
              <w:bottom w:val="single" w:color="auto" w:sz="8" w:space="0"/>
              <w:right w:val="single" w:color="auto" w:sz="8" w:space="0"/>
            </w:tcBorders>
            <w:shd w:val="clear"/>
            <w:tcMar>
              <w:left w:w="108" w:type="dxa"/>
              <w:right w:w="108" w:type="dxa"/>
            </w:tcMar>
            <w:vAlign w:val="center"/>
          </w:tcPr>
          <w:p w14:paraId="2E02BA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550" w:type="dxa"/>
            <w:tcBorders>
              <w:top w:val="nil"/>
              <w:left w:val="nil"/>
              <w:bottom w:val="single" w:color="auto" w:sz="8" w:space="0"/>
              <w:right w:val="single" w:color="auto" w:sz="8" w:space="0"/>
            </w:tcBorders>
            <w:shd w:val="clear"/>
            <w:tcMar>
              <w:left w:w="108" w:type="dxa"/>
              <w:right w:w="108" w:type="dxa"/>
            </w:tcMar>
            <w:vAlign w:val="center"/>
          </w:tcPr>
          <w:p w14:paraId="359772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70DB62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0CE678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3A1D2B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1D3EB1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38F284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21CD62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05" w:type="dxa"/>
            <w:tcBorders>
              <w:top w:val="nil"/>
              <w:left w:val="nil"/>
              <w:bottom w:val="single" w:color="auto" w:sz="8" w:space="0"/>
              <w:right w:val="single" w:color="auto" w:sz="8" w:space="0"/>
            </w:tcBorders>
            <w:shd w:val="clear"/>
            <w:tcMar>
              <w:left w:w="108" w:type="dxa"/>
              <w:right w:w="108" w:type="dxa"/>
            </w:tcMar>
            <w:vAlign w:val="center"/>
          </w:tcPr>
          <w:p w14:paraId="34EECF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14:paraId="691841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4"/>
                <w:szCs w:val="24"/>
              </w:rPr>
            </w:pPr>
            <w:r>
              <w:rPr>
                <w:rFonts w:hint="eastAsia" w:ascii="仿宋_GB2312" w:eastAsia="仿宋_GB2312" w:cs="仿宋_GB2312"/>
                <w:sz w:val="21"/>
                <w:szCs w:val="21"/>
                <w:bdr w:val="none" w:color="auto" w:sz="0" w:space="0"/>
              </w:rPr>
              <w:t>0</w:t>
            </w:r>
          </w:p>
        </w:tc>
        <w:tc>
          <w:tcPr>
            <w:tcW w:w="606" w:type="dxa"/>
            <w:tcBorders>
              <w:top w:val="nil"/>
              <w:left w:val="nil"/>
              <w:bottom w:val="single" w:color="auto" w:sz="8" w:space="0"/>
              <w:right w:val="single" w:color="auto" w:sz="8" w:space="0"/>
            </w:tcBorders>
            <w:shd w:val="clear"/>
            <w:tcMar>
              <w:left w:w="108" w:type="dxa"/>
              <w:right w:w="108" w:type="dxa"/>
            </w:tcMar>
            <w:vAlign w:val="center"/>
          </w:tcPr>
          <w:p w14:paraId="7AC3C0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sz w:val="21"/>
                <w:szCs w:val="21"/>
                <w:bdr w:val="none" w:color="auto" w:sz="0" w:space="0"/>
              </w:rPr>
              <w:t>0</w:t>
            </w:r>
          </w:p>
        </w:tc>
      </w:tr>
    </w:tbl>
    <w:p w14:paraId="46938B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五、存在的主要问题及改进情况</w:t>
      </w:r>
    </w:p>
    <w:p w14:paraId="526473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一是上级政策文件公开更新不够及时，有一定滞后性，不利于群众及时了解政策。二是政策解读不够全面，解读方式不够灵活，没有完全按照群众语言讲解政策。</w:t>
      </w:r>
    </w:p>
    <w:p w14:paraId="0390EA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改进情况：市医保局沂源分局严格执行政务公开工作制度，将新政策、新规定及时公开，不断丰富政策解读形式，灵活运用文字、图片、视频等形式进行政策解读。</w:t>
      </w:r>
    </w:p>
    <w:p w14:paraId="78384C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六、其他需要报告的事项</w:t>
      </w:r>
    </w:p>
    <w:p w14:paraId="68C96F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（一）收取信息处理费情况</w:t>
      </w:r>
    </w:p>
    <w:p w14:paraId="321278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14:paraId="7488A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（二）人大代表建议和政协提案办理结果公开情况</w:t>
      </w:r>
    </w:p>
    <w:p w14:paraId="73381E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2024年度，淄博市医疗保障局沂源分局完成“对县政协十一届三次会议委员第107号提案”的答复，并将办理结果进行公开，未承办人大建议。</w:t>
      </w:r>
    </w:p>
    <w:p w14:paraId="3878F0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（三）创新举措及相关情况</w:t>
      </w:r>
    </w:p>
    <w:p w14:paraId="735AF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围绕群众热切关注的民生事实热点，将医疗救助资金、医保基金收支、医保定点情况、医保药品目录等内容及时公开发布，让群众尽快了解有关工作进展情况。</w:t>
      </w:r>
    </w:p>
    <w:p w14:paraId="6FD40D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（四）落实上年度政务公开工作要点情况</w:t>
      </w:r>
    </w:p>
    <w:p w14:paraId="199351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市医保局沂源分局严格按照《2024年沂源县政务公开工作方案》和省医保局《主动公开事项目录指引》文件要求，按照专人负责，规范化更新各项医保政策，及时更新重点民生信息，保障群众知情权，助力建设公开、透明的阳光型政府。</w:t>
      </w:r>
    </w:p>
    <w:p w14:paraId="43F80C08"/>
    <w:sectPr>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24C612E8"/>
    <w:rsid w:val="034A6182"/>
    <w:rsid w:val="0A54261E"/>
    <w:rsid w:val="14A9094B"/>
    <w:rsid w:val="1DD22FF3"/>
    <w:rsid w:val="220A2D0A"/>
    <w:rsid w:val="23A332B9"/>
    <w:rsid w:val="24C612E8"/>
    <w:rsid w:val="261F158A"/>
    <w:rsid w:val="26B22834"/>
    <w:rsid w:val="27333B42"/>
    <w:rsid w:val="2D09793F"/>
    <w:rsid w:val="2D593910"/>
    <w:rsid w:val="32447DC0"/>
    <w:rsid w:val="3BB61CA0"/>
    <w:rsid w:val="43293229"/>
    <w:rsid w:val="44386B20"/>
    <w:rsid w:val="45801271"/>
    <w:rsid w:val="47275F43"/>
    <w:rsid w:val="49B97DED"/>
    <w:rsid w:val="4AAA6517"/>
    <w:rsid w:val="4BE67386"/>
    <w:rsid w:val="4F7A3D76"/>
    <w:rsid w:val="5125035B"/>
    <w:rsid w:val="514821D1"/>
    <w:rsid w:val="51750D79"/>
    <w:rsid w:val="565B7715"/>
    <w:rsid w:val="567419BC"/>
    <w:rsid w:val="5B957713"/>
    <w:rsid w:val="5CC536CC"/>
    <w:rsid w:val="63185A08"/>
    <w:rsid w:val="63C811DC"/>
    <w:rsid w:val="65456971"/>
    <w:rsid w:val="6A851E0B"/>
    <w:rsid w:val="6AF2378E"/>
    <w:rsid w:val="6B7B1AB7"/>
    <w:rsid w:val="6E7471B3"/>
    <w:rsid w:val="72572D47"/>
    <w:rsid w:val="74D21C00"/>
    <w:rsid w:val="78013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2391</Words>
  <Characters>2508</Characters>
  <Lines>0</Lines>
  <Paragraphs>0</Paragraphs>
  <TotalTime>6</TotalTime>
  <ScaleCrop>false</ScaleCrop>
  <LinksUpToDate>false</LinksUpToDate>
  <CharactersWithSpaces>2662</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2025-01-08T02:14:00Z</dcterms:created>
  <dc:creator>Administrator</dc:creator>
  <cp:lastModifiedBy>Darren</cp:lastModifiedBy>
  <cp:lastPrinted>2025-01-16T01:14:00Z</cp:lastPrinted>
  <dcterms:modified xsi:type="dcterms:W3CDTF">2025-02-20T03:27:17Z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99BD7DE6A3904DE8A165EE692E315E74</vt:lpwstr>
  </property>
</Properties>
</file>