
<file path=[Content_Types].xml><?xml version="1.0" encoding="utf-8"?>
<Types xmlns="http://schemas.openxmlformats.org/package/2006/content-types">
  <Default Extension="xlsx" ContentType="application/vnd.openxmlformats-officedocument.spreadsheetml.sheet"/>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Autospacing="0" w:afterAutospacing="0" w:line="560" w:lineRule="exact"/>
        <w:ind w:left="0" w:right="0"/>
        <w:jc w:val="center"/>
        <w:textAlignment w:val="auto"/>
        <w:rPr>
          <w:rFonts w:hint="eastAsia" w:ascii="方正小标宋简体" w:hAnsi="方正小标宋简体" w:eastAsia="方正小标宋简体" w:cs="方正小标宋简体"/>
          <w:sz w:val="44"/>
          <w:szCs w:val="44"/>
          <w:shd w:val="clear" w:fill="FFFFFF"/>
        </w:rPr>
      </w:pPr>
      <w:r>
        <w:rPr>
          <w:rFonts w:hint="eastAsia" w:ascii="方正小标宋简体" w:hAnsi="方正小标宋简体" w:eastAsia="方正小标宋简体" w:cs="方正小标宋简体"/>
          <w:sz w:val="44"/>
          <w:szCs w:val="44"/>
          <w:shd w:val="clear" w:fill="FFFFFF"/>
        </w:rPr>
        <w:t>淄博市医疗保障局沂源分局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Autospacing="0" w:afterAutospacing="0" w:line="560" w:lineRule="exact"/>
        <w:ind w:left="0" w:right="0"/>
        <w:jc w:val="center"/>
        <w:textAlignment w:val="auto"/>
        <w:rPr>
          <w:sz w:val="44"/>
          <w:szCs w:val="44"/>
        </w:rPr>
      </w:pPr>
      <w:r>
        <w:rPr>
          <w:rFonts w:hint="eastAsia" w:ascii="方正小标宋简体" w:hAnsi="方正小标宋简体" w:eastAsia="方正小标宋简体" w:cs="方正小标宋简体"/>
          <w:sz w:val="44"/>
          <w:szCs w:val="44"/>
          <w:shd w:val="clear" w:fill="FFFFFF"/>
        </w:rPr>
        <w:t>202</w:t>
      </w:r>
      <w:r>
        <w:rPr>
          <w:rFonts w:hint="eastAsia" w:ascii="方正小标宋简体" w:hAnsi="方正小标宋简体" w:eastAsia="方正小标宋简体" w:cs="方正小标宋简体"/>
          <w:sz w:val="44"/>
          <w:szCs w:val="44"/>
          <w:shd w:val="clear" w:fill="FFFFFF"/>
          <w:lang w:val="en-US" w:eastAsia="zh-CN"/>
        </w:rPr>
        <w:t>3</w:t>
      </w:r>
      <w:r>
        <w:rPr>
          <w:rFonts w:hint="eastAsia" w:ascii="方正小标宋简体" w:hAnsi="方正小标宋简体" w:eastAsia="方正小标宋简体" w:cs="方正小标宋简体"/>
          <w:sz w:val="44"/>
          <w:szCs w:val="44"/>
          <w:shd w:val="clear" w:fill="FFFFFF"/>
        </w:rPr>
        <w:t>年政府信息公开工作年度报告</w:t>
      </w:r>
      <w:r>
        <w:rPr>
          <w:rFonts w:ascii="方正小标宋简体" w:hAnsi="方正小标宋简体" w:eastAsia="方正小标宋简体" w:cs="方正小标宋简体"/>
          <w:sz w:val="44"/>
          <w:szCs w:val="44"/>
          <w:shd w:val="clear" w:fill="FFFFFF"/>
        </w:rPr>
        <w:t> </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right="0" w:firstLine="640" w:firstLineChars="200"/>
        <w:jc w:val="left"/>
        <w:textAlignment w:val="auto"/>
        <w:rPr>
          <w:rFonts w:ascii="仿宋_GB2312" w:eastAsia="仿宋_GB2312" w:cs="仿宋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right="0" w:firstLine="640" w:firstLineChars="200"/>
        <w:jc w:val="left"/>
        <w:textAlignment w:val="auto"/>
      </w:pPr>
      <w:r>
        <w:rPr>
          <w:rFonts w:ascii="仿宋_GB2312" w:eastAsia="仿宋_GB2312" w:cs="仿宋_GB2312"/>
          <w:sz w:val="32"/>
          <w:szCs w:val="32"/>
        </w:rPr>
        <w:t>本报告按照新修订的《中华人民共和国政府信息公开条例》（以下简称《条例》）规定和</w:t>
      </w:r>
      <w:r>
        <w:rPr>
          <w:rFonts w:hint="eastAsia" w:ascii="仿宋_GB2312" w:eastAsia="仿宋_GB2312" w:cs="仿宋_GB2312"/>
          <w:sz w:val="32"/>
          <w:szCs w:val="32"/>
        </w:rPr>
        <w:t>省政府办公厅印发的《政府信息公开工作年度报告编发指南》</w:t>
      </w:r>
      <w:r>
        <w:rPr>
          <w:rFonts w:hint="eastAsia" w:ascii="仿宋_GB2312" w:eastAsia="仿宋_GB2312" w:cs="仿宋_GB2312"/>
          <w:caps w:val="0"/>
          <w:color w:val="000000"/>
          <w:spacing w:val="0"/>
          <w:sz w:val="32"/>
          <w:szCs w:val="32"/>
          <w:shd w:val="clear" w:fill="FFFFFF"/>
        </w:rPr>
        <w:t>要求</w:t>
      </w:r>
      <w:r>
        <w:rPr>
          <w:rFonts w:hint="eastAsia" w:ascii="仿宋_GB2312" w:eastAsia="仿宋_GB2312" w:cs="仿宋_GB2312"/>
          <w:sz w:val="32"/>
          <w:szCs w:val="32"/>
        </w:rPr>
        <w:t>，结合淄博市医疗保障局沂源分局202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年政府信息公开工作实际情况，编制202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年度淄博市医疗保障局沂源分局</w:t>
      </w:r>
      <w:r>
        <w:rPr>
          <w:rFonts w:hint="eastAsia" w:ascii="仿宋_GB2312" w:eastAsia="仿宋_GB2312" w:cs="仿宋_GB2312"/>
          <w:caps w:val="0"/>
          <w:color w:val="000000"/>
          <w:spacing w:val="0"/>
          <w:sz w:val="32"/>
          <w:szCs w:val="32"/>
          <w:shd w:val="clear" w:fill="FFFFFF"/>
        </w:rPr>
        <w:t>政府信息公开年度报告如下。</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jc w:val="left"/>
        <w:textAlignment w:val="auto"/>
      </w:pPr>
      <w:r>
        <w:rPr>
          <w:rFonts w:hint="eastAsia" w:ascii="仿宋_GB2312" w:eastAsia="仿宋_GB2312" w:cs="仿宋_GB2312"/>
          <w:sz w:val="32"/>
          <w:szCs w:val="32"/>
        </w:rPr>
        <w:t>报告全文由总体情况、主动公开政府信息情况、收到和处理政府信息公开申请情况、因政府信息公开工作被申请行政复议与提起行政诉讼情况、政府信息公开工作存在的主要问题及改进情况、其他需要报告的事项等部分组成。</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jc w:val="left"/>
        <w:textAlignment w:val="auto"/>
      </w:pPr>
      <w:r>
        <w:rPr>
          <w:rFonts w:hint="eastAsia" w:ascii="仿宋_GB2312" w:eastAsia="仿宋_GB2312" w:cs="仿宋_GB2312"/>
          <w:sz w:val="32"/>
          <w:szCs w:val="32"/>
        </w:rPr>
        <w:t>本报告涉及数据的统计期限自202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年1月1日起至202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年12月31日止。如对本年度告知有疑问，请联系淄博市医疗保障局沂源分局（联系电话：0533-3225791；地址：沂源县鲁山路61号中国建设银行沂源支行九楼办公室；电子邮箱：sylbzjyyfj@zb.shandong.cn）。</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firstLineChars="200"/>
        <w:textAlignment w:val="auto"/>
      </w:pPr>
      <w:r>
        <w:rPr>
          <w:rFonts w:ascii="黑体" w:hAnsi="宋体" w:eastAsia="黑体" w:cs="黑体"/>
          <w:sz w:val="32"/>
          <w:szCs w:val="32"/>
        </w:rPr>
        <w:t>一、</w:t>
      </w:r>
      <w:r>
        <w:rPr>
          <w:rFonts w:hint="eastAsia" w:ascii="黑体" w:hAnsi="宋体" w:eastAsia="黑体" w:cs="黑体"/>
          <w:sz w:val="32"/>
          <w:szCs w:val="32"/>
        </w:rPr>
        <w:t>总体情况</w:t>
      </w:r>
    </w:p>
    <w:p>
      <w:pPr>
        <w:ind w:firstLine="640" w:firstLineChars="200"/>
      </w:pPr>
      <w:r>
        <w:rPr>
          <w:rFonts w:hint="eastAsia" w:ascii="仿宋_GB2312" w:eastAsia="仿宋_GB2312" w:cs="仿宋_GB2312"/>
          <w:caps w:val="0"/>
          <w:color w:val="222222"/>
          <w:spacing w:val="0"/>
          <w:sz w:val="32"/>
          <w:szCs w:val="32"/>
          <w:shd w:val="clear" w:fill="FFFFFF"/>
        </w:rPr>
        <w:t>淄博市医疗保障局沂源分局深入学习贯彻落实《中华人民共和国政府信息公开条例》和《关于印发沂源县</w:t>
      </w:r>
      <w:r>
        <w:rPr>
          <w:rFonts w:hint="eastAsia" w:ascii="仿宋_GB2312" w:eastAsia="仿宋_GB2312" w:cs="仿宋_GB2312"/>
          <w:caps w:val="0"/>
          <w:color w:val="222222"/>
          <w:spacing w:val="0"/>
          <w:sz w:val="32"/>
          <w:szCs w:val="32"/>
          <w:shd w:val="clear" w:fill="FFFFFF"/>
          <w:lang w:val="en-US" w:eastAsia="zh-CN"/>
        </w:rPr>
        <w:t>政府</w:t>
      </w:r>
      <w:r>
        <w:rPr>
          <w:rFonts w:hint="eastAsia" w:ascii="仿宋_GB2312" w:eastAsia="仿宋_GB2312" w:cs="仿宋_GB2312"/>
          <w:caps w:val="0"/>
          <w:color w:val="222222"/>
          <w:spacing w:val="0"/>
          <w:sz w:val="32"/>
          <w:szCs w:val="32"/>
          <w:shd w:val="clear" w:fill="FFFFFF"/>
        </w:rPr>
        <w:t>信息公开工作考核方案的通知》工作要求，严格执行县委、县政府有关信息公开的制度规定，</w:t>
      </w:r>
      <w:r>
        <w:rPr>
          <w:rFonts w:hint="eastAsia" w:ascii="仿宋_GB2312" w:eastAsia="仿宋_GB2312" w:cs="仿宋_GB2312" w:hAnsiTheme="minorHAnsi"/>
          <w:caps w:val="0"/>
          <w:color w:val="000000"/>
          <w:spacing w:val="0"/>
          <w:kern w:val="0"/>
          <w:sz w:val="32"/>
          <w:szCs w:val="32"/>
          <w:shd w:val="clear" w:fill="FFFFFF"/>
          <w:lang w:val="en-US" w:eastAsia="zh-CN" w:bidi="ar"/>
        </w:rPr>
        <w:t>依法向社会公开政务信息，接受公众监督</w:t>
      </w:r>
      <w:r>
        <w:rPr>
          <w:rFonts w:hint="eastAsia" w:ascii="仿宋_GB2312" w:eastAsia="仿宋_GB2312" w:cs="仿宋_GB2312"/>
          <w:caps w:val="0"/>
          <w:color w:val="000000"/>
          <w:spacing w:val="0"/>
          <w:kern w:val="0"/>
          <w:sz w:val="32"/>
          <w:szCs w:val="32"/>
          <w:shd w:val="clear" w:fill="FFFFFF"/>
          <w:lang w:val="en-US" w:eastAsia="zh-CN" w:bidi="ar"/>
        </w:rPr>
        <w:t>，坚持完善制度建设，制定工作方案，安排专人负责具体工作，定期发布政务信息，不断</w:t>
      </w:r>
      <w:r>
        <w:rPr>
          <w:rFonts w:hint="eastAsia" w:ascii="仿宋_GB2312" w:eastAsia="仿宋_GB2312" w:cs="仿宋_GB2312" w:hAnsiTheme="minorHAnsi"/>
          <w:caps w:val="0"/>
          <w:color w:val="000000"/>
          <w:spacing w:val="0"/>
          <w:kern w:val="0"/>
          <w:sz w:val="32"/>
          <w:szCs w:val="32"/>
          <w:shd w:val="clear" w:fill="FFFFFF"/>
          <w:lang w:val="en-US" w:eastAsia="zh-CN" w:bidi="ar"/>
        </w:rPr>
        <w:t>提高政务信息的可读性和易懂性</w:t>
      </w:r>
      <w:r>
        <w:rPr>
          <w:rFonts w:hint="eastAsia" w:ascii="仿宋_GB2312" w:eastAsia="仿宋_GB2312" w:cs="仿宋_GB2312"/>
          <w:caps w:val="0"/>
          <w:color w:val="000000"/>
          <w:spacing w:val="0"/>
          <w:kern w:val="0"/>
          <w:sz w:val="32"/>
          <w:szCs w:val="32"/>
          <w:shd w:val="clear" w:fill="FFFFFF"/>
          <w:lang w:val="en-US" w:eastAsia="zh-CN" w:bidi="ar"/>
        </w:rPr>
        <w:t>，及时</w:t>
      </w:r>
      <w:r>
        <w:rPr>
          <w:rFonts w:hint="eastAsia" w:ascii="仿宋_GB2312" w:eastAsia="仿宋_GB2312" w:cs="仿宋_GB2312" w:hAnsiTheme="minorHAnsi"/>
          <w:caps w:val="0"/>
          <w:color w:val="000000"/>
          <w:spacing w:val="0"/>
          <w:kern w:val="0"/>
          <w:sz w:val="32"/>
          <w:szCs w:val="32"/>
          <w:shd w:val="clear" w:fill="FFFFFF"/>
          <w:lang w:val="en-US" w:eastAsia="zh-CN" w:bidi="ar"/>
        </w:rPr>
        <w:t>解答公众疑问，听取公众意见和建议</w:t>
      </w:r>
      <w:r>
        <w:rPr>
          <w:rFonts w:hint="eastAsia" w:ascii="仿宋_GB2312" w:eastAsia="仿宋_GB2312" w:cs="仿宋_GB2312"/>
          <w:caps w:val="0"/>
          <w:color w:val="000000"/>
          <w:spacing w:val="0"/>
          <w:kern w:val="0"/>
          <w:sz w:val="32"/>
          <w:szCs w:val="32"/>
          <w:shd w:val="clear" w:fill="FFFFFF"/>
          <w:lang w:val="en-US" w:eastAsia="zh-CN" w:bidi="ar"/>
        </w:rPr>
        <w:t>，</w:t>
      </w:r>
      <w:r>
        <w:rPr>
          <w:rFonts w:hint="eastAsia" w:ascii="仿宋_GB2312" w:eastAsia="仿宋_GB2312" w:cs="仿宋_GB2312" w:hAnsiTheme="minorHAnsi"/>
          <w:caps w:val="0"/>
          <w:color w:val="000000"/>
          <w:spacing w:val="0"/>
          <w:kern w:val="0"/>
          <w:sz w:val="32"/>
          <w:szCs w:val="32"/>
          <w:shd w:val="clear" w:fill="FFFFFF"/>
          <w:lang w:val="en-US" w:eastAsia="zh-CN" w:bidi="ar"/>
        </w:rPr>
        <w:t>提高政务公开的质量和效果</w:t>
      </w:r>
      <w:r>
        <w:rPr>
          <w:rFonts w:hint="eastAsia" w:ascii="仿宋_GB2312" w:eastAsia="仿宋_GB2312" w:cs="仿宋_GB2312"/>
          <w:caps w:val="0"/>
          <w:color w:val="000000"/>
          <w:spacing w:val="0"/>
          <w:kern w:val="0"/>
          <w:sz w:val="32"/>
          <w:szCs w:val="32"/>
          <w:shd w:val="clear" w:fill="FFFFFF"/>
          <w:lang w:val="en-US" w:eastAsia="zh-CN" w:bidi="ar"/>
        </w:rPr>
        <w:t>。</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textAlignment w:val="auto"/>
      </w:pPr>
      <w:r>
        <w:rPr>
          <w:rFonts w:ascii="楷体_GB2312" w:eastAsia="楷体_GB2312" w:cs="楷体_GB2312"/>
          <w:sz w:val="32"/>
          <w:szCs w:val="32"/>
        </w:rPr>
        <w:t>    </w:t>
      </w:r>
      <w:r>
        <w:rPr>
          <w:rFonts w:hint="eastAsia" w:ascii="楷体_GB2312" w:eastAsia="楷体_GB2312" w:cs="楷体_GB2312"/>
          <w:sz w:val="32"/>
          <w:szCs w:val="32"/>
        </w:rPr>
        <w:t>（一）主动公开</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textAlignment w:val="auto"/>
        <w:rPr>
          <w:rFonts w:hint="eastAsia" w:ascii="仿宋_GB2312" w:eastAsia="仿宋_GB2312" w:cs="仿宋_GB2312"/>
          <w:caps w:val="0"/>
          <w:color w:val="222222"/>
          <w:spacing w:val="0"/>
          <w:sz w:val="32"/>
          <w:szCs w:val="32"/>
          <w:shd w:val="clear" w:fill="FFFFFF"/>
          <w:lang w:eastAsia="zh-CN"/>
        </w:rPr>
      </w:pPr>
      <w:r>
        <w:rPr>
          <w:rFonts w:hint="eastAsia" w:ascii="仿宋_GB2312" w:eastAsia="仿宋_GB2312" w:cs="仿宋_GB2312"/>
          <w:caps w:val="0"/>
          <w:color w:val="222222"/>
          <w:spacing w:val="0"/>
          <w:sz w:val="32"/>
          <w:szCs w:val="32"/>
          <w:shd w:val="clear" w:fill="FFFFFF"/>
        </w:rPr>
        <w:t>202</w:t>
      </w:r>
      <w:r>
        <w:rPr>
          <w:rFonts w:hint="eastAsia" w:ascii="仿宋_GB2312" w:eastAsia="仿宋_GB2312" w:cs="仿宋_GB2312"/>
          <w:caps w:val="0"/>
          <w:color w:val="222222"/>
          <w:spacing w:val="0"/>
          <w:sz w:val="32"/>
          <w:szCs w:val="32"/>
          <w:shd w:val="clear" w:fill="FFFFFF"/>
          <w:lang w:val="en-US" w:eastAsia="zh-CN"/>
        </w:rPr>
        <w:t>3</w:t>
      </w:r>
      <w:r>
        <w:rPr>
          <w:rFonts w:hint="eastAsia" w:ascii="仿宋_GB2312" w:eastAsia="仿宋_GB2312" w:cs="仿宋_GB2312"/>
          <w:caps w:val="0"/>
          <w:color w:val="222222"/>
          <w:spacing w:val="0"/>
          <w:sz w:val="32"/>
          <w:szCs w:val="32"/>
          <w:shd w:val="clear" w:fill="FFFFFF"/>
        </w:rPr>
        <w:t>年，沂源分局严格按照</w:t>
      </w:r>
      <w:r>
        <w:rPr>
          <w:rFonts w:hint="eastAsia" w:ascii="仿宋_GB2312" w:eastAsia="仿宋_GB2312" w:cs="仿宋_GB2312"/>
          <w:color w:val="000000"/>
          <w:sz w:val="31"/>
          <w:szCs w:val="31"/>
        </w:rPr>
        <w:t>报告《条例》第二十条和第二十一条规定主动公开政府信息的情况，</w:t>
      </w:r>
      <w:r>
        <w:rPr>
          <w:rFonts w:hint="eastAsia" w:ascii="仿宋_GB2312" w:eastAsia="仿宋_GB2312" w:cs="仿宋_GB2312"/>
          <w:caps w:val="0"/>
          <w:color w:val="222222"/>
          <w:spacing w:val="0"/>
          <w:sz w:val="32"/>
          <w:szCs w:val="32"/>
          <w:shd w:val="clear" w:fill="FFFFFF"/>
        </w:rPr>
        <w:t>全面更新公开机构职能，包括法定职责、领导分工、内设机构、所属事业单位等相关信息；</w:t>
      </w:r>
      <w:bookmarkStart w:id="0" w:name="OLE_LINK1"/>
      <w:r>
        <w:rPr>
          <w:rFonts w:hint="eastAsia" w:ascii="仿宋_GB2312" w:eastAsia="仿宋_GB2312" w:cs="仿宋_GB2312"/>
          <w:caps w:val="0"/>
          <w:color w:val="222222"/>
          <w:spacing w:val="0"/>
          <w:sz w:val="32"/>
          <w:szCs w:val="32"/>
          <w:shd w:val="clear" w:fill="FFFFFF"/>
        </w:rPr>
        <w:t>政策法规信息</w:t>
      </w:r>
      <w:bookmarkEnd w:id="0"/>
      <w:r>
        <w:rPr>
          <w:rFonts w:hint="eastAsia" w:ascii="仿宋_GB2312" w:eastAsia="仿宋_GB2312" w:cs="仿宋_GB2312"/>
          <w:caps w:val="0"/>
          <w:color w:val="222222"/>
          <w:spacing w:val="0"/>
          <w:sz w:val="32"/>
          <w:szCs w:val="32"/>
          <w:shd w:val="clear" w:fill="FFFFFF"/>
          <w:lang w:val="en-US" w:eastAsia="zh-CN"/>
        </w:rPr>
        <w:t>6</w:t>
      </w:r>
      <w:r>
        <w:rPr>
          <w:rFonts w:hint="eastAsia" w:ascii="仿宋_GB2312" w:eastAsia="仿宋_GB2312" w:cs="仿宋_GB2312"/>
          <w:caps w:val="0"/>
          <w:color w:val="222222"/>
          <w:spacing w:val="0"/>
          <w:sz w:val="32"/>
          <w:szCs w:val="32"/>
          <w:shd w:val="clear" w:fill="FFFFFF"/>
        </w:rPr>
        <w:t>条，</w:t>
      </w:r>
      <w:bookmarkStart w:id="1" w:name="OLE_LINK2"/>
      <w:r>
        <w:rPr>
          <w:rFonts w:hint="eastAsia" w:ascii="仿宋_GB2312" w:eastAsia="仿宋_GB2312" w:cs="仿宋_GB2312"/>
          <w:caps w:val="0"/>
          <w:color w:val="222222"/>
          <w:spacing w:val="0"/>
          <w:sz w:val="32"/>
          <w:szCs w:val="32"/>
          <w:shd w:val="clear" w:fill="FFFFFF"/>
        </w:rPr>
        <w:t>政策解读</w:t>
      </w:r>
      <w:bookmarkEnd w:id="1"/>
      <w:r>
        <w:rPr>
          <w:rFonts w:hint="eastAsia" w:ascii="仿宋_GB2312" w:eastAsia="仿宋_GB2312" w:cs="仿宋_GB2312"/>
          <w:caps w:val="0"/>
          <w:color w:val="222222"/>
          <w:spacing w:val="0"/>
          <w:sz w:val="32"/>
          <w:szCs w:val="32"/>
          <w:shd w:val="clear" w:fill="FFFFFF"/>
        </w:rPr>
        <w:t>多样化</w:t>
      </w:r>
      <w:r>
        <w:rPr>
          <w:rFonts w:hint="eastAsia" w:ascii="仿宋_GB2312" w:eastAsia="仿宋_GB2312" w:cs="仿宋_GB2312"/>
          <w:caps w:val="0"/>
          <w:color w:val="222222"/>
          <w:spacing w:val="0"/>
          <w:sz w:val="32"/>
          <w:szCs w:val="32"/>
          <w:shd w:val="clear" w:fill="FFFFFF"/>
          <w:lang w:val="en-US" w:eastAsia="zh-CN"/>
        </w:rPr>
        <w:t>5</w:t>
      </w:r>
      <w:r>
        <w:rPr>
          <w:rFonts w:hint="eastAsia" w:ascii="仿宋_GB2312" w:eastAsia="仿宋_GB2312" w:cs="仿宋_GB2312"/>
          <w:caps w:val="0"/>
          <w:color w:val="222222"/>
          <w:spacing w:val="0"/>
          <w:sz w:val="32"/>
          <w:szCs w:val="32"/>
          <w:shd w:val="clear" w:fill="FFFFFF"/>
        </w:rPr>
        <w:t>条；</w:t>
      </w:r>
      <w:bookmarkStart w:id="2" w:name="OLE_LINK3"/>
      <w:r>
        <w:rPr>
          <w:rFonts w:hint="eastAsia" w:ascii="仿宋_GB2312" w:eastAsia="仿宋_GB2312" w:cs="仿宋_GB2312"/>
          <w:caps w:val="0"/>
          <w:color w:val="222222"/>
          <w:spacing w:val="0"/>
          <w:sz w:val="32"/>
          <w:szCs w:val="32"/>
          <w:shd w:val="clear" w:fill="FFFFFF"/>
        </w:rPr>
        <w:t>政府会议信息</w:t>
      </w:r>
      <w:bookmarkEnd w:id="2"/>
      <w:r>
        <w:rPr>
          <w:rFonts w:hint="eastAsia" w:ascii="仿宋_GB2312" w:eastAsia="仿宋_GB2312" w:cs="仿宋_GB2312"/>
          <w:caps w:val="0"/>
          <w:color w:val="222222"/>
          <w:spacing w:val="0"/>
          <w:sz w:val="32"/>
          <w:szCs w:val="32"/>
          <w:shd w:val="clear" w:fill="FFFFFF"/>
          <w:lang w:val="en-US" w:eastAsia="zh-CN"/>
        </w:rPr>
        <w:t>2</w:t>
      </w:r>
      <w:r>
        <w:rPr>
          <w:rFonts w:hint="eastAsia" w:ascii="仿宋_GB2312" w:eastAsia="仿宋_GB2312" w:cs="仿宋_GB2312"/>
          <w:caps w:val="0"/>
          <w:color w:val="222222"/>
          <w:spacing w:val="0"/>
          <w:sz w:val="32"/>
          <w:szCs w:val="32"/>
          <w:shd w:val="clear" w:fill="FFFFFF"/>
        </w:rPr>
        <w:t>条；</w:t>
      </w:r>
      <w:bookmarkStart w:id="3" w:name="OLE_LINK4"/>
      <w:r>
        <w:rPr>
          <w:rFonts w:hint="eastAsia" w:ascii="仿宋_GB2312" w:eastAsia="仿宋_GB2312" w:cs="仿宋_GB2312"/>
          <w:caps w:val="0"/>
          <w:color w:val="222222"/>
          <w:spacing w:val="0"/>
          <w:sz w:val="32"/>
          <w:szCs w:val="32"/>
          <w:shd w:val="clear" w:fill="FFFFFF"/>
        </w:rPr>
        <w:t>重点民生信息</w:t>
      </w:r>
      <w:bookmarkEnd w:id="3"/>
      <w:r>
        <w:rPr>
          <w:rFonts w:hint="eastAsia" w:ascii="仿宋_GB2312" w:eastAsia="仿宋_GB2312" w:cs="仿宋_GB2312"/>
          <w:caps w:val="0"/>
          <w:color w:val="222222"/>
          <w:spacing w:val="0"/>
          <w:sz w:val="32"/>
          <w:szCs w:val="32"/>
          <w:shd w:val="clear" w:fill="FFFFFF"/>
          <w:lang w:val="en-US" w:eastAsia="zh-CN"/>
        </w:rPr>
        <w:t>21</w:t>
      </w:r>
      <w:r>
        <w:rPr>
          <w:rFonts w:hint="eastAsia" w:ascii="仿宋_GB2312" w:eastAsia="仿宋_GB2312" w:cs="仿宋_GB2312"/>
          <w:caps w:val="0"/>
          <w:color w:val="222222"/>
          <w:spacing w:val="0"/>
          <w:sz w:val="32"/>
          <w:szCs w:val="32"/>
          <w:shd w:val="clear" w:fill="FFFFFF"/>
        </w:rPr>
        <w:t>条；</w:t>
      </w:r>
      <w:bookmarkStart w:id="4" w:name="OLE_LINK5"/>
      <w:r>
        <w:rPr>
          <w:rFonts w:hint="eastAsia" w:ascii="仿宋_GB2312" w:eastAsia="仿宋_GB2312" w:cs="仿宋_GB2312"/>
          <w:caps w:val="0"/>
          <w:color w:val="222222"/>
          <w:spacing w:val="0"/>
          <w:sz w:val="32"/>
          <w:szCs w:val="32"/>
          <w:shd w:val="clear" w:fill="FFFFFF"/>
        </w:rPr>
        <w:t>社会公益信息</w:t>
      </w:r>
      <w:bookmarkEnd w:id="4"/>
      <w:r>
        <w:rPr>
          <w:rFonts w:hint="eastAsia" w:ascii="仿宋_GB2312" w:eastAsia="仿宋_GB2312" w:cs="仿宋_GB2312"/>
          <w:caps w:val="0"/>
          <w:color w:val="222222"/>
          <w:spacing w:val="0"/>
          <w:sz w:val="32"/>
          <w:szCs w:val="32"/>
          <w:shd w:val="clear" w:fill="FFFFFF"/>
          <w:lang w:val="en-US" w:eastAsia="zh-CN"/>
        </w:rPr>
        <w:t>16</w:t>
      </w:r>
      <w:r>
        <w:rPr>
          <w:rFonts w:hint="eastAsia" w:ascii="仿宋_GB2312" w:eastAsia="仿宋_GB2312" w:cs="仿宋_GB2312"/>
          <w:caps w:val="0"/>
          <w:color w:val="222222"/>
          <w:spacing w:val="0"/>
          <w:sz w:val="32"/>
          <w:szCs w:val="32"/>
          <w:shd w:val="clear" w:fill="FFFFFF"/>
        </w:rPr>
        <w:t>条，</w:t>
      </w:r>
      <w:bookmarkStart w:id="5" w:name="OLE_LINK6"/>
      <w:r>
        <w:rPr>
          <w:rFonts w:hint="eastAsia" w:ascii="仿宋_GB2312" w:eastAsia="仿宋_GB2312" w:cs="仿宋_GB2312"/>
          <w:caps w:val="0"/>
          <w:color w:val="222222"/>
          <w:spacing w:val="0"/>
          <w:sz w:val="32"/>
          <w:szCs w:val="32"/>
          <w:shd w:val="clear" w:fill="FFFFFF"/>
        </w:rPr>
        <w:t>重要部署执行公开信息</w:t>
      </w:r>
      <w:bookmarkEnd w:id="5"/>
      <w:r>
        <w:rPr>
          <w:rFonts w:hint="eastAsia" w:ascii="仿宋_GB2312" w:eastAsia="仿宋_GB2312" w:cs="仿宋_GB2312"/>
          <w:caps w:val="0"/>
          <w:color w:val="222222"/>
          <w:spacing w:val="0"/>
          <w:sz w:val="32"/>
          <w:szCs w:val="32"/>
          <w:shd w:val="clear" w:fill="FFFFFF"/>
          <w:lang w:val="en-US" w:eastAsia="zh-CN"/>
        </w:rPr>
        <w:t>1</w:t>
      </w:r>
      <w:r>
        <w:rPr>
          <w:rFonts w:hint="eastAsia" w:ascii="仿宋_GB2312" w:eastAsia="仿宋_GB2312" w:cs="仿宋_GB2312"/>
          <w:caps w:val="0"/>
          <w:color w:val="222222"/>
          <w:spacing w:val="0"/>
          <w:sz w:val="32"/>
          <w:szCs w:val="32"/>
          <w:shd w:val="clear" w:fill="FFFFFF"/>
        </w:rPr>
        <w:t>条，</w:t>
      </w:r>
      <w:bookmarkStart w:id="6" w:name="OLE_LINK7"/>
      <w:r>
        <w:rPr>
          <w:rFonts w:hint="eastAsia" w:ascii="仿宋_GB2312" w:eastAsia="仿宋_GB2312" w:cs="仿宋_GB2312"/>
          <w:caps w:val="0"/>
          <w:color w:val="222222"/>
          <w:spacing w:val="0"/>
          <w:sz w:val="32"/>
          <w:szCs w:val="32"/>
          <w:shd w:val="clear" w:fill="FFFFFF"/>
        </w:rPr>
        <w:t>政府信息公开指南</w:t>
      </w:r>
      <w:bookmarkEnd w:id="6"/>
      <w:r>
        <w:rPr>
          <w:rFonts w:hint="eastAsia" w:ascii="仿宋_GB2312" w:eastAsia="仿宋_GB2312" w:cs="仿宋_GB2312"/>
          <w:caps w:val="0"/>
          <w:color w:val="222222"/>
          <w:spacing w:val="0"/>
          <w:sz w:val="32"/>
          <w:szCs w:val="32"/>
          <w:shd w:val="clear" w:fill="FFFFFF"/>
          <w:lang w:val="en-US" w:eastAsia="zh-CN"/>
        </w:rPr>
        <w:t>2</w:t>
      </w:r>
      <w:r>
        <w:rPr>
          <w:rFonts w:hint="eastAsia" w:ascii="仿宋_GB2312" w:eastAsia="仿宋_GB2312" w:cs="仿宋_GB2312"/>
          <w:caps w:val="0"/>
          <w:color w:val="222222"/>
          <w:spacing w:val="0"/>
          <w:sz w:val="32"/>
          <w:szCs w:val="32"/>
          <w:shd w:val="clear" w:fill="FFFFFF"/>
        </w:rPr>
        <w:t>条等，以上信息根据变化和更新及时上传。不断加强政务公开制度建设，完善体制机制，进一步做好解读回应工作，积极采用图文解读、领导解读的方式对政策文件进行解读，拓展解读形式。</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textAlignment w:val="auto"/>
        <w:rPr>
          <w:rFonts w:hint="eastAsia" w:ascii="楷体_GB2312" w:eastAsia="楷体_GB2312" w:cs="楷体_GB2312"/>
          <w:sz w:val="32"/>
          <w:szCs w:val="32"/>
        </w:rPr>
      </w:pPr>
      <w:r>
        <w:rPr>
          <w:rFonts w:hint="eastAsia" w:ascii="楷体_GB2312" w:eastAsia="楷体_GB2312" w:cs="楷体_GB2312"/>
          <w:sz w:val="32"/>
          <w:szCs w:val="32"/>
          <w:lang w:eastAsia="zh-CN"/>
        </w:rPr>
        <w:drawing>
          <wp:anchor distT="0" distB="0" distL="114300" distR="114300" simplePos="0" relativeHeight="251659264" behindDoc="0" locked="0" layoutInCell="1" allowOverlap="1">
            <wp:simplePos x="0" y="0"/>
            <wp:positionH relativeFrom="column">
              <wp:posOffset>86995</wp:posOffset>
            </wp:positionH>
            <wp:positionV relativeFrom="paragraph">
              <wp:posOffset>282575</wp:posOffset>
            </wp:positionV>
            <wp:extent cx="5279390" cy="4009390"/>
            <wp:effectExtent l="4445" t="4445" r="12065" b="571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pPr>
      <w:r>
        <w:rPr>
          <w:rFonts w:hint="eastAsia" w:ascii="楷体_GB2312" w:eastAsia="楷体_GB2312" w:cs="楷体_GB2312"/>
          <w:sz w:val="32"/>
          <w:szCs w:val="32"/>
        </w:rPr>
        <w:t>（二）依申请公开</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仿宋_GB2312" w:eastAsia="仿宋_GB2312" w:cs="仿宋_GB2312"/>
          <w:caps w:val="0"/>
          <w:color w:val="222222"/>
          <w:spacing w:val="0"/>
          <w:sz w:val="32"/>
          <w:szCs w:val="32"/>
          <w:shd w:val="clear" w:fill="FFFFFF"/>
        </w:rPr>
      </w:pPr>
      <w:r>
        <w:rPr>
          <w:rFonts w:hint="eastAsia" w:ascii="仿宋_GB2312" w:eastAsia="仿宋_GB2312" w:cs="仿宋_GB2312"/>
          <w:caps w:val="0"/>
          <w:color w:val="222222"/>
          <w:spacing w:val="0"/>
          <w:sz w:val="32"/>
          <w:szCs w:val="32"/>
          <w:shd w:val="clear" w:fill="FFFFFF"/>
        </w:rPr>
        <w:t>202</w:t>
      </w:r>
      <w:r>
        <w:rPr>
          <w:rFonts w:hint="eastAsia" w:ascii="仿宋_GB2312" w:eastAsia="仿宋_GB2312" w:cs="仿宋_GB2312"/>
          <w:caps w:val="0"/>
          <w:color w:val="222222"/>
          <w:spacing w:val="0"/>
          <w:sz w:val="32"/>
          <w:szCs w:val="32"/>
          <w:shd w:val="clear" w:fill="FFFFFF"/>
          <w:lang w:val="en-US" w:eastAsia="zh-CN"/>
        </w:rPr>
        <w:t>3</w:t>
      </w:r>
      <w:r>
        <w:rPr>
          <w:rFonts w:hint="eastAsia" w:ascii="仿宋_GB2312" w:eastAsia="仿宋_GB2312" w:cs="仿宋_GB2312"/>
          <w:caps w:val="0"/>
          <w:color w:val="222222"/>
          <w:spacing w:val="0"/>
          <w:sz w:val="32"/>
          <w:szCs w:val="32"/>
          <w:shd w:val="clear" w:fill="FFFFFF"/>
        </w:rPr>
        <w:t>年，</w:t>
      </w:r>
      <w:r>
        <w:rPr>
          <w:rFonts w:hint="eastAsia" w:ascii="仿宋_GB2312" w:eastAsia="仿宋_GB2312" w:cs="仿宋_GB2312"/>
          <w:caps w:val="0"/>
          <w:color w:val="222222"/>
          <w:spacing w:val="0"/>
          <w:sz w:val="32"/>
          <w:szCs w:val="32"/>
          <w:shd w:val="clear" w:fill="FFFFFF"/>
          <w:lang w:val="en-US" w:eastAsia="zh-CN"/>
        </w:rPr>
        <w:t>市医保局</w:t>
      </w:r>
      <w:r>
        <w:rPr>
          <w:rFonts w:hint="eastAsia" w:ascii="仿宋_GB2312" w:eastAsia="仿宋_GB2312" w:cs="仿宋_GB2312"/>
          <w:caps w:val="0"/>
          <w:color w:val="222222"/>
          <w:spacing w:val="0"/>
          <w:sz w:val="32"/>
          <w:szCs w:val="32"/>
          <w:shd w:val="clear" w:fill="FFFFFF"/>
        </w:rPr>
        <w:t>沂源分局接收到依申请公开政府信息的申请</w:t>
      </w:r>
      <w:r>
        <w:rPr>
          <w:rFonts w:hint="eastAsia" w:ascii="仿宋_GB2312" w:eastAsia="仿宋_GB2312" w:cs="仿宋_GB2312"/>
          <w:caps w:val="0"/>
          <w:color w:val="222222"/>
          <w:spacing w:val="0"/>
          <w:sz w:val="32"/>
          <w:szCs w:val="32"/>
          <w:shd w:val="clear" w:fill="FFFFFF"/>
          <w:lang w:val="en-US" w:eastAsia="zh-CN"/>
        </w:rPr>
        <w:t>5条，主要涉及生育报销、生育津贴领取、门诊报销等政策咨询类申请，均按照规定时间进行答复，未收取任何费用</w:t>
      </w:r>
      <w:r>
        <w:rPr>
          <w:rFonts w:hint="eastAsia" w:ascii="仿宋_GB2312" w:eastAsia="仿宋_GB2312" w:cs="仿宋_GB2312"/>
          <w:caps w:val="0"/>
          <w:color w:val="222222"/>
          <w:spacing w:val="0"/>
          <w:sz w:val="32"/>
          <w:szCs w:val="32"/>
          <w:shd w:val="clear" w:fill="FFFFFF"/>
        </w:rPr>
        <w:t>。</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right="0"/>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right="0"/>
        <w:textAlignment w:val="auto"/>
        <w:rPr>
          <w:rFonts w:hint="eastAsia" w:ascii="楷体_GB2312" w:eastAsia="楷体_GB2312" w:cs="楷体_GB2312"/>
          <w:sz w:val="32"/>
          <w:szCs w:val="32"/>
        </w:rPr>
      </w:pPr>
      <w:r>
        <w:drawing>
          <wp:anchor distT="0" distB="0" distL="114300" distR="114300" simplePos="0" relativeHeight="251660288" behindDoc="0" locked="0" layoutInCell="1" allowOverlap="1">
            <wp:simplePos x="0" y="0"/>
            <wp:positionH relativeFrom="column">
              <wp:posOffset>144780</wp:posOffset>
            </wp:positionH>
            <wp:positionV relativeFrom="paragraph">
              <wp:posOffset>209550</wp:posOffset>
            </wp:positionV>
            <wp:extent cx="5080000" cy="3810000"/>
            <wp:effectExtent l="4445" t="4445" r="20955"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right="0"/>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right="0"/>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楷体_GB2312" w:eastAsia="楷体_GB2312" w:cs="楷体_GB2312"/>
          <w:sz w:val="32"/>
          <w:szCs w:val="32"/>
        </w:rPr>
      </w:pP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pPr>
      <w:r>
        <w:rPr>
          <w:rFonts w:hint="eastAsia" w:ascii="楷体_GB2312" w:eastAsia="楷体_GB2312" w:cs="楷体_GB2312"/>
          <w:sz w:val="32"/>
          <w:szCs w:val="32"/>
        </w:rPr>
        <w:t>（三）政府信息管理</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坚持</w:t>
      </w:r>
      <w:r>
        <w:rPr>
          <w:rFonts w:hint="eastAsia" w:ascii="仿宋_GB2312" w:eastAsia="仿宋_GB2312" w:cs="仿宋_GB2312"/>
          <w:sz w:val="32"/>
          <w:szCs w:val="32"/>
        </w:rPr>
        <w:t>依法向社会公开政务信息，接受公众监督</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不断</w:t>
      </w:r>
      <w:r>
        <w:rPr>
          <w:rFonts w:hint="eastAsia" w:ascii="仿宋_GB2312" w:eastAsia="仿宋_GB2312" w:cs="仿宋_GB2312"/>
          <w:sz w:val="32"/>
          <w:szCs w:val="32"/>
        </w:rPr>
        <w:t>提高</w:t>
      </w:r>
      <w:r>
        <w:rPr>
          <w:rFonts w:hint="eastAsia" w:ascii="仿宋_GB2312" w:eastAsia="仿宋_GB2312" w:cs="仿宋_GB2312"/>
          <w:sz w:val="32"/>
          <w:szCs w:val="32"/>
          <w:lang w:val="en-US" w:eastAsia="zh-CN"/>
        </w:rPr>
        <w:t>信息公开</w:t>
      </w:r>
      <w:r>
        <w:rPr>
          <w:rFonts w:hint="eastAsia" w:ascii="仿宋_GB2312" w:eastAsia="仿宋_GB2312" w:cs="仿宋_GB2312"/>
          <w:sz w:val="32"/>
          <w:szCs w:val="32"/>
        </w:rPr>
        <w:t>透明度，促进政府与公众的互动，保障公众的知情权、参与权和监督权。</w:t>
      </w:r>
      <w:r>
        <w:rPr>
          <w:rFonts w:hint="eastAsia" w:ascii="仿宋_GB2312" w:eastAsia="仿宋_GB2312" w:cs="仿宋_GB2312"/>
          <w:sz w:val="32"/>
          <w:szCs w:val="32"/>
          <w:lang w:val="en-US" w:eastAsia="zh-CN"/>
        </w:rPr>
        <w:t>积极参与</w:t>
      </w:r>
      <w:r>
        <w:rPr>
          <w:rFonts w:hint="eastAsia" w:ascii="仿宋_GB2312" w:eastAsia="仿宋_GB2312" w:cs="仿宋_GB2312"/>
          <w:sz w:val="32"/>
          <w:szCs w:val="32"/>
        </w:rPr>
        <w:t>打造透明</w:t>
      </w:r>
      <w:r>
        <w:rPr>
          <w:rFonts w:hint="eastAsia" w:ascii="仿宋_GB2312" w:eastAsia="仿宋_GB2312" w:cs="仿宋_GB2312"/>
          <w:sz w:val="32"/>
          <w:szCs w:val="32"/>
          <w:lang w:val="en-US" w:eastAsia="zh-CN"/>
        </w:rPr>
        <w:t>型</w:t>
      </w:r>
      <w:r>
        <w:rPr>
          <w:rFonts w:hint="eastAsia" w:ascii="仿宋_GB2312" w:eastAsia="仿宋_GB2312" w:cs="仿宋_GB2312"/>
          <w:sz w:val="32"/>
          <w:szCs w:val="32"/>
        </w:rPr>
        <w:t>政府、服务型政府，加强与公众的沟通与合作，推动政府治理体系和治理能力现代化。</w:t>
      </w:r>
      <w:r>
        <w:rPr>
          <w:rFonts w:hint="eastAsia" w:ascii="仿宋_GB2312" w:eastAsia="仿宋_GB2312" w:cs="仿宋_GB2312"/>
          <w:sz w:val="32"/>
          <w:szCs w:val="32"/>
          <w:lang w:val="en-US" w:eastAsia="zh-CN"/>
        </w:rPr>
        <w:t>完善政务公开工作制度，确保公开信息真实完整、安全准确，明确专职工作人员，规范信息发布审核流程，严格执行保密制度，确保信息安全。</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pPr>
      <w:r>
        <w:rPr>
          <w:rFonts w:hint="eastAsia" w:ascii="楷体_GB2312" w:eastAsia="楷体_GB2312" w:cs="楷体_GB2312"/>
          <w:sz w:val="32"/>
          <w:szCs w:val="32"/>
        </w:rPr>
        <w:t>（四）政府信息公开平台建设</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1"/>
        <w:textAlignment w:val="auto"/>
        <w:rPr>
          <w:rFonts w:hint="eastAsia" w:ascii="仿宋_GB2312" w:eastAsia="仿宋_GB2312" w:cs="仿宋_GB2312"/>
          <w:caps w:val="0"/>
          <w:color w:val="222222"/>
          <w:spacing w:val="0"/>
          <w:sz w:val="32"/>
          <w:szCs w:val="32"/>
          <w:shd w:val="clear" w:fill="FFFFFF"/>
          <w:lang w:eastAsia="zh-CN"/>
        </w:rPr>
      </w:pPr>
      <w:r>
        <w:rPr>
          <w:rFonts w:hint="eastAsia" w:ascii="仿宋_GB2312" w:eastAsia="仿宋_GB2312" w:cs="仿宋_GB2312"/>
          <w:caps w:val="0"/>
          <w:color w:val="222222"/>
          <w:spacing w:val="0"/>
          <w:sz w:val="32"/>
          <w:szCs w:val="32"/>
          <w:shd w:val="clear" w:fill="FFFFFF"/>
          <w:lang w:val="en-US" w:eastAsia="zh-CN"/>
        </w:rPr>
        <w:t>依靠沂源县人民政府网站平台，及时更新发布机构职能、政策文件、执法结果等内容，保障公众知情权、参与权和监督权。不断提高政府服务效率，提升政府治理能力，促进政府信息公开，加强社会参与互动，保障信息安全，实现政务服务需求、治理能力需求、信息化基础需求等综合提升。</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textAlignment w:val="auto"/>
      </w:pPr>
      <w:r>
        <w:rPr>
          <w:rFonts w:hint="eastAsia" w:ascii="楷体_GB2312" w:eastAsia="楷体_GB2312" w:cs="楷体_GB2312"/>
          <w:sz w:val="32"/>
          <w:szCs w:val="32"/>
        </w:rPr>
        <w:t>（五）监督保障</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textAlignment w:val="auto"/>
      </w:pPr>
      <w:r>
        <w:rPr>
          <w:rFonts w:hint="eastAsia" w:ascii="仿宋_GB2312" w:eastAsia="仿宋_GB2312" w:cs="仿宋_GB2312"/>
          <w:caps w:val="0"/>
          <w:color w:val="222222"/>
          <w:spacing w:val="0"/>
          <w:sz w:val="32"/>
          <w:szCs w:val="32"/>
          <w:shd w:val="clear" w:fill="FFFFFF"/>
        </w:rPr>
        <w:t>一是</w:t>
      </w:r>
      <w:r>
        <w:rPr>
          <w:rFonts w:hint="eastAsia" w:ascii="仿宋_GB2312" w:eastAsia="仿宋_GB2312" w:cs="仿宋_GB2312"/>
          <w:caps w:val="0"/>
          <w:color w:val="222222"/>
          <w:spacing w:val="0"/>
          <w:sz w:val="32"/>
          <w:szCs w:val="32"/>
          <w:shd w:val="clear" w:fill="FFFFFF"/>
          <w:lang w:val="en-US" w:eastAsia="zh-CN"/>
        </w:rPr>
        <w:t>根据</w:t>
      </w:r>
      <w:r>
        <w:rPr>
          <w:rFonts w:hint="eastAsia" w:ascii="仿宋_GB2312" w:eastAsia="仿宋_GB2312" w:cs="仿宋_GB2312"/>
          <w:caps w:val="0"/>
          <w:color w:val="222222"/>
          <w:spacing w:val="0"/>
          <w:sz w:val="32"/>
          <w:szCs w:val="32"/>
          <w:shd w:val="clear" w:fill="FFFFFF"/>
        </w:rPr>
        <w:t>《</w:t>
      </w:r>
      <w:r>
        <w:rPr>
          <w:rFonts w:hint="eastAsia" w:ascii="仿宋_GB2312" w:eastAsia="仿宋_GB2312" w:cs="仿宋_GB2312"/>
          <w:caps w:val="0"/>
          <w:color w:val="222222"/>
          <w:spacing w:val="0"/>
          <w:sz w:val="32"/>
          <w:szCs w:val="32"/>
          <w:shd w:val="clear" w:fill="FFFFFF"/>
          <w:lang w:val="en-US" w:eastAsia="zh-CN"/>
        </w:rPr>
        <w:t>2023年</w:t>
      </w:r>
      <w:r>
        <w:rPr>
          <w:rFonts w:hint="eastAsia" w:ascii="仿宋_GB2312" w:eastAsia="仿宋_GB2312" w:cs="仿宋_GB2312"/>
          <w:caps w:val="0"/>
          <w:color w:val="222222"/>
          <w:spacing w:val="0"/>
          <w:sz w:val="32"/>
          <w:szCs w:val="32"/>
          <w:shd w:val="clear" w:fill="FFFFFF"/>
        </w:rPr>
        <w:t>政务信息公开工作方案》要求，</w:t>
      </w:r>
      <w:r>
        <w:rPr>
          <w:rFonts w:hint="eastAsia" w:ascii="仿宋_GB2312" w:eastAsia="仿宋_GB2312" w:cs="仿宋_GB2312"/>
          <w:caps w:val="0"/>
          <w:color w:val="222222"/>
          <w:spacing w:val="0"/>
          <w:sz w:val="32"/>
          <w:szCs w:val="32"/>
          <w:shd w:val="clear" w:fill="FFFFFF"/>
          <w:lang w:val="en-US" w:eastAsia="zh-CN"/>
        </w:rPr>
        <w:t>定期召开全体工作人员政务信息公开培训会，明确信息公开工作职责，强化全体工作人员信息公开责任意识，提升专职人员信息公开工作能力，确保单位信息公开工作有序开展，公开信息内容及时、准确、完整，保障政府信息安全</w:t>
      </w:r>
      <w:r>
        <w:rPr>
          <w:rFonts w:hint="eastAsia" w:ascii="仿宋_GB2312" w:eastAsia="仿宋_GB2312" w:cs="仿宋_GB2312"/>
          <w:caps w:val="0"/>
          <w:color w:val="222222"/>
          <w:spacing w:val="0"/>
          <w:sz w:val="32"/>
          <w:szCs w:val="32"/>
          <w:shd w:val="clear" w:fill="FFFFFF"/>
        </w:rPr>
        <w:t>。</w:t>
      </w:r>
    </w:p>
    <w:p>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right="0"/>
        <w:jc w:val="left"/>
        <w:textAlignment w:val="auto"/>
        <w:rPr>
          <w:rFonts w:hint="eastAsia" w:ascii="仿宋_GB2312" w:eastAsia="仿宋_GB2312" w:cs="仿宋_GB2312"/>
          <w:caps w:val="0"/>
          <w:color w:val="222222"/>
          <w:spacing w:val="0"/>
          <w:sz w:val="32"/>
          <w:szCs w:val="32"/>
          <w:shd w:val="clear" w:fill="FFFFFF"/>
          <w:lang w:eastAsia="zh-CN"/>
        </w:rPr>
      </w:pPr>
      <w:r>
        <w:rPr>
          <w:rFonts w:hint="eastAsia" w:ascii="仿宋_GB2312" w:eastAsia="仿宋_GB2312" w:cs="仿宋_GB2312"/>
          <w:caps w:val="0"/>
          <w:color w:val="222222"/>
          <w:spacing w:val="0"/>
          <w:sz w:val="32"/>
          <w:szCs w:val="32"/>
          <w:shd w:val="clear" w:fill="FFFFFF"/>
          <w:lang w:eastAsia="zh-CN"/>
        </w:rPr>
        <w:drawing>
          <wp:inline distT="0" distB="0" distL="114300" distR="114300">
            <wp:extent cx="5433060" cy="4076700"/>
            <wp:effectExtent l="0" t="0" r="15240" b="0"/>
            <wp:docPr id="7" name="图片 7" descr="D:\徐继涛2023年\1宣传工作\宣传照片\54964b83f284ae3eab7e8bb0e588f7f.jpg54964b83f284ae3eab7e8bb0e588f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徐继涛2023年\1宣传工作\宣传照片\54964b83f284ae3eab7e8bb0e588f7f.jpg54964b83f284ae3eab7e8bb0e588f7f"/>
                    <pic:cNvPicPr>
                      <a:picLocks noChangeAspect="1"/>
                    </pic:cNvPicPr>
                  </pic:nvPicPr>
                  <pic:blipFill>
                    <a:blip r:embed="rId6"/>
                    <a:srcRect/>
                    <a:stretch>
                      <a:fillRect/>
                    </a:stretch>
                  </pic:blipFill>
                  <pic:spPr>
                    <a:xfrm>
                      <a:off x="0" y="0"/>
                      <a:ext cx="5433060" cy="4076700"/>
                    </a:xfrm>
                    <a:prstGeom prst="rect">
                      <a:avLst/>
                    </a:prstGeom>
                  </pic:spPr>
                </pic:pic>
              </a:graphicData>
            </a:graphic>
          </wp:inline>
        </w:drawing>
      </w:r>
    </w:p>
    <w:p>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420"/>
        <w:jc w:val="left"/>
        <w:textAlignment w:val="auto"/>
        <w:rPr>
          <w:rFonts w:hint="default" w:eastAsia="仿宋_GB2312"/>
          <w:lang w:val="en-US" w:eastAsia="zh-CN"/>
        </w:rPr>
      </w:pPr>
      <w:r>
        <w:rPr>
          <w:rFonts w:hint="eastAsia" w:ascii="仿宋_GB2312" w:eastAsia="仿宋_GB2312" w:cs="仿宋_GB2312"/>
          <w:caps w:val="0"/>
          <w:color w:val="222222"/>
          <w:spacing w:val="0"/>
          <w:sz w:val="32"/>
          <w:szCs w:val="32"/>
          <w:shd w:val="clear" w:fill="FFFFFF"/>
        </w:rPr>
        <w:t>二是</w:t>
      </w:r>
      <w:r>
        <w:rPr>
          <w:rFonts w:hint="eastAsia" w:ascii="仿宋_GB2312" w:eastAsia="仿宋_GB2312" w:cs="仿宋_GB2312"/>
          <w:caps w:val="0"/>
          <w:color w:val="222222"/>
          <w:spacing w:val="0"/>
          <w:sz w:val="32"/>
          <w:szCs w:val="32"/>
          <w:shd w:val="clear" w:fill="FFFFFF"/>
          <w:lang w:val="en-US" w:eastAsia="zh-CN"/>
        </w:rPr>
        <w:t>严格办理本单位政府信息公开事宜、维护和更新公开信息、编制公开指南和目录，确保政务公开工作的规范运行，完善政务公开工作制度，提升政务公开工作效果，保障政务公开工作的全面、准确、及时实施。</w:t>
      </w:r>
    </w:p>
    <w:p>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420"/>
        <w:jc w:val="left"/>
        <w:textAlignment w:val="auto"/>
      </w:pPr>
      <w:r>
        <w:rPr>
          <w:rFonts w:hint="eastAsia" w:ascii="仿宋_GB2312" w:eastAsia="仿宋_GB2312" w:cs="仿宋_GB2312"/>
          <w:caps w:val="0"/>
          <w:color w:val="222222"/>
          <w:spacing w:val="0"/>
          <w:sz w:val="32"/>
          <w:szCs w:val="32"/>
          <w:shd w:val="clear" w:fill="FFFFFF"/>
        </w:rPr>
        <w:t>三是</w:t>
      </w:r>
      <w:r>
        <w:rPr>
          <w:rFonts w:hint="eastAsia" w:ascii="仿宋_GB2312" w:eastAsia="仿宋_GB2312" w:cs="仿宋_GB2312"/>
          <w:caps w:val="0"/>
          <w:color w:val="222222"/>
          <w:spacing w:val="0"/>
          <w:sz w:val="32"/>
          <w:szCs w:val="32"/>
          <w:shd w:val="clear" w:fill="FFFFFF"/>
          <w:lang w:val="en-US" w:eastAsia="zh-CN"/>
        </w:rPr>
        <w:t>完善监督机制，建立多元化监督渠道，线上通过政府网站、政务微博、政务微信等新媒体平台实现，确保信息传播的快捷和广泛。线下通过设立政务公开栏、政务服务中心、政策解读咨询点等形式，方便公众直接获取信息和服务。</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firstLineChars="200"/>
        <w:textAlignment w:val="auto"/>
      </w:pPr>
      <w:r>
        <w:rPr>
          <w:rFonts w:hint="eastAsia" w:ascii="黑体" w:hAnsi="宋体" w:eastAsia="黑体" w:cs="黑体"/>
          <w:sz w:val="32"/>
          <w:szCs w:val="32"/>
        </w:rPr>
        <w:t>二、主动公开政府信息情况</w:t>
      </w:r>
    </w:p>
    <w:tbl>
      <w:tblPr>
        <w:tblStyle w:val="5"/>
        <w:tblW w:w="9030" w:type="dxa"/>
        <w:tblInd w:w="-2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452"/>
        <w:gridCol w:w="1875"/>
        <w:gridCol w:w="1271"/>
        <w:gridCol w:w="24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5" w:hRule="atLeast"/>
        </w:trPr>
        <w:tc>
          <w:tcPr>
            <w:tcW w:w="9030" w:type="dxa"/>
            <w:gridSpan w:val="4"/>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信息内容</w:t>
            </w:r>
          </w:p>
        </w:tc>
        <w:tc>
          <w:tcPr>
            <w:tcW w:w="1875"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rPr>
                <w:rFonts w:hint="eastAsia" w:ascii="宋体" w:hAnsi="宋体" w:eastAsia="宋体" w:cs="宋体"/>
                <w:sz w:val="24"/>
                <w:szCs w:val="24"/>
                <w:lang w:eastAsia="zh-CN"/>
              </w:rPr>
            </w:pPr>
            <w:r>
              <w:rPr>
                <w:rFonts w:hint="eastAsia" w:ascii="宋体" w:hAnsi="宋体" w:eastAsia="宋体" w:cs="宋体"/>
                <w:sz w:val="24"/>
                <w:szCs w:val="24"/>
              </w:rPr>
              <w:t>本年新</w:t>
            </w:r>
          </w:p>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制作数量</w:t>
            </w:r>
          </w:p>
        </w:tc>
        <w:tc>
          <w:tcPr>
            <w:tcW w:w="127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rPr>
                <w:rFonts w:hint="eastAsia" w:ascii="宋体" w:hAnsi="宋体" w:eastAsia="宋体" w:cs="宋体"/>
                <w:sz w:val="24"/>
                <w:szCs w:val="24"/>
                <w:lang w:eastAsia="zh-CN"/>
              </w:rPr>
            </w:pPr>
            <w:r>
              <w:rPr>
                <w:rFonts w:hint="eastAsia" w:ascii="宋体" w:hAnsi="宋体" w:eastAsia="宋体" w:cs="宋体"/>
                <w:sz w:val="24"/>
                <w:szCs w:val="24"/>
              </w:rPr>
              <w:t>本年新</w:t>
            </w:r>
          </w:p>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公开数量</w:t>
            </w:r>
          </w:p>
        </w:tc>
        <w:tc>
          <w:tcPr>
            <w:tcW w:w="243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规章</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12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43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规范性文件</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12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43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9030"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15"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信息内容</w:t>
            </w:r>
          </w:p>
        </w:tc>
        <w:tc>
          <w:tcPr>
            <w:tcW w:w="1875"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上一年项目数量</w:t>
            </w:r>
          </w:p>
        </w:tc>
        <w:tc>
          <w:tcPr>
            <w:tcW w:w="127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本年增/减</w:t>
            </w:r>
          </w:p>
        </w:tc>
        <w:tc>
          <w:tcPr>
            <w:tcW w:w="243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行政许可</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127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43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其他对外管理服务事项</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127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43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trPr>
        <w:tc>
          <w:tcPr>
            <w:tcW w:w="9030"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70"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信息内容</w:t>
            </w:r>
          </w:p>
        </w:tc>
        <w:tc>
          <w:tcPr>
            <w:tcW w:w="1875"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上一年项目数量</w:t>
            </w:r>
          </w:p>
        </w:tc>
        <w:tc>
          <w:tcPr>
            <w:tcW w:w="127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本年增/减</w:t>
            </w:r>
          </w:p>
        </w:tc>
        <w:tc>
          <w:tcPr>
            <w:tcW w:w="243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行政处罚</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127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43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行政强制</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127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243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9030"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信息内容</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上一年项目数量</w:t>
            </w:r>
          </w:p>
        </w:tc>
        <w:tc>
          <w:tcPr>
            <w:tcW w:w="3703" w:type="dxa"/>
            <w:gridSpan w:val="2"/>
            <w:tcBorders>
              <w:top w:val="single" w:color="auto" w:sz="8" w:space="0"/>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3452"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行政事业性收费</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3703" w:type="dxa"/>
            <w:gridSpan w:val="2"/>
            <w:tcBorders>
              <w:top w:val="nil"/>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bl>
    <w:p>
      <w:pPr>
        <w:pStyle w:val="4"/>
        <w:keepNext w:val="0"/>
        <w:keepLines w:val="0"/>
        <w:widowControl/>
        <w:suppressLineNumbers w:val="0"/>
        <w:autoSpaceDE w:val="0"/>
        <w:autoSpaceDN/>
        <w:spacing w:line="540" w:lineRule="atLeast"/>
        <w:ind w:right="0" w:firstLine="640" w:firstLineChars="200"/>
        <w:jc w:val="both"/>
      </w:pPr>
      <w:r>
        <w:rPr>
          <w:rFonts w:hint="eastAsia" w:ascii="黑体" w:hAnsi="宋体" w:eastAsia="黑体" w:cs="黑体"/>
          <w:sz w:val="32"/>
          <w:szCs w:val="32"/>
        </w:rPr>
        <w:t>三、收到和处理政府信息公开申请情况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96"/>
        <w:gridCol w:w="1395"/>
        <w:gridCol w:w="2737"/>
        <w:gridCol w:w="832"/>
        <w:gridCol w:w="562"/>
        <w:gridCol w:w="562"/>
        <w:gridCol w:w="562"/>
        <w:gridCol w:w="562"/>
        <w:gridCol w:w="536"/>
        <w:gridCol w:w="62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3" w:hRule="atLeast"/>
          <w:jc w:val="center"/>
        </w:trPr>
        <w:tc>
          <w:tcPr>
            <w:tcW w:w="4778"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（本列数据的勾稽关系为：第一项加第二项之和，等于第三项加第四项之和）</w:t>
            </w:r>
          </w:p>
        </w:tc>
        <w:tc>
          <w:tcPr>
            <w:tcW w:w="4293"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5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自然人</w:t>
            </w:r>
          </w:p>
        </w:tc>
        <w:tc>
          <w:tcPr>
            <w:tcW w:w="2808"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法人或其他组织</w:t>
            </w:r>
          </w:p>
        </w:tc>
        <w:tc>
          <w:tcPr>
            <w:tcW w:w="635"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27"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5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1" w:right="0" w:hanging="1"/>
              <w:jc w:val="center"/>
            </w:pPr>
            <w:r>
              <w:rPr>
                <w:rFonts w:hint="eastAsia" w:ascii="宋体" w:hAnsi="宋体" w:eastAsia="宋体" w:cs="宋体"/>
                <w:sz w:val="24"/>
                <w:szCs w:val="24"/>
              </w:rPr>
              <w:t>商业企业</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科研机构</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社会公益组织</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1" w:right="0" w:hanging="1"/>
              <w:jc w:val="center"/>
            </w:pPr>
            <w:r>
              <w:rPr>
                <w:rFonts w:hint="eastAsia" w:ascii="宋体" w:hAnsi="宋体" w:eastAsia="宋体" w:cs="宋体"/>
                <w:sz w:val="24"/>
                <w:szCs w:val="24"/>
              </w:rPr>
              <w:t>法律服务机构</w:t>
            </w:r>
          </w:p>
        </w:tc>
        <w:tc>
          <w:tcPr>
            <w:tcW w:w="54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其他</w:t>
            </w:r>
          </w:p>
        </w:tc>
        <w:tc>
          <w:tcPr>
            <w:tcW w:w="635"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宋体" w:hAnsi="宋体" w:eastAsia="宋体" w:cs="宋体"/>
                <w:sz w:val="24"/>
                <w:szCs w:val="24"/>
              </w:rPr>
              <w:t>一、本年新收政府信息公开申请数量</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rPr>
                <w:rFonts w:hint="eastAsia" w:eastAsiaTheme="minorEastAsia"/>
                <w:lang w:eastAsia="zh-CN"/>
              </w:rPr>
            </w:pPr>
            <w:r>
              <w:rPr>
                <w:rFonts w:hint="eastAsia" w:ascii="Calibri" w:hAnsi="Calibri" w:eastAsia="宋体" w:cs="Calibri"/>
                <w:sz w:val="24"/>
                <w:szCs w:val="24"/>
                <w:lang w:val="en-US" w:eastAsia="zh-CN"/>
              </w:rPr>
              <w:t>5</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rPr>
                <w:rFonts w:hint="eastAsia" w:eastAsiaTheme="minorEastAsia"/>
                <w:lang w:eastAsia="zh-CN"/>
              </w:rPr>
            </w:pPr>
            <w:r>
              <w:rPr>
                <w:rFonts w:hint="eastAsia" w:ascii="Calibri" w:hAnsi="Calibri" w:eastAsia="宋体" w:cs="Calibri"/>
                <w:sz w:val="24"/>
                <w:szCs w:val="24"/>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宋体" w:hAnsi="宋体" w:eastAsia="宋体" w:cs="宋体"/>
                <w:sz w:val="24"/>
                <w:szCs w:val="24"/>
              </w:rPr>
              <w:t>二、上年结转政府信息公开申请数量</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27" w:hRule="atLeast"/>
          <w:jc w:val="center"/>
        </w:trPr>
        <w:tc>
          <w:tcPr>
            <w:tcW w:w="525"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宋体" w:hAnsi="宋体" w:eastAsia="宋体" w:cs="宋体"/>
                <w:sz w:val="24"/>
                <w:szCs w:val="24"/>
              </w:rPr>
              <w:t>三、本年度办理结果</w:t>
            </w:r>
          </w:p>
        </w:tc>
        <w:tc>
          <w:tcPr>
            <w:tcW w:w="425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ascii="楷体" w:hAnsi="楷体" w:eastAsia="楷体" w:cs="楷体"/>
                <w:sz w:val="24"/>
                <w:szCs w:val="24"/>
              </w:rPr>
              <w:t>（一）予以公开</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rPr>
                <w:rFonts w:hint="eastAsia" w:eastAsiaTheme="minorEastAsia"/>
                <w:lang w:eastAsia="zh-CN"/>
              </w:rPr>
            </w:pPr>
            <w:r>
              <w:rPr>
                <w:rFonts w:hint="eastAsia" w:ascii="Calibri" w:hAnsi="Calibri" w:eastAsia="宋体" w:cs="Calibri"/>
                <w:sz w:val="24"/>
                <w:szCs w:val="24"/>
                <w:lang w:val="en-US" w:eastAsia="zh-CN"/>
              </w:rPr>
              <w:t>5</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rPr>
                <w:rFonts w:hint="eastAsia" w:eastAsiaTheme="minorEastAsia"/>
                <w:lang w:eastAsia="zh-CN"/>
              </w:rPr>
            </w:pPr>
            <w:r>
              <w:rPr>
                <w:rFonts w:hint="eastAsia" w:ascii="Calibri" w:hAnsi="Calibri" w:eastAsia="宋体" w:cs="Calibri"/>
                <w:sz w:val="24"/>
                <w:szCs w:val="24"/>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25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（二）部分公开（区分处理的，只计这一情形，不计其他情形）</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4"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（三）不予公开</w:t>
            </w: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1.属于国家秘密</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4"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2.其他法律行政法规禁止公开</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4"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3.危及“三安全一稳定”</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39"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4.保护第三方合法权益</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4"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5.属于三类内部事务信息</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4"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6.属于四类过程性信息</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39"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7.属于行政执法案卷</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39"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8.属于行政查询事项</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4"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（四）无法提供</w:t>
            </w: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1.本机关不掌握相关政府信息</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4"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2.没有现成信息需要另行制作</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29"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3.补正后申请内容仍不明确</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4"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（五）不予处理</w:t>
            </w: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1.信访举报投诉类申请</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4"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2.重复申请</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29"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3.要求提供公开出版物</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2"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4.无正当理由大量反复申请</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8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5.要求行政机关确认或重新出具已获取信息</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2"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25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（六）其他处理</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7" w:hRule="atLeast"/>
          <w:jc w:val="center"/>
        </w:trPr>
        <w:tc>
          <w:tcPr>
            <w:tcW w:w="525"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25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楷体" w:hAnsi="楷体" w:eastAsia="楷体" w:cs="楷体"/>
                <w:sz w:val="24"/>
                <w:szCs w:val="24"/>
              </w:rPr>
              <w:t>（七）总计</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lang w:val="en-US" w:eastAsia="zh-CN"/>
              </w:rPr>
              <w:t>5</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pPr>
            <w:r>
              <w:rPr>
                <w:rFonts w:hint="eastAsia" w:ascii="宋体" w:hAnsi="宋体" w:eastAsia="宋体" w:cs="宋体"/>
                <w:sz w:val="24"/>
                <w:szCs w:val="24"/>
              </w:rPr>
              <w:t>四、结转下年度继续办理</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rPr>
                <w:rFonts w:hint="eastAsia" w:eastAsiaTheme="minorEastAsia"/>
                <w:lang w:eastAsia="zh-CN"/>
              </w:rPr>
            </w:pPr>
            <w:r>
              <w:rPr>
                <w:rFonts w:hint="eastAsia" w:ascii="Calibri" w:hAnsi="Calibri" w:eastAsia="宋体" w:cs="Calibri"/>
                <w:sz w:val="24"/>
                <w:szCs w:val="24"/>
                <w:lang w:val="en-US" w:eastAsia="zh-CN"/>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rPr>
                <w:rFonts w:hint="eastAsia" w:eastAsiaTheme="minorEastAsia"/>
                <w:lang w:eastAsia="zh-CN"/>
              </w:rPr>
            </w:pPr>
            <w:r>
              <w:rPr>
                <w:rFonts w:hint="eastAsia" w:ascii="Calibri" w:hAnsi="Calibri" w:eastAsia="宋体" w:cs="Calibri"/>
                <w:sz w:val="24"/>
                <w:szCs w:val="24"/>
                <w:lang w:val="en-US" w:eastAsia="zh-CN"/>
              </w:rPr>
              <w:t>0</w:t>
            </w:r>
          </w:p>
        </w:tc>
      </w:tr>
    </w:tbl>
    <w:p>
      <w:pPr>
        <w:pStyle w:val="4"/>
        <w:keepNext w:val="0"/>
        <w:keepLines w:val="0"/>
        <w:widowControl/>
        <w:suppressLineNumbers w:val="0"/>
        <w:autoSpaceDE w:val="0"/>
        <w:autoSpaceDN/>
        <w:spacing w:line="540" w:lineRule="atLeast"/>
        <w:ind w:right="0" w:firstLine="640" w:firstLineChars="200"/>
        <w:jc w:val="left"/>
      </w:pPr>
      <w:r>
        <w:rPr>
          <w:rFonts w:hint="eastAsia" w:ascii="黑体" w:hAnsi="宋体" w:eastAsia="黑体" w:cs="黑体"/>
          <w:sz w:val="32"/>
          <w:szCs w:val="32"/>
        </w:rPr>
        <w:t>四、政府信息公开行政复议、行政诉讼情况</w:t>
      </w:r>
    </w:p>
    <w:tbl>
      <w:tblPr>
        <w:tblStyle w:val="5"/>
        <w:tblW w:w="929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8"/>
        <w:gridCol w:w="618"/>
        <w:gridCol w:w="618"/>
        <w:gridCol w:w="618"/>
        <w:gridCol w:w="679"/>
        <w:gridCol w:w="563"/>
        <w:gridCol w:w="619"/>
        <w:gridCol w:w="619"/>
        <w:gridCol w:w="619"/>
        <w:gridCol w:w="625"/>
        <w:gridCol w:w="619"/>
        <w:gridCol w:w="619"/>
        <w:gridCol w:w="619"/>
        <w:gridCol w:w="620"/>
        <w:gridCol w:w="62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7" w:hRule="atLeast"/>
          <w:jc w:val="center"/>
        </w:trPr>
        <w:tc>
          <w:tcPr>
            <w:tcW w:w="3151"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行政复议</w:t>
            </w:r>
          </w:p>
        </w:tc>
        <w:tc>
          <w:tcPr>
            <w:tcW w:w="6148"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7" w:hRule="atLeast"/>
          <w:jc w:val="center"/>
        </w:trPr>
        <w:tc>
          <w:tcPr>
            <w:tcW w:w="61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w:t>
            </w:r>
          </w:p>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维持</w:t>
            </w:r>
          </w:p>
        </w:tc>
        <w:tc>
          <w:tcPr>
            <w:tcW w:w="61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1" w:right="0" w:hanging="1"/>
              <w:jc w:val="center"/>
            </w:pPr>
            <w:r>
              <w:rPr>
                <w:rFonts w:hint="eastAsia" w:ascii="宋体" w:hAnsi="宋体" w:eastAsia="宋体" w:cs="宋体"/>
                <w:sz w:val="24"/>
                <w:szCs w:val="24"/>
              </w:rPr>
              <w:t>结果纠正</w:t>
            </w:r>
          </w:p>
        </w:tc>
        <w:tc>
          <w:tcPr>
            <w:tcW w:w="618"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其他结果</w:t>
            </w:r>
          </w:p>
        </w:tc>
        <w:tc>
          <w:tcPr>
            <w:tcW w:w="618"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尚未</w:t>
            </w:r>
          </w:p>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审结</w:t>
            </w:r>
          </w:p>
        </w:tc>
        <w:tc>
          <w:tcPr>
            <w:tcW w:w="67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总</w:t>
            </w:r>
          </w:p>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计</w:t>
            </w:r>
          </w:p>
        </w:tc>
        <w:tc>
          <w:tcPr>
            <w:tcW w:w="3045"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未经复议直接起诉</w:t>
            </w:r>
          </w:p>
        </w:tc>
        <w:tc>
          <w:tcPr>
            <w:tcW w:w="3103"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52" w:hRule="atLeast"/>
          <w:jc w:val="center"/>
        </w:trPr>
        <w:tc>
          <w:tcPr>
            <w:tcW w:w="61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1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18"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18"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7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结果维持</w:t>
            </w:r>
          </w:p>
        </w:tc>
        <w:tc>
          <w:tcPr>
            <w:tcW w:w="6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结果纠正</w:t>
            </w:r>
          </w:p>
        </w:tc>
        <w:tc>
          <w:tcPr>
            <w:tcW w:w="61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其他</w:t>
            </w:r>
          </w:p>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w:t>
            </w:r>
          </w:p>
        </w:tc>
        <w:tc>
          <w:tcPr>
            <w:tcW w:w="61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尚未</w:t>
            </w:r>
          </w:p>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审结</w:t>
            </w:r>
          </w:p>
        </w:tc>
        <w:tc>
          <w:tcPr>
            <w:tcW w:w="62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color w:val="000000"/>
                <w:sz w:val="24"/>
                <w:szCs w:val="24"/>
              </w:rPr>
              <w:t>总计</w:t>
            </w:r>
          </w:p>
        </w:tc>
        <w:tc>
          <w:tcPr>
            <w:tcW w:w="61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结果维持</w:t>
            </w:r>
          </w:p>
        </w:tc>
        <w:tc>
          <w:tcPr>
            <w:tcW w:w="61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结果</w:t>
            </w:r>
          </w:p>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纠正</w:t>
            </w:r>
          </w:p>
        </w:tc>
        <w:tc>
          <w:tcPr>
            <w:tcW w:w="61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1" w:right="0" w:hanging="1"/>
              <w:jc w:val="center"/>
            </w:pPr>
            <w:r>
              <w:rPr>
                <w:rFonts w:hint="eastAsia" w:ascii="宋体" w:hAnsi="宋体" w:eastAsia="宋体" w:cs="宋体"/>
                <w:color w:val="000000"/>
                <w:sz w:val="24"/>
                <w:szCs w:val="24"/>
              </w:rPr>
              <w:t>其他</w:t>
            </w:r>
          </w:p>
          <w:p>
            <w:pPr>
              <w:pStyle w:val="4"/>
              <w:keepNext w:val="0"/>
              <w:keepLines w:val="0"/>
              <w:widowControl/>
              <w:suppressLineNumbers w:val="0"/>
              <w:autoSpaceDE w:val="0"/>
              <w:autoSpaceDN/>
              <w:spacing w:line="540" w:lineRule="atLeast"/>
              <w:ind w:left="1" w:right="0" w:hanging="1"/>
              <w:jc w:val="center"/>
            </w:pPr>
            <w:r>
              <w:rPr>
                <w:rFonts w:hint="eastAsia" w:ascii="宋体" w:hAnsi="宋体" w:eastAsia="宋体" w:cs="宋体"/>
                <w:color w:val="000000"/>
                <w:sz w:val="24"/>
                <w:szCs w:val="24"/>
              </w:rPr>
              <w:t>结果</w:t>
            </w:r>
          </w:p>
        </w:tc>
        <w:tc>
          <w:tcPr>
            <w:tcW w:w="62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2" w:right="0" w:hanging="2"/>
              <w:jc w:val="center"/>
            </w:pPr>
            <w:r>
              <w:rPr>
                <w:rFonts w:hint="eastAsia" w:ascii="宋体" w:hAnsi="宋体" w:eastAsia="宋体" w:cs="宋体"/>
                <w:sz w:val="24"/>
                <w:szCs w:val="24"/>
              </w:rPr>
              <w:t>尚未审结</w:t>
            </w:r>
          </w:p>
        </w:tc>
        <w:tc>
          <w:tcPr>
            <w:tcW w:w="62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color w:val="000000"/>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84" w:hRule="atLeast"/>
          <w:jc w:val="center"/>
        </w:trPr>
        <w:tc>
          <w:tcPr>
            <w:tcW w:w="61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1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6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default" w:ascii="Calibri" w:hAnsi="Calibri" w:eastAsia="宋体" w:cs="Calibri"/>
                <w:sz w:val="24"/>
                <w:szCs w:val="24"/>
              </w:rPr>
              <w:t>0</w:t>
            </w:r>
          </w:p>
        </w:tc>
        <w:tc>
          <w:tcPr>
            <w:tcW w:w="5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2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color w:val="000000"/>
                <w:sz w:val="24"/>
                <w:szCs w:val="24"/>
              </w:rPr>
              <w:t>0</w:t>
            </w:r>
          </w:p>
        </w:tc>
        <w:tc>
          <w:tcPr>
            <w:tcW w:w="6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color w:val="000000"/>
                <w:sz w:val="24"/>
                <w:szCs w:val="24"/>
              </w:rPr>
              <w:t>0</w:t>
            </w:r>
          </w:p>
        </w:tc>
        <w:tc>
          <w:tcPr>
            <w:tcW w:w="6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c>
          <w:tcPr>
            <w:tcW w:w="62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autoSpaceDE w:val="0"/>
              <w:autoSpaceDN/>
              <w:spacing w:line="540" w:lineRule="atLeast"/>
              <w:ind w:left="0" w:right="0"/>
              <w:jc w:val="center"/>
            </w:pPr>
            <w:r>
              <w:rPr>
                <w:rFonts w:hint="eastAsia" w:ascii="宋体" w:hAnsi="宋体" w:eastAsia="宋体" w:cs="宋体"/>
                <w:sz w:val="24"/>
                <w:szCs w:val="24"/>
              </w:rPr>
              <w:t>0</w:t>
            </w:r>
          </w:p>
        </w:tc>
      </w:tr>
    </w:tbl>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firstLineChars="200"/>
        <w:jc w:val="both"/>
        <w:textAlignment w:val="auto"/>
      </w:pPr>
      <w:r>
        <w:rPr>
          <w:rFonts w:hint="eastAsia" w:ascii="黑体" w:hAnsi="宋体" w:eastAsia="黑体" w:cs="黑体"/>
          <w:sz w:val="32"/>
          <w:szCs w:val="32"/>
        </w:rPr>
        <w:t>五、存在的主要问题及改进情况</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jc w:val="both"/>
        <w:textAlignment w:val="auto"/>
      </w:pPr>
      <w:r>
        <w:rPr>
          <w:rFonts w:hint="eastAsia" w:ascii="仿宋_GB2312" w:eastAsia="仿宋_GB2312" w:cs="仿宋_GB2312"/>
          <w:sz w:val="32"/>
          <w:szCs w:val="32"/>
        </w:rPr>
        <w:t>一是</w:t>
      </w:r>
      <w:r>
        <w:rPr>
          <w:rFonts w:hint="eastAsia" w:ascii="仿宋_GB2312" w:eastAsia="仿宋_GB2312" w:cs="仿宋_GB2312"/>
          <w:sz w:val="32"/>
          <w:szCs w:val="32"/>
          <w:lang w:val="en-US" w:eastAsia="zh-CN"/>
        </w:rPr>
        <w:t>政策文件解读不够及时，解读内容不够全面，部分解读未能充分解释文件内容；</w:t>
      </w:r>
      <w:r>
        <w:rPr>
          <w:rFonts w:hint="eastAsia" w:ascii="仿宋_GB2312" w:eastAsia="仿宋_GB2312" w:cs="仿宋_GB2312"/>
          <w:sz w:val="32"/>
          <w:szCs w:val="32"/>
        </w:rPr>
        <w:t>二是</w:t>
      </w:r>
      <w:r>
        <w:rPr>
          <w:rFonts w:hint="eastAsia" w:ascii="仿宋_GB2312" w:eastAsia="仿宋_GB2312" w:cs="仿宋_GB2312"/>
          <w:sz w:val="32"/>
          <w:szCs w:val="32"/>
          <w:lang w:val="en-US" w:eastAsia="zh-CN"/>
        </w:rPr>
        <w:t>无政务公开专职工作人员，兼职人员岗位流动频繁，对政务公开工作有序开展造成不利影响</w:t>
      </w:r>
      <w:r>
        <w:rPr>
          <w:rFonts w:hint="eastAsia" w:ascii="仿宋_GB2312" w:eastAsia="仿宋_GB2312" w:cs="仿宋_GB2312"/>
          <w:sz w:val="32"/>
          <w:szCs w:val="32"/>
        </w:rPr>
        <w:t>。下一步</w:t>
      </w:r>
      <w:r>
        <w:rPr>
          <w:rFonts w:hint="eastAsia" w:ascii="仿宋_GB2312" w:eastAsia="仿宋_GB2312" w:cs="仿宋_GB2312"/>
          <w:sz w:val="32"/>
          <w:szCs w:val="32"/>
          <w:lang w:val="en-US" w:eastAsia="zh-CN"/>
        </w:rPr>
        <w:t>市医保局</w:t>
      </w:r>
      <w:r>
        <w:rPr>
          <w:rFonts w:hint="eastAsia" w:ascii="仿宋_GB2312" w:eastAsia="仿宋_GB2312" w:cs="仿宋_GB2312"/>
          <w:sz w:val="32"/>
          <w:szCs w:val="32"/>
        </w:rPr>
        <w:t>沂源分局</w:t>
      </w:r>
      <w:r>
        <w:rPr>
          <w:rFonts w:hint="eastAsia" w:ascii="仿宋_GB2312" w:eastAsia="仿宋_GB2312" w:cs="仿宋_GB2312"/>
          <w:sz w:val="32"/>
          <w:szCs w:val="32"/>
          <w:lang w:val="en-US" w:eastAsia="zh-CN"/>
        </w:rPr>
        <w:t>将</w:t>
      </w:r>
      <w:r>
        <w:rPr>
          <w:rFonts w:hint="eastAsia" w:ascii="仿宋_GB2312" w:eastAsia="仿宋_GB2312" w:cs="仿宋_GB2312"/>
          <w:sz w:val="32"/>
          <w:szCs w:val="32"/>
        </w:rPr>
        <w:t>高度重视政务公开工作，</w:t>
      </w:r>
      <w:r>
        <w:rPr>
          <w:rFonts w:hint="eastAsia" w:ascii="仿宋_GB2312" w:eastAsia="仿宋_GB2312" w:cs="仿宋_GB2312"/>
          <w:sz w:val="32"/>
          <w:szCs w:val="32"/>
          <w:lang w:val="en-US" w:eastAsia="zh-CN"/>
        </w:rPr>
        <w:t>进一步完善单位政务公开工作制度，强化工作培训学习，提升工作人员责任意识，丰富信息发布形式，用群众语言解读便民利民政策，提升政府的透明度和公众的满意度。</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firstLineChars="200"/>
        <w:jc w:val="both"/>
        <w:textAlignment w:val="auto"/>
      </w:pPr>
      <w:r>
        <w:rPr>
          <w:rFonts w:hint="eastAsia" w:ascii="黑体" w:hAnsi="宋体" w:eastAsia="黑体" w:cs="黑体"/>
          <w:sz w:val="32"/>
          <w:szCs w:val="32"/>
        </w:rPr>
        <w:t>六、其他需要报告的事项</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right="0" w:firstLine="640" w:firstLineChars="200"/>
        <w:jc w:val="both"/>
        <w:textAlignment w:val="auto"/>
      </w:pPr>
      <w:bookmarkStart w:id="7" w:name="_GoBack"/>
      <w:bookmarkEnd w:id="7"/>
      <w:r>
        <w:rPr>
          <w:rFonts w:hint="eastAsia" w:ascii="楷体_GB2312" w:eastAsia="楷体_GB2312" w:cs="楷体_GB2312"/>
          <w:sz w:val="32"/>
          <w:szCs w:val="32"/>
        </w:rPr>
        <w:t>（一）收取信息处理费情况</w:t>
      </w:r>
    </w:p>
    <w:p>
      <w:pPr>
        <w:pStyle w:val="4"/>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firstLine="640" w:firstLineChars="200"/>
        <w:textAlignment w:val="auto"/>
      </w:pPr>
      <w:r>
        <w:rPr>
          <w:rFonts w:hint="eastAsia" w:ascii="仿宋_GB2312" w:eastAsia="仿宋_GB2312" w:cs="仿宋_GB2312"/>
          <w:sz w:val="32"/>
          <w:szCs w:val="32"/>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pStyle w:val="4"/>
        <w:keepNext/>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640"/>
        <w:textAlignment w:val="auto"/>
      </w:pPr>
      <w:r>
        <w:rPr>
          <w:rFonts w:hint="eastAsia" w:ascii="仿宋_GB2312" w:eastAsia="仿宋_GB2312" w:cs="仿宋_GB2312"/>
          <w:sz w:val="32"/>
          <w:szCs w:val="32"/>
        </w:rPr>
        <w:t>（二）</w:t>
      </w:r>
      <w:r>
        <w:rPr>
          <w:rFonts w:hint="eastAsia" w:ascii="楷体_GB2312" w:eastAsia="楷体_GB2312" w:cs="楷体_GB2312"/>
          <w:sz w:val="32"/>
          <w:szCs w:val="32"/>
        </w:rPr>
        <w:t>落实上年度政务公开工作要点情况</w:t>
      </w:r>
    </w:p>
    <w:p>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right="0" w:firstLine="640"/>
        <w:textAlignment w:val="auto"/>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市</w:t>
      </w:r>
      <w:r>
        <w:rPr>
          <w:rFonts w:hint="eastAsia" w:ascii="仿宋_GB2312" w:eastAsia="仿宋_GB2312" w:cs="仿宋_GB2312"/>
          <w:sz w:val="32"/>
          <w:szCs w:val="32"/>
        </w:rPr>
        <w:t>医保局</w:t>
      </w:r>
      <w:r>
        <w:rPr>
          <w:rFonts w:hint="eastAsia" w:ascii="仿宋_GB2312" w:eastAsia="仿宋_GB2312" w:cs="仿宋_GB2312"/>
          <w:sz w:val="32"/>
          <w:szCs w:val="32"/>
          <w:lang w:val="en-US" w:eastAsia="zh-CN"/>
        </w:rPr>
        <w:t>沂源分局</w:t>
      </w:r>
      <w:r>
        <w:rPr>
          <w:rFonts w:hint="eastAsia" w:ascii="仿宋_GB2312" w:eastAsia="仿宋_GB2312" w:cs="仿宋_GB2312"/>
          <w:sz w:val="32"/>
          <w:szCs w:val="32"/>
        </w:rPr>
        <w:t>按照《关于印发2023年沂源县政务公开工作方案的通知》</w:t>
      </w:r>
      <w:r>
        <w:rPr>
          <w:rFonts w:hint="eastAsia" w:ascii="仿宋_GB2312" w:eastAsia="仿宋_GB2312" w:cs="仿宋_GB2312"/>
          <w:sz w:val="32"/>
          <w:szCs w:val="32"/>
          <w:lang w:val="en-US" w:eastAsia="zh-CN"/>
        </w:rPr>
        <w:t>等文件</w:t>
      </w:r>
      <w:r>
        <w:rPr>
          <w:rFonts w:hint="eastAsia" w:ascii="仿宋_GB2312" w:eastAsia="仿宋_GB2312" w:cs="仿宋_GB2312"/>
          <w:sz w:val="32"/>
          <w:szCs w:val="32"/>
        </w:rPr>
        <w:t>要求，严格按照《全县政务公开常态化工作任务清单》的范围和内容，</w:t>
      </w:r>
      <w:r>
        <w:rPr>
          <w:rFonts w:hint="eastAsia" w:ascii="仿宋_GB2312" w:eastAsia="仿宋_GB2312" w:cs="仿宋_GB2312"/>
          <w:sz w:val="32"/>
          <w:szCs w:val="32"/>
          <w:lang w:val="en-US" w:eastAsia="zh-CN"/>
        </w:rPr>
        <w:t>及时补充完善机构职能，定期公开重点民生、社会公益等方面内容，常态化更新便民利民政策，丰富政策解读形式，及时接收处理依申请公开事项，</w:t>
      </w:r>
      <w:r>
        <w:rPr>
          <w:rFonts w:hint="eastAsia" w:ascii="仿宋_GB2312" w:eastAsia="仿宋_GB2312" w:cs="仿宋_GB2312"/>
          <w:sz w:val="32"/>
          <w:szCs w:val="32"/>
        </w:rPr>
        <w:t>每月向政务公开在行动平台投稿最少2篇。</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jc w:val="left"/>
        <w:textAlignment w:val="auto"/>
      </w:pPr>
      <w:r>
        <w:rPr>
          <w:rFonts w:hint="eastAsia" w:ascii="楷体_GB2312" w:eastAsia="楷体_GB2312" w:cs="楷体_GB2312"/>
          <w:sz w:val="32"/>
          <w:szCs w:val="32"/>
        </w:rPr>
        <w:t>（三）人大代表建议和政协提案办理结果公开情况</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jc w:val="left"/>
        <w:textAlignment w:val="auto"/>
        <w:rPr>
          <w:rFonts w:hint="default" w:ascii="仿宋_GB2312" w:eastAsia="仿宋_GB2312" w:cs="仿宋_GB2312"/>
          <w:sz w:val="32"/>
          <w:szCs w:val="32"/>
          <w:lang w:val="en-US"/>
        </w:rPr>
      </w:pPr>
      <w:r>
        <w:rPr>
          <w:rFonts w:hint="default" w:ascii="Times New Roman" w:hAnsi="Times New Roman" w:eastAsia="仿宋_GB2312" w:cs="Times New Roman"/>
          <w:color w:val="000000"/>
          <w:sz w:val="32"/>
          <w:szCs w:val="32"/>
        </w:rPr>
        <w:t>202</w:t>
      </w:r>
      <w:r>
        <w:rPr>
          <w:rFonts w:hint="eastAsia" w:ascii="Times New Roman" w:hAnsi="Times New Roman" w:eastAsia="仿宋_GB2312" w:cs="Times New Roman"/>
          <w:color w:val="000000"/>
          <w:sz w:val="32"/>
          <w:szCs w:val="32"/>
          <w:lang w:val="en-US" w:eastAsia="zh-CN"/>
        </w:rPr>
        <w:t>3</w:t>
      </w:r>
      <w:r>
        <w:rPr>
          <w:rFonts w:hint="eastAsia" w:ascii="仿宋_GB2312" w:eastAsia="仿宋_GB2312" w:cs="仿宋_GB2312"/>
          <w:sz w:val="32"/>
          <w:szCs w:val="32"/>
        </w:rPr>
        <w:t>年度，淄博市医疗保障局沂源分局</w:t>
      </w:r>
      <w:r>
        <w:rPr>
          <w:rFonts w:hint="eastAsia" w:ascii="仿宋_GB2312" w:eastAsia="仿宋_GB2312" w:cs="仿宋_GB2312"/>
          <w:sz w:val="32"/>
          <w:szCs w:val="32"/>
          <w:lang w:val="en-US" w:eastAsia="zh-CN"/>
        </w:rPr>
        <w:t>完成</w:t>
      </w:r>
      <w:r>
        <w:rPr>
          <w:rFonts w:hint="eastAsia" w:ascii="仿宋_GB2312" w:eastAsia="仿宋_GB2312" w:cs="仿宋_GB2312"/>
          <w:sz w:val="32"/>
          <w:szCs w:val="32"/>
          <w:lang w:eastAsia="zh-CN"/>
        </w:rPr>
        <w:t>“</w:t>
      </w:r>
      <w:r>
        <w:rPr>
          <w:rFonts w:hint="eastAsia" w:ascii="仿宋_GB2312" w:eastAsia="仿宋_GB2312" w:cs="仿宋_GB2312"/>
          <w:sz w:val="32"/>
          <w:szCs w:val="32"/>
        </w:rPr>
        <w:t>对县十九届人大二次会议代表第23号建议的答复</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和“对县十九届人大二次会议代表第68号建议的答复”的答复，并将办理结果进行公开，未收到政协提案。</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jc w:val="left"/>
        <w:textAlignment w:val="auto"/>
      </w:pPr>
      <w:r>
        <w:rPr>
          <w:rFonts w:hint="eastAsia" w:ascii="楷体_GB2312" w:eastAsia="楷体_GB2312" w:cs="楷体_GB2312"/>
          <w:sz w:val="32"/>
          <w:szCs w:val="32"/>
        </w:rPr>
        <w:t>（四）创新举措及相关情况</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textAlignment w:val="auto"/>
      </w:pPr>
      <w:r>
        <w:rPr>
          <w:rFonts w:hint="eastAsia" w:ascii="仿宋_GB2312" w:eastAsia="仿宋_GB2312" w:cs="仿宋_GB2312"/>
          <w:sz w:val="32"/>
          <w:szCs w:val="32"/>
          <w:shd w:val="clear" w:fill="FFFFFF"/>
          <w:lang w:val="en-US" w:eastAsia="zh-CN"/>
        </w:rPr>
        <w:t>1</w:t>
      </w:r>
      <w:r>
        <w:rPr>
          <w:rFonts w:hint="eastAsia" w:ascii="仿宋_GB2312" w:eastAsia="仿宋_GB2312" w:cs="仿宋_GB2312"/>
          <w:sz w:val="32"/>
          <w:szCs w:val="32"/>
          <w:shd w:val="clear" w:fill="FFFFFF"/>
        </w:rPr>
        <w:t>、将重点民生实事与政务公开紧密结合。围绕市医疗保障局沂源分局关注的民生热点，及时发布医疗保险、医疗救助等医保政策文件，按月公布医疗救助救助情况，按季度发布职工和居民医疗保险的参保情况，让群众了解最新医保政策和民生工作进展。</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textAlignment w:val="auto"/>
      </w:pPr>
      <w:r>
        <w:rPr>
          <w:rFonts w:hint="eastAsia" w:ascii="仿宋_GB2312" w:eastAsia="仿宋_GB2312" w:cs="仿宋_GB2312"/>
          <w:sz w:val="32"/>
          <w:szCs w:val="32"/>
          <w:shd w:val="clear" w:fill="FFFFFF"/>
          <w:lang w:val="en-US" w:eastAsia="zh-CN"/>
        </w:rPr>
        <w:t>2</w:t>
      </w:r>
      <w:r>
        <w:rPr>
          <w:rFonts w:hint="eastAsia" w:ascii="仿宋_GB2312" w:eastAsia="仿宋_GB2312" w:cs="仿宋_GB2312"/>
          <w:sz w:val="32"/>
          <w:szCs w:val="32"/>
          <w:shd w:val="clear" w:fill="FFFFFF"/>
        </w:rPr>
        <w:t>、医保政策文件解读形式多样化，通过图片、音频、视频、图画、领导人解读让人民群众真正的“看得见”、“听得懂”、“信得过”</w:t>
      </w:r>
      <w:r>
        <w:rPr>
          <w:rFonts w:hint="eastAsia" w:ascii="仿宋_GB2312" w:eastAsia="仿宋_GB2312" w:cs="仿宋_GB2312"/>
          <w:sz w:val="32"/>
          <w:szCs w:val="32"/>
          <w:shd w:val="clear" w:fill="FFFFFF"/>
          <w:lang w:eastAsia="zh-CN"/>
        </w:rPr>
        <w:t>，</w:t>
      </w:r>
      <w:r>
        <w:rPr>
          <w:rFonts w:hint="eastAsia" w:ascii="仿宋_GB2312" w:eastAsia="仿宋_GB2312" w:cs="仿宋_GB2312"/>
          <w:sz w:val="32"/>
          <w:szCs w:val="32"/>
          <w:shd w:val="clear" w:fill="FFFFFF"/>
          <w:lang w:val="en-US" w:eastAsia="zh-CN"/>
        </w:rPr>
        <w:t>拍摄安全规范用基金，守好人民‘看病钱’系列短片（七）：偷梁换柱、民生大小事“沂心沂意办”---2023年品质民生看变化之医疗健康篇等视频</w:t>
      </w:r>
      <w:r>
        <w:rPr>
          <w:rFonts w:hint="eastAsia" w:ascii="仿宋_GB2312" w:eastAsia="仿宋_GB2312" w:cs="仿宋_GB2312"/>
          <w:sz w:val="32"/>
          <w:szCs w:val="32"/>
          <w:shd w:val="clear" w:fill="FFFFFF"/>
        </w:rPr>
        <w:t>。</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jc w:val="left"/>
        <w:textAlignment w:val="auto"/>
      </w:pPr>
      <w:r>
        <w:rPr>
          <w:rFonts w:hint="eastAsia" w:ascii="楷体_GB2312" w:eastAsia="楷体_GB2312" w:cs="楷体_GB2312"/>
          <w:sz w:val="32"/>
          <w:szCs w:val="32"/>
        </w:rPr>
        <w:t>（五）其他事项及相关情况</w:t>
      </w:r>
    </w:p>
    <w:p>
      <w:pPr>
        <w:pStyle w:val="4"/>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jc w:val="left"/>
        <w:textAlignment w:val="auto"/>
      </w:pPr>
      <w:r>
        <w:rPr>
          <w:rFonts w:hint="eastAsia" w:ascii="楷体_GB2312" w:eastAsia="楷体_GB2312" w:cs="楷体_GB2312"/>
          <w:sz w:val="32"/>
          <w:szCs w:val="32"/>
        </w:rPr>
        <w:t>无。</w:t>
      </w:r>
    </w:p>
    <w:p>
      <w:pPr>
        <w:pStyle w:val="2"/>
        <w:keepNext w:val="0"/>
        <w:keepLines w:val="0"/>
        <w:widowControl/>
        <w:suppressLineNumbers w:val="0"/>
        <w:autoSpaceDE w:val="0"/>
        <w:autoSpaceDN/>
        <w:spacing w:before="0" w:beforeAutospacing="0" w:after="0" w:afterAutospacing="0" w:line="540" w:lineRule="atLeast"/>
      </w:pPr>
      <w:r>
        <w:rPr>
          <w:rFonts w:hint="eastAsia" w:ascii="楷体_GB2312" w:eastAsia="楷体_GB2312" w:cs="楷体_GB2312"/>
          <w:sz w:val="32"/>
          <w:szCs w:val="32"/>
        </w:rPr>
        <w:t> </w:t>
      </w:r>
    </w:p>
    <w:p>
      <w:pPr>
        <w:pStyle w:val="4"/>
        <w:keepNext w:val="0"/>
        <w:keepLines w:val="0"/>
        <w:widowControl/>
        <w:suppressLineNumbers w:val="0"/>
        <w:autoSpaceDE w:val="0"/>
        <w:autoSpaceDN/>
        <w:spacing w:line="540" w:lineRule="atLeast"/>
      </w:pPr>
      <w:r>
        <w:rPr>
          <w:rFonts w:hint="eastAsia" w:ascii="楷体_GB2312" w:eastAsia="楷体_GB2312" w:cs="楷体_GB2312"/>
          <w:sz w:val="32"/>
          <w:szCs w:val="32"/>
        </w:rPr>
        <w:t>               </w:t>
      </w:r>
    </w:p>
    <w:p/>
    <w:sectPr>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ZTZlZTA2ODdiNWMwZWQ3NzE1YzM4YzljOTg4ZTMifQ=="/>
  </w:docVars>
  <w:rsids>
    <w:rsidRoot w:val="00000000"/>
    <w:rsid w:val="10E84D49"/>
    <w:rsid w:val="22CA145A"/>
    <w:rsid w:val="230C3958"/>
    <w:rsid w:val="432116B4"/>
    <w:rsid w:val="54C82AD3"/>
    <w:rsid w:val="689F5E72"/>
    <w:rsid w:val="6B4A180C"/>
    <w:rsid w:val="76253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政策法规信息</c:v>
                </c:pt>
                <c:pt idx="1">
                  <c:v>政策解读信息</c:v>
                </c:pt>
                <c:pt idx="2">
                  <c:v>政府会议信息</c:v>
                </c:pt>
                <c:pt idx="3">
                  <c:v>重点民生信息</c:v>
                </c:pt>
                <c:pt idx="4">
                  <c:v>社会公益信息</c:v>
                </c:pt>
                <c:pt idx="5">
                  <c:v>重要部署执行公开信息</c:v>
                </c:pt>
                <c:pt idx="6">
                  <c:v>政府信息公开指南</c:v>
                </c:pt>
              </c:strCache>
            </c:strRef>
          </c:cat>
          <c:val>
            <c:numRef>
              <c:f>Sheet1!$B$2:$B$8</c:f>
              <c:numCache>
                <c:formatCode>General</c:formatCode>
                <c:ptCount val="7"/>
                <c:pt idx="0">
                  <c:v>6</c:v>
                </c:pt>
                <c:pt idx="1">
                  <c:v>5</c:v>
                </c:pt>
                <c:pt idx="2">
                  <c:v>2</c:v>
                </c:pt>
                <c:pt idx="3">
                  <c:v>21</c:v>
                </c:pt>
                <c:pt idx="4">
                  <c:v>16</c:v>
                </c:pt>
                <c:pt idx="5">
                  <c:v>1</c:v>
                </c:pt>
                <c:pt idx="6">
                  <c:v>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600">
                <a:solidFill>
                  <a:schemeClr val="tx1"/>
                </a:solidFill>
                <a:latin typeface="黑体" panose="02010609060101010101" charset="-122"/>
                <a:ea typeface="黑体" panose="02010609060101010101" charset="-122"/>
              </a:rPr>
              <a:t>近三年依申请公开办件数量（条）</a:t>
            </a:r>
            <a:endParaRPr sz="1600">
              <a:solidFill>
                <a:schemeClr val="tx1"/>
              </a:solidFill>
              <a:latin typeface="黑体" panose="02010609060101010101" charset="-122"/>
              <a:ea typeface="黑体" panose="02010609060101010101" charset="-122"/>
            </a:endParaRPr>
          </a:p>
        </c:rich>
      </c:tx>
      <c:layout>
        <c:manualLayout>
          <c:xMode val="edge"/>
          <c:yMode val="edge"/>
          <c:x val="0.193625"/>
          <c:y val="0.025"/>
        </c:manualLayout>
      </c:layout>
      <c:overlay val="0"/>
      <c:spPr>
        <a:noFill/>
        <a:ln>
          <a:noFill/>
        </a:ln>
        <a:effectLst/>
      </c:spPr>
    </c:title>
    <c:autoTitleDeleted val="0"/>
    <c:plotArea>
      <c:layout>
        <c:manualLayout>
          <c:layoutTarget val="inner"/>
          <c:xMode val="edge"/>
          <c:yMode val="edge"/>
          <c:x val="0.04645"/>
          <c:y val="0.122"/>
          <c:w val="0.927925"/>
          <c:h val="0.7169"/>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c:f>
              <c:strCache>
                <c:ptCount val="1"/>
                <c:pt idx="0">
                  <c:v>依申请公开数量</c:v>
                </c:pt>
              </c:strCache>
            </c:strRef>
          </c:cat>
          <c:val>
            <c:numRef>
              <c:f>Sheet1!$B$2</c:f>
              <c:numCache>
                <c:formatCode>General</c:formatCode>
                <c:ptCount val="1"/>
                <c:pt idx="0">
                  <c:v>1</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c:f>
              <c:strCache>
                <c:ptCount val="1"/>
                <c:pt idx="0">
                  <c:v>依申请公开数量</c:v>
                </c:pt>
              </c:strCache>
            </c:strRef>
          </c:cat>
          <c:val>
            <c:numRef>
              <c:f>Sheet1!$C$2</c:f>
              <c:numCache>
                <c:formatCode>General</c:formatCode>
                <c:ptCount val="1"/>
                <c:pt idx="0">
                  <c:v>7</c:v>
                </c:pt>
              </c:numCache>
            </c:numRef>
          </c:val>
        </c:ser>
        <c:ser>
          <c:idx val="2"/>
          <c:order val="2"/>
          <c:tx>
            <c:strRef>
              <c:f>Sheet1!$D$1</c:f>
              <c:strCache>
                <c:ptCount val="1"/>
                <c:pt idx="0">
                  <c:v>2023年</c:v>
                </c:pt>
              </c:strCache>
            </c:strRef>
          </c:tx>
          <c:spPr>
            <a:solidFill>
              <a:schemeClr val="accent6">
                <a:lumMod val="75000"/>
              </a:schemeClr>
            </a:solidFill>
            <a:ln>
              <a:noFill/>
            </a:ln>
            <a:effectLst/>
          </c:spPr>
          <c:invertIfNegative val="0"/>
          <c:dLbls>
            <c:delete val="1"/>
          </c:dLbls>
          <c:cat>
            <c:strRef>
              <c:f>Sheet1!$A$2</c:f>
              <c:strCache>
                <c:ptCount val="1"/>
                <c:pt idx="0">
                  <c:v>依申请公开数量</c:v>
                </c:pt>
              </c:strCache>
            </c:strRef>
          </c:cat>
          <c:val>
            <c:numRef>
              <c:f>Sheet1!$D$2</c:f>
              <c:numCache>
                <c:formatCode>General</c:formatCode>
                <c:ptCount val="1"/>
                <c:pt idx="0">
                  <c:v>5</c:v>
                </c:pt>
              </c:numCache>
            </c:numRef>
          </c:val>
        </c:ser>
        <c:dLbls>
          <c:showLegendKey val="0"/>
          <c:showVal val="0"/>
          <c:showCatName val="0"/>
          <c:showSerName val="0"/>
          <c:showPercent val="0"/>
          <c:showBubbleSize val="0"/>
        </c:dLbls>
        <c:gapWidth val="219"/>
        <c:overlap val="-27"/>
        <c:axId val="571968274"/>
        <c:axId val="355886095"/>
      </c:barChart>
      <c:catAx>
        <c:axId val="571968274"/>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5886095"/>
        <c:crosses val="autoZero"/>
        <c:auto val="1"/>
        <c:lblAlgn val="ctr"/>
        <c:lblOffset val="100"/>
        <c:noMultiLvlLbl val="0"/>
      </c:catAx>
      <c:valAx>
        <c:axId val="355886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968274"/>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3242</Words>
  <Characters>3349</Characters>
  <Lines>0</Lines>
  <Paragraphs>0</Paragraphs>
  <TotalTime>4</TotalTime>
  <ScaleCrop>false</ScaleCrop>
  <LinksUpToDate>false</LinksUpToDate>
  <CharactersWithSpaces>3370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2023-01-16T01:10:00Z</dcterms:created>
  <dc:creator>LENOVO</dc:creator>
  <cp:lastModifiedBy>潜移默化丿</cp:lastModifiedBy>
  <dcterms:modified xsi:type="dcterms:W3CDTF">2024-01-24T07:14:08Z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F2AB67AC440F405DA161785A9270DAFB</vt:lpwstr>
  </property>
</Properties>
</file>