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_GB2312" w:eastAsia="方正小标宋简体" w:cs="仿宋_GB2312"/>
          <w:sz w:val="44"/>
          <w:szCs w:val="44"/>
        </w:rPr>
      </w:pPr>
      <w:r>
        <w:rPr>
          <w:rFonts w:hint="eastAsia" w:ascii="方正小标宋简体" w:hAnsi="黑体" w:eastAsia="方正小标宋简体" w:cs="仿宋_GB2312"/>
          <w:sz w:val="44"/>
          <w:szCs w:val="44"/>
          <w:lang w:val="en-US" w:eastAsia="zh-CN"/>
        </w:rPr>
        <w:t>淄博市医疗保障局沂源分局</w:t>
      </w:r>
      <w:r>
        <w:rPr>
          <w:rFonts w:hint="eastAsia" w:ascii="方正小标宋简体" w:hAnsi="黑体" w:eastAsia="方正小标宋简体" w:cs="仿宋_GB2312"/>
          <w:sz w:val="44"/>
          <w:szCs w:val="44"/>
          <w:lang w:eastAsia="zh-CN"/>
        </w:rPr>
        <w:t>2021年度</w:t>
      </w:r>
      <w:r>
        <w:rPr>
          <w:rFonts w:hint="eastAsia" w:ascii="方正小标宋简体" w:hAnsi="黑体" w:eastAsia="方正小标宋简体" w:cs="仿宋_GB2312"/>
          <w:sz w:val="44"/>
          <w:szCs w:val="44"/>
        </w:rPr>
        <w:t>行政执法数据统计表</w:t>
      </w: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w:t>
      </w:r>
      <w:r>
        <w:rPr>
          <w:rFonts w:hint="eastAsia" w:ascii="方正小标宋简体" w:hAnsi="文星标宋" w:eastAsia="方正小标宋简体" w:cs="文星标宋"/>
          <w:sz w:val="32"/>
          <w:szCs w:val="32"/>
          <w:lang w:val="en-US" w:eastAsia="zh-CN"/>
        </w:rPr>
        <w:t>2021年度</w:t>
      </w:r>
      <w:r>
        <w:rPr>
          <w:rFonts w:hint="eastAsia" w:ascii="方正小标宋简体" w:hAnsi="文星标宋" w:eastAsia="方正小标宋简体" w:cs="文星标宋"/>
          <w:sz w:val="32"/>
          <w:szCs w:val="32"/>
        </w:rPr>
        <w:t>行政许可情况统计表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736" w:type="dxa"/>
            <w:vMerge w:val="restart"/>
            <w:noWrap w:val="0"/>
            <w:vAlign w:val="center"/>
          </w:tcPr>
          <w:p>
            <w:pPr>
              <w:spacing w:line="480" w:lineRule="exact"/>
              <w:jc w:val="center"/>
              <w:rPr>
                <w:rFonts w:hint="eastAsia" w:ascii="黑体" w:hAnsi="黑体" w:eastAsia="黑体" w:cs="黑体"/>
                <w:sz w:val="30"/>
                <w:szCs w:val="30"/>
              </w:rPr>
            </w:pPr>
            <w:r>
              <w:rPr>
                <w:rFonts w:hint="eastAsia" w:ascii="黑体" w:hAnsi="黑体" w:eastAsia="黑体" w:cs="黑体"/>
                <w:sz w:val="30"/>
                <w:szCs w:val="30"/>
              </w:rPr>
              <w:t>单位名称</w:t>
            </w:r>
          </w:p>
        </w:tc>
        <w:tc>
          <w:tcPr>
            <w:tcW w:w="6354" w:type="dxa"/>
            <w:gridSpan w:val="3"/>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736" w:type="dxa"/>
            <w:vMerge w:val="continue"/>
            <w:noWrap w:val="0"/>
            <w:vAlign w:val="center"/>
          </w:tcPr>
          <w:p>
            <w:pPr>
              <w:spacing w:line="480" w:lineRule="exact"/>
              <w:jc w:val="center"/>
              <w:rPr>
                <w:rFonts w:hint="eastAsia" w:ascii="黑体" w:hAnsi="黑体" w:eastAsia="黑体" w:cs="黑体"/>
                <w:sz w:val="30"/>
                <w:szCs w:val="30"/>
              </w:rPr>
            </w:pPr>
          </w:p>
        </w:tc>
        <w:tc>
          <w:tcPr>
            <w:tcW w:w="2184" w:type="dxa"/>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受理数量</w:t>
            </w:r>
          </w:p>
        </w:tc>
        <w:tc>
          <w:tcPr>
            <w:tcW w:w="2126" w:type="dxa"/>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许可数量</w:t>
            </w:r>
          </w:p>
        </w:tc>
        <w:tc>
          <w:tcPr>
            <w:tcW w:w="2044" w:type="dxa"/>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noWrap w:val="0"/>
            <w:vAlign w:val="center"/>
          </w:tcPr>
          <w:p>
            <w:pPr>
              <w:spacing w:line="32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3736"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淄博市医疗保障局沂源分局</w:t>
            </w:r>
          </w:p>
        </w:tc>
        <w:tc>
          <w:tcPr>
            <w:tcW w:w="2184" w:type="dxa"/>
            <w:noWrap w:val="0"/>
            <w:vAlign w:val="center"/>
          </w:tcPr>
          <w:p>
            <w:pPr>
              <w:spacing w:line="480" w:lineRule="exact"/>
              <w:jc w:val="center"/>
              <w:rPr>
                <w:rFonts w:hint="default"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0</w:t>
            </w:r>
          </w:p>
        </w:tc>
        <w:tc>
          <w:tcPr>
            <w:tcW w:w="2126" w:type="dxa"/>
            <w:noWrap w:val="0"/>
            <w:vAlign w:val="center"/>
          </w:tcPr>
          <w:p>
            <w:pPr>
              <w:spacing w:line="480" w:lineRule="exact"/>
              <w:jc w:val="center"/>
              <w:rPr>
                <w:rFonts w:hint="default"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0</w:t>
            </w:r>
          </w:p>
        </w:tc>
        <w:tc>
          <w:tcPr>
            <w:tcW w:w="2044" w:type="dxa"/>
            <w:noWrap w:val="0"/>
            <w:vAlign w:val="center"/>
          </w:tcPr>
          <w:p>
            <w:pPr>
              <w:spacing w:line="480" w:lineRule="exact"/>
              <w:jc w:val="center"/>
              <w:rPr>
                <w:rFonts w:hint="default"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0</w:t>
            </w:r>
          </w:p>
        </w:tc>
        <w:tc>
          <w:tcPr>
            <w:tcW w:w="3410" w:type="dxa"/>
            <w:noWrap w:val="0"/>
            <w:vAlign w:val="center"/>
          </w:tcPr>
          <w:p>
            <w:pPr>
              <w:spacing w:line="480" w:lineRule="exact"/>
              <w:jc w:val="center"/>
              <w:rPr>
                <w:rFonts w:hint="default"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0</w:t>
            </w:r>
          </w:p>
        </w:tc>
      </w:tr>
    </w:tbl>
    <w:p>
      <w:pPr>
        <w:spacing w:line="320" w:lineRule="exact"/>
        <w:ind w:firstLine="1470" w:firstLineChars="700"/>
        <w:rPr>
          <w:rFonts w:hint="default" w:ascii="黑体" w:hAnsi="黑体" w:eastAsia="黑体" w:cs="黑体"/>
          <w:lang w:val="en-US" w:eastAsia="zh-CN"/>
        </w:rPr>
      </w:pPr>
      <w:r>
        <w:rPr>
          <w:rFonts w:hint="eastAsia" w:ascii="黑体" w:hAnsi="黑体" w:eastAsia="黑体" w:cs="黑体"/>
          <w:lang w:eastAsia="zh-CN"/>
        </w:rPr>
        <w:t>报表人：</w:t>
      </w:r>
      <w:r>
        <w:rPr>
          <w:rFonts w:hint="eastAsia" w:ascii="黑体" w:hAnsi="黑体" w:eastAsia="黑体" w:cs="黑体"/>
          <w:lang w:val="en-US" w:eastAsia="zh-CN"/>
        </w:rPr>
        <w:t xml:space="preserve">                     联系电话：   </w:t>
      </w:r>
    </w:p>
    <w:p>
      <w:pPr>
        <w:spacing w:line="320" w:lineRule="exact"/>
        <w:rPr>
          <w:rFonts w:hint="eastAsia" w:ascii="黑体" w:hAnsi="黑体" w:eastAsia="黑体" w:cs="黑体"/>
        </w:rPr>
      </w:pPr>
    </w:p>
    <w:p>
      <w:pPr>
        <w:spacing w:line="320" w:lineRule="exact"/>
        <w:rPr>
          <w:rFonts w:hint="eastAsia"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1.统计范围为本年度1月1日至</w:t>
      </w:r>
      <w:r>
        <w:rPr>
          <w:rFonts w:hint="eastAsia" w:ascii="仿宋_GB2312" w:hAnsi="仿宋_GB2312" w:eastAsia="仿宋_GB2312" w:cs="仿宋_GB2312"/>
          <w:sz w:val="24"/>
          <w:lang w:val="en-US" w:eastAsia="zh-CN"/>
        </w:rPr>
        <w:t>12</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31</w:t>
      </w:r>
      <w:r>
        <w:rPr>
          <w:rFonts w:hint="eastAsia" w:ascii="仿宋_GB2312" w:hAnsi="仿宋_GB2312" w:eastAsia="仿宋_GB2312" w:cs="仿宋_GB2312"/>
          <w:sz w:val="24"/>
        </w:rPr>
        <w:t>日。</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hint="eastAsia"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w:t>
      </w:r>
      <w:r>
        <w:rPr>
          <w:rFonts w:hint="eastAsia" w:ascii="方正小标宋简体" w:hAnsi="文星标宋" w:eastAsia="方正小标宋简体" w:cs="文星标宋"/>
          <w:sz w:val="32"/>
          <w:szCs w:val="32"/>
          <w:lang w:val="en-US" w:eastAsia="zh-CN"/>
        </w:rPr>
        <w:t>2021年度</w:t>
      </w:r>
      <w:r>
        <w:rPr>
          <w:rFonts w:hint="eastAsia" w:ascii="方正小标宋简体" w:hAnsi="文星标宋" w:eastAsia="方正小标宋简体" w:cs="文星标宋"/>
          <w:sz w:val="32"/>
          <w:szCs w:val="32"/>
        </w:rPr>
        <w:t>行政处罚情况统计表</w:t>
      </w:r>
    </w:p>
    <w:tbl>
      <w:tblPr>
        <w:tblStyle w:val="2"/>
        <w:tblW w:w="16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620"/>
        <w:gridCol w:w="555"/>
        <w:gridCol w:w="645"/>
        <w:gridCol w:w="555"/>
        <w:gridCol w:w="540"/>
        <w:gridCol w:w="555"/>
        <w:gridCol w:w="540"/>
        <w:gridCol w:w="540"/>
        <w:gridCol w:w="645"/>
        <w:gridCol w:w="645"/>
        <w:gridCol w:w="660"/>
        <w:gridCol w:w="585"/>
        <w:gridCol w:w="405"/>
        <w:gridCol w:w="570"/>
        <w:gridCol w:w="390"/>
        <w:gridCol w:w="420"/>
        <w:gridCol w:w="347"/>
        <w:gridCol w:w="931"/>
        <w:gridCol w:w="780"/>
        <w:gridCol w:w="673"/>
        <w:gridCol w:w="768"/>
        <w:gridCol w:w="708"/>
        <w:gridCol w:w="709"/>
        <w:gridCol w:w="80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33" w:type="dxa"/>
            <w:vMerge w:val="restart"/>
            <w:noWrap w:val="0"/>
            <w:vAlign w:val="center"/>
          </w:tcPr>
          <w:p>
            <w:pPr>
              <w:spacing w:line="480" w:lineRule="exact"/>
              <w:jc w:val="center"/>
            </w:pPr>
            <w:r>
              <w:rPr>
                <w:rFonts w:hint="eastAsia" w:ascii="黑体" w:hAnsi="黑体" w:eastAsia="黑体" w:cs="黑体"/>
                <w:sz w:val="28"/>
                <w:szCs w:val="28"/>
              </w:rPr>
              <w:t>单位名称</w:t>
            </w:r>
          </w:p>
        </w:tc>
        <w:tc>
          <w:tcPr>
            <w:tcW w:w="9217" w:type="dxa"/>
            <w:gridSpan w:val="17"/>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行政处罚实施数量</w:t>
            </w:r>
          </w:p>
        </w:tc>
        <w:tc>
          <w:tcPr>
            <w:tcW w:w="2384" w:type="dxa"/>
            <w:gridSpan w:val="3"/>
            <w:noWrap w:val="0"/>
            <w:vAlign w:val="center"/>
          </w:tcPr>
          <w:p>
            <w:pPr>
              <w:spacing w:line="320" w:lineRule="exact"/>
              <w:jc w:val="center"/>
              <w:rPr>
                <w:rFonts w:hint="eastAsia" w:ascii="黑体" w:hAnsi="黑体" w:eastAsia="黑体" w:cs="黑体"/>
                <w:sz w:val="28"/>
                <w:szCs w:val="28"/>
              </w:rPr>
            </w:pPr>
          </w:p>
        </w:tc>
        <w:tc>
          <w:tcPr>
            <w:tcW w:w="2985" w:type="dxa"/>
            <w:gridSpan w:val="4"/>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被行政复议应诉数量</w:t>
            </w:r>
          </w:p>
        </w:tc>
        <w:tc>
          <w:tcPr>
            <w:tcW w:w="760" w:type="dxa"/>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833" w:type="dxa"/>
            <w:vMerge w:val="continue"/>
            <w:noWrap w:val="0"/>
            <w:vAlign w:val="top"/>
          </w:tcPr>
          <w:p>
            <w:pPr>
              <w:spacing w:line="480" w:lineRule="exact"/>
              <w:jc w:val="center"/>
            </w:pPr>
          </w:p>
        </w:tc>
        <w:tc>
          <w:tcPr>
            <w:tcW w:w="620"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立案数量</w:t>
            </w:r>
          </w:p>
        </w:tc>
        <w:tc>
          <w:tcPr>
            <w:tcW w:w="555"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结案数量</w:t>
            </w:r>
          </w:p>
        </w:tc>
        <w:tc>
          <w:tcPr>
            <w:tcW w:w="645"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警告</w:t>
            </w:r>
          </w:p>
        </w:tc>
        <w:tc>
          <w:tcPr>
            <w:tcW w:w="555"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罚款</w:t>
            </w:r>
          </w:p>
        </w:tc>
        <w:tc>
          <w:tcPr>
            <w:tcW w:w="540"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通报批评</w:t>
            </w:r>
          </w:p>
        </w:tc>
        <w:tc>
          <w:tcPr>
            <w:tcW w:w="555" w:type="dxa"/>
            <w:noWrap w:val="0"/>
            <w:vAlign w:val="center"/>
          </w:tcPr>
          <w:p>
            <w:pPr>
              <w:spacing w:line="200" w:lineRule="exact"/>
              <w:jc w:val="center"/>
              <w:rPr>
                <w:rFonts w:hint="eastAsia" w:ascii="黑体" w:hAnsi="黑体" w:eastAsia="黑体" w:cs="黑体"/>
              </w:rPr>
            </w:pPr>
            <w:r>
              <w:rPr>
                <w:rFonts w:hint="eastAsia" w:ascii="黑体" w:hAnsi="黑体" w:eastAsia="黑体" w:cs="黑体"/>
                <w:spacing w:val="-11"/>
              </w:rPr>
              <w:t>没收违法所得</w:t>
            </w:r>
          </w:p>
        </w:tc>
        <w:tc>
          <w:tcPr>
            <w:tcW w:w="540" w:type="dxa"/>
            <w:noWrap w:val="0"/>
            <w:vAlign w:val="center"/>
          </w:tcPr>
          <w:p>
            <w:pPr>
              <w:spacing w:line="200" w:lineRule="exact"/>
              <w:jc w:val="center"/>
              <w:rPr>
                <w:rFonts w:hint="eastAsia" w:ascii="黑体" w:hAnsi="黑体" w:eastAsia="黑体" w:cs="黑体"/>
                <w:spacing w:val="-11"/>
              </w:rPr>
            </w:pPr>
            <w:r>
              <w:rPr>
                <w:rFonts w:hint="eastAsia" w:ascii="黑体" w:hAnsi="黑体" w:eastAsia="黑体" w:cs="黑体"/>
                <w:spacing w:val="-11"/>
              </w:rPr>
              <w:t>没收非法财物</w:t>
            </w:r>
          </w:p>
        </w:tc>
        <w:tc>
          <w:tcPr>
            <w:tcW w:w="540"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rPr>
              <w:t>暂扣许可证</w:t>
            </w:r>
            <w:r>
              <w:rPr>
                <w:rFonts w:hint="eastAsia" w:ascii="黑体" w:hAnsi="黑体" w:eastAsia="黑体" w:cs="黑体"/>
                <w:lang w:eastAsia="zh-CN"/>
              </w:rPr>
              <w:t>件</w:t>
            </w:r>
          </w:p>
        </w:tc>
        <w:tc>
          <w:tcPr>
            <w:tcW w:w="645"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降低资质等级</w:t>
            </w:r>
          </w:p>
        </w:tc>
        <w:tc>
          <w:tcPr>
            <w:tcW w:w="645"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rPr>
              <w:t>吊销许可证</w:t>
            </w:r>
            <w:r>
              <w:rPr>
                <w:rFonts w:hint="eastAsia" w:ascii="黑体" w:hAnsi="黑体" w:eastAsia="黑体" w:cs="黑体"/>
                <w:lang w:eastAsia="zh-CN"/>
              </w:rPr>
              <w:t>件</w:t>
            </w:r>
          </w:p>
        </w:tc>
        <w:tc>
          <w:tcPr>
            <w:tcW w:w="660"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限制开展生产经营活动</w:t>
            </w:r>
          </w:p>
        </w:tc>
        <w:tc>
          <w:tcPr>
            <w:tcW w:w="585"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行政</w:t>
            </w:r>
          </w:p>
          <w:p>
            <w:pPr>
              <w:spacing w:line="240" w:lineRule="exact"/>
              <w:jc w:val="center"/>
              <w:rPr>
                <w:rFonts w:hint="eastAsia" w:ascii="黑体" w:hAnsi="黑体" w:eastAsia="黑体" w:cs="黑体"/>
              </w:rPr>
            </w:pPr>
            <w:r>
              <w:rPr>
                <w:rFonts w:hint="eastAsia" w:ascii="黑体" w:hAnsi="黑体" w:eastAsia="黑体" w:cs="黑体"/>
              </w:rPr>
              <w:t>拘留</w:t>
            </w:r>
          </w:p>
        </w:tc>
        <w:tc>
          <w:tcPr>
            <w:tcW w:w="405"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责令停产停业</w:t>
            </w:r>
          </w:p>
        </w:tc>
        <w:tc>
          <w:tcPr>
            <w:tcW w:w="570"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责令</w:t>
            </w:r>
          </w:p>
          <w:p>
            <w:pPr>
              <w:spacing w:line="240" w:lineRule="exact"/>
              <w:jc w:val="center"/>
              <w:rPr>
                <w:rFonts w:hint="eastAsia" w:ascii="黑体" w:hAnsi="黑体" w:eastAsia="黑体" w:cs="黑体"/>
              </w:rPr>
            </w:pPr>
            <w:r>
              <w:rPr>
                <w:rFonts w:hint="eastAsia" w:ascii="黑体" w:hAnsi="黑体" w:eastAsia="黑体" w:cs="黑体"/>
              </w:rPr>
              <w:t>关闭</w:t>
            </w:r>
          </w:p>
        </w:tc>
        <w:tc>
          <w:tcPr>
            <w:tcW w:w="390"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限制</w:t>
            </w:r>
          </w:p>
          <w:p>
            <w:pPr>
              <w:spacing w:line="240" w:lineRule="exact"/>
              <w:jc w:val="center"/>
              <w:rPr>
                <w:rFonts w:hint="eastAsia" w:ascii="黑体" w:hAnsi="黑体" w:eastAsia="黑体" w:cs="黑体"/>
              </w:rPr>
            </w:pPr>
            <w:r>
              <w:rPr>
                <w:rFonts w:hint="eastAsia" w:ascii="黑体" w:hAnsi="黑体" w:eastAsia="黑体" w:cs="黑体"/>
              </w:rPr>
              <w:t>从业</w:t>
            </w:r>
          </w:p>
        </w:tc>
        <w:tc>
          <w:tcPr>
            <w:tcW w:w="420"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行政拘留</w:t>
            </w:r>
          </w:p>
        </w:tc>
        <w:tc>
          <w:tcPr>
            <w:tcW w:w="347"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其他行政处罚</w:t>
            </w:r>
          </w:p>
        </w:tc>
        <w:tc>
          <w:tcPr>
            <w:tcW w:w="931"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罚没金额</w:t>
            </w:r>
          </w:p>
          <w:p>
            <w:pPr>
              <w:spacing w:line="240" w:lineRule="exact"/>
              <w:jc w:val="center"/>
              <w:rPr>
                <w:rFonts w:hint="eastAsia" w:ascii="黑体" w:hAnsi="黑体" w:eastAsia="黑体" w:cs="黑体"/>
              </w:rPr>
            </w:pPr>
            <w:r>
              <w:rPr>
                <w:rFonts w:hint="eastAsia" w:ascii="黑体" w:hAnsi="黑体" w:eastAsia="黑体" w:cs="黑体"/>
              </w:rPr>
              <w:t>（万元）</w:t>
            </w:r>
          </w:p>
        </w:tc>
        <w:tc>
          <w:tcPr>
            <w:tcW w:w="780"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不予处罚案件数及不罚金额</w:t>
            </w:r>
          </w:p>
        </w:tc>
        <w:tc>
          <w:tcPr>
            <w:tcW w:w="673"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减轻处罚的案件数及减轻金额</w:t>
            </w:r>
          </w:p>
        </w:tc>
        <w:tc>
          <w:tcPr>
            <w:tcW w:w="768"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被行政复议数量</w:t>
            </w:r>
          </w:p>
        </w:tc>
        <w:tc>
          <w:tcPr>
            <w:tcW w:w="708"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被行政复议纠错数量</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被行政诉讼数量</w:t>
            </w:r>
          </w:p>
        </w:tc>
        <w:tc>
          <w:tcPr>
            <w:tcW w:w="800"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行政诉讼败诉数量</w:t>
            </w:r>
          </w:p>
        </w:tc>
        <w:tc>
          <w:tcPr>
            <w:tcW w:w="760" w:type="dxa"/>
            <w:noWrap w:val="0"/>
            <w:vAlign w:val="center"/>
          </w:tcPr>
          <w:p>
            <w:pPr>
              <w:spacing w:line="240" w:lineRule="exact"/>
              <w:jc w:val="cente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33" w:type="dxa"/>
            <w:noWrap w:val="0"/>
            <w:vAlign w:val="center"/>
          </w:tcPr>
          <w:p>
            <w:pPr>
              <w:spacing w:line="320" w:lineRule="exact"/>
              <w:jc w:val="center"/>
              <w:rPr>
                <w:rFonts w:hint="eastAsia" w:eastAsia="宋体"/>
                <w:lang w:val="en-US" w:eastAsia="zh-CN"/>
              </w:rPr>
            </w:pPr>
            <w:r>
              <w:rPr>
                <w:rFonts w:hint="eastAsia" w:ascii="仿宋_GB2312" w:hAnsi="仿宋_GB2312" w:eastAsia="仿宋_GB2312" w:cs="仿宋_GB2312"/>
                <w:sz w:val="28"/>
                <w:szCs w:val="28"/>
                <w:lang w:val="en-US" w:eastAsia="zh-CN"/>
              </w:rPr>
              <w:t>淄博市医疗保障局沂源分局</w:t>
            </w:r>
          </w:p>
        </w:tc>
        <w:tc>
          <w:tcPr>
            <w:tcW w:w="620" w:type="dxa"/>
            <w:noWrap w:val="0"/>
            <w:vAlign w:val="center"/>
          </w:tcPr>
          <w:p>
            <w:pPr>
              <w:spacing w:line="48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55" w:type="dxa"/>
            <w:noWrap w:val="0"/>
            <w:vAlign w:val="center"/>
          </w:tcPr>
          <w:p>
            <w:pPr>
              <w:spacing w:line="48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5" w:type="dxa"/>
            <w:noWrap w:val="0"/>
            <w:vAlign w:val="center"/>
          </w:tcPr>
          <w:p>
            <w:pPr>
              <w:spacing w:line="300" w:lineRule="exact"/>
              <w:jc w:val="center"/>
              <w:rPr>
                <w:rFonts w:hint="default" w:ascii="文星标宋" w:hAnsi="文星标宋" w:eastAsia="文星标宋" w:cs="文星标宋"/>
                <w:sz w:val="24"/>
                <w:szCs w:val="24"/>
                <w:lang w:val="en-US" w:eastAsia="zh-CN"/>
              </w:rPr>
            </w:pPr>
            <w:r>
              <w:rPr>
                <w:rFonts w:hint="eastAsia" w:ascii="文星标宋" w:hAnsi="文星标宋" w:eastAsia="文星标宋" w:cs="文星标宋"/>
                <w:sz w:val="24"/>
                <w:szCs w:val="24"/>
                <w:lang w:val="en-US" w:eastAsia="zh-CN"/>
              </w:rPr>
              <w:t>0</w:t>
            </w:r>
          </w:p>
        </w:tc>
        <w:tc>
          <w:tcPr>
            <w:tcW w:w="555" w:type="dxa"/>
            <w:noWrap w:val="0"/>
            <w:vAlign w:val="center"/>
          </w:tcPr>
          <w:p>
            <w:pPr>
              <w:spacing w:line="300" w:lineRule="exact"/>
              <w:jc w:val="center"/>
              <w:rPr>
                <w:rFonts w:hint="default"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540" w:type="dxa"/>
            <w:noWrap w:val="0"/>
            <w:vAlign w:val="center"/>
          </w:tcPr>
          <w:p>
            <w:pPr>
              <w:spacing w:line="300" w:lineRule="exact"/>
              <w:jc w:val="center"/>
              <w:rPr>
                <w:rFonts w:hint="default"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555" w:type="dxa"/>
            <w:noWrap w:val="0"/>
            <w:vAlign w:val="center"/>
          </w:tcPr>
          <w:p>
            <w:pPr>
              <w:spacing w:line="300" w:lineRule="exact"/>
              <w:jc w:val="center"/>
              <w:rPr>
                <w:rFonts w:hint="default"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540" w:type="dxa"/>
            <w:noWrap w:val="0"/>
            <w:vAlign w:val="center"/>
          </w:tcPr>
          <w:p>
            <w:pPr>
              <w:spacing w:line="300" w:lineRule="exact"/>
              <w:jc w:val="center"/>
              <w:rPr>
                <w:rFonts w:hint="default"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540" w:type="dxa"/>
            <w:noWrap w:val="0"/>
            <w:vAlign w:val="center"/>
          </w:tcPr>
          <w:p>
            <w:pPr>
              <w:spacing w:line="300" w:lineRule="exact"/>
              <w:jc w:val="center"/>
              <w:rPr>
                <w:rFonts w:hint="default"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645" w:type="dxa"/>
            <w:noWrap w:val="0"/>
            <w:vAlign w:val="center"/>
          </w:tcPr>
          <w:p>
            <w:pPr>
              <w:spacing w:line="300" w:lineRule="exact"/>
              <w:jc w:val="center"/>
              <w:rPr>
                <w:rFonts w:hint="default"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645" w:type="dxa"/>
            <w:noWrap w:val="0"/>
            <w:vAlign w:val="center"/>
          </w:tcPr>
          <w:p>
            <w:pPr>
              <w:spacing w:line="300" w:lineRule="exact"/>
              <w:jc w:val="center"/>
              <w:rPr>
                <w:rFonts w:hint="default"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660" w:type="dxa"/>
            <w:noWrap w:val="0"/>
            <w:vAlign w:val="center"/>
          </w:tcPr>
          <w:p>
            <w:pPr>
              <w:spacing w:line="300" w:lineRule="exact"/>
              <w:jc w:val="center"/>
              <w:rPr>
                <w:rFonts w:hint="default"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585" w:type="dxa"/>
            <w:noWrap w:val="0"/>
            <w:vAlign w:val="center"/>
          </w:tcPr>
          <w:p>
            <w:pPr>
              <w:spacing w:line="300" w:lineRule="exact"/>
              <w:jc w:val="center"/>
              <w:rPr>
                <w:rFonts w:hint="default"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405" w:type="dxa"/>
            <w:noWrap w:val="0"/>
            <w:vAlign w:val="center"/>
          </w:tcPr>
          <w:p>
            <w:pPr>
              <w:spacing w:line="300" w:lineRule="exact"/>
              <w:jc w:val="center"/>
              <w:rPr>
                <w:rFonts w:hint="default"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570" w:type="dxa"/>
            <w:noWrap w:val="0"/>
            <w:vAlign w:val="center"/>
          </w:tcPr>
          <w:p>
            <w:pPr>
              <w:spacing w:line="300" w:lineRule="exact"/>
              <w:jc w:val="center"/>
              <w:rPr>
                <w:rFonts w:hint="default"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390" w:type="dxa"/>
            <w:noWrap w:val="0"/>
            <w:vAlign w:val="center"/>
          </w:tcPr>
          <w:p>
            <w:pPr>
              <w:spacing w:line="300" w:lineRule="exact"/>
              <w:jc w:val="center"/>
              <w:rPr>
                <w:rFonts w:hint="default"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420" w:type="dxa"/>
            <w:noWrap w:val="0"/>
            <w:vAlign w:val="center"/>
          </w:tcPr>
          <w:p>
            <w:pPr>
              <w:spacing w:line="300" w:lineRule="exact"/>
              <w:jc w:val="center"/>
              <w:rPr>
                <w:rFonts w:hint="default"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347" w:type="dxa"/>
            <w:noWrap w:val="0"/>
            <w:vAlign w:val="center"/>
          </w:tcPr>
          <w:p>
            <w:pPr>
              <w:spacing w:line="300" w:lineRule="exact"/>
              <w:jc w:val="center"/>
              <w:rPr>
                <w:rFonts w:hint="default"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931" w:type="dxa"/>
            <w:noWrap w:val="0"/>
            <w:vAlign w:val="center"/>
          </w:tcPr>
          <w:p>
            <w:pPr>
              <w:spacing w:line="300" w:lineRule="exact"/>
              <w:jc w:val="center"/>
              <w:rPr>
                <w:rFonts w:hint="default"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780" w:type="dxa"/>
            <w:noWrap w:val="0"/>
            <w:vAlign w:val="center"/>
          </w:tcPr>
          <w:p>
            <w:pPr>
              <w:spacing w:line="300" w:lineRule="exact"/>
              <w:jc w:val="center"/>
              <w:rPr>
                <w:rFonts w:hint="eastAsia"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673" w:type="dxa"/>
            <w:noWrap w:val="0"/>
            <w:vAlign w:val="center"/>
          </w:tcPr>
          <w:p>
            <w:pPr>
              <w:spacing w:line="300" w:lineRule="exact"/>
              <w:jc w:val="center"/>
              <w:rPr>
                <w:rFonts w:hint="eastAsia"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768" w:type="dxa"/>
            <w:noWrap w:val="0"/>
            <w:vAlign w:val="center"/>
          </w:tcPr>
          <w:p>
            <w:pPr>
              <w:spacing w:line="300" w:lineRule="exact"/>
              <w:jc w:val="center"/>
              <w:rPr>
                <w:rFonts w:hint="eastAsia"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708" w:type="dxa"/>
            <w:noWrap w:val="0"/>
            <w:vAlign w:val="center"/>
          </w:tcPr>
          <w:p>
            <w:pPr>
              <w:spacing w:line="300" w:lineRule="exact"/>
              <w:jc w:val="center"/>
              <w:rPr>
                <w:rFonts w:hint="eastAsia"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709" w:type="dxa"/>
            <w:noWrap w:val="0"/>
            <w:vAlign w:val="center"/>
          </w:tcPr>
          <w:p>
            <w:pPr>
              <w:spacing w:line="300" w:lineRule="exact"/>
              <w:jc w:val="center"/>
              <w:rPr>
                <w:rFonts w:hint="eastAsia"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800" w:type="dxa"/>
            <w:noWrap w:val="0"/>
            <w:vAlign w:val="center"/>
          </w:tcPr>
          <w:p>
            <w:pPr>
              <w:spacing w:line="300" w:lineRule="exact"/>
              <w:jc w:val="center"/>
              <w:rPr>
                <w:rFonts w:hint="eastAsia"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c>
          <w:tcPr>
            <w:tcW w:w="760" w:type="dxa"/>
            <w:noWrap w:val="0"/>
            <w:vAlign w:val="center"/>
          </w:tcPr>
          <w:p>
            <w:pPr>
              <w:spacing w:line="300" w:lineRule="exact"/>
              <w:jc w:val="center"/>
              <w:rPr>
                <w:rFonts w:hint="default" w:ascii="文星标宋" w:hAnsi="文星标宋" w:eastAsia="文星标宋" w:cs="文星标宋"/>
                <w:sz w:val="22"/>
                <w:szCs w:val="22"/>
                <w:lang w:val="en-US" w:eastAsia="zh-CN"/>
              </w:rPr>
            </w:pPr>
            <w:r>
              <w:rPr>
                <w:rFonts w:hint="eastAsia" w:ascii="文星标宋" w:hAnsi="文星标宋" w:eastAsia="文星标宋" w:cs="文星标宋"/>
                <w:sz w:val="22"/>
                <w:szCs w:val="22"/>
                <w:lang w:val="en-US" w:eastAsia="zh-CN"/>
              </w:rPr>
              <w:t>0</w:t>
            </w:r>
          </w:p>
        </w:tc>
      </w:tr>
    </w:tbl>
    <w:p>
      <w:pPr>
        <w:spacing w:line="260" w:lineRule="exact"/>
        <w:ind w:left="1050" w:hanging="1050" w:hangingChars="500"/>
        <w:jc w:val="left"/>
        <w:rPr>
          <w:rFonts w:hint="eastAsia" w:ascii="黑体" w:hAnsi="黑体" w:eastAsia="黑体" w:cs="黑体"/>
        </w:rPr>
      </w:pPr>
    </w:p>
    <w:p>
      <w:pPr>
        <w:spacing w:line="260" w:lineRule="exact"/>
        <w:ind w:left="1050" w:hanging="1050" w:hangingChars="500"/>
        <w:jc w:val="left"/>
        <w:rPr>
          <w:rFonts w:hint="eastAsia"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w:t>
      </w:r>
      <w:r>
        <w:rPr>
          <w:rFonts w:hint="eastAsia" w:ascii="仿宋_GB2312" w:hAnsi="仿宋_GB2312" w:eastAsia="仿宋_GB2312" w:cs="仿宋_GB2312"/>
          <w:sz w:val="24"/>
        </w:rPr>
        <w:t>1月1日至</w:t>
      </w:r>
      <w:r>
        <w:rPr>
          <w:rFonts w:hint="eastAsia" w:ascii="仿宋_GB2312" w:hAnsi="仿宋_GB2312" w:eastAsia="仿宋_GB2312" w:cs="仿宋_GB2312"/>
          <w:sz w:val="24"/>
          <w:lang w:val="en-US" w:eastAsia="zh-CN"/>
        </w:rPr>
        <w:t>12</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31</w:t>
      </w:r>
      <w:r>
        <w:rPr>
          <w:rFonts w:hint="eastAsia" w:ascii="仿宋_GB2312" w:hAnsi="仿宋_GB2312" w:eastAsia="仿宋_GB2312" w:cs="仿宋_GB2312"/>
          <w:sz w:val="24"/>
        </w:rPr>
        <w:t>日</w:t>
      </w:r>
      <w:r>
        <w:rPr>
          <w:rFonts w:hint="eastAsia" w:ascii="仿宋_GB2312" w:hAnsi="仿宋_GB2312" w:eastAsia="仿宋_GB2312" w:cs="仿宋_GB2312"/>
        </w:rPr>
        <w:t>。</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通报批评，（3）罚款，（4）没收违法所得，（5）没收非法财物，（6）暂扣许可证件，（7）降低资质等级，（8）吊销许可证件，（9）限制开展生产经营活动，（10）责令停产停业，（11）责令关闭，（12）限制从业，（13）行政拘留。</w:t>
      </w:r>
      <w:r>
        <w:rPr>
          <w:rFonts w:hint="eastAsia" w:ascii="仿宋_GB2312" w:hAnsi="仿宋_GB2312" w:eastAsia="仿宋_GB2312" w:cs="仿宋_GB2312"/>
          <w:lang w:val="en-US" w:eastAsia="zh-CN"/>
        </w:rPr>
        <w:t xml:space="preserve">   </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.没收违法所得、没收非法财物能确定金额的，计入“罚没金额”；不能确定金额的，不计入“罚没金额”。</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.“罚没金额”以处罚决定书确定的金额为准。</w:t>
      </w: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w:t>
      </w:r>
      <w:r>
        <w:rPr>
          <w:rFonts w:hint="eastAsia" w:ascii="方正小标宋简体" w:hAnsi="文星标宋" w:eastAsia="方正小标宋简体" w:cs="文星标宋"/>
          <w:sz w:val="32"/>
          <w:szCs w:val="32"/>
          <w:lang w:val="en-US" w:eastAsia="zh-CN"/>
        </w:rPr>
        <w:t>2021年度</w:t>
      </w:r>
      <w:r>
        <w:rPr>
          <w:rFonts w:hint="eastAsia" w:ascii="方正小标宋简体" w:hAnsi="文星标宋" w:eastAsia="方正小标宋简体" w:cs="文星标宋"/>
          <w:sz w:val="32"/>
          <w:szCs w:val="32"/>
        </w:rPr>
        <w:t>行政强制情况统计表</w:t>
      </w:r>
    </w:p>
    <w:p>
      <w:pPr>
        <w:spacing w:line="480" w:lineRule="exact"/>
        <w:jc w:val="center"/>
        <w:rPr>
          <w:rFonts w:hint="eastAsia" w:ascii="文星标宋" w:hAnsi="文星标宋" w:eastAsia="文星标宋" w:cs="文星标宋"/>
          <w:sz w:val="44"/>
          <w:szCs w:val="44"/>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单位名称</w:t>
            </w:r>
          </w:p>
        </w:tc>
        <w:tc>
          <w:tcPr>
            <w:tcW w:w="3854" w:type="dxa"/>
            <w:gridSpan w:val="5"/>
            <w:vMerge w:val="restart"/>
            <w:noWrap w:val="0"/>
            <w:vAlign w:val="center"/>
          </w:tcPr>
          <w:p>
            <w:pPr>
              <w:spacing w:line="320" w:lineRule="exact"/>
              <w:jc w:val="center"/>
            </w:pPr>
            <w:r>
              <w:rPr>
                <w:rFonts w:hint="eastAsia" w:ascii="黑体" w:hAnsi="黑体" w:eastAsia="黑体" w:cs="黑体"/>
                <w:sz w:val="28"/>
                <w:szCs w:val="28"/>
              </w:rPr>
              <w:t>行政强制措施实施数量</w:t>
            </w:r>
          </w:p>
        </w:tc>
        <w:tc>
          <w:tcPr>
            <w:tcW w:w="6969" w:type="dxa"/>
            <w:gridSpan w:val="8"/>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行政强制执行实施数量</w:t>
            </w:r>
          </w:p>
        </w:tc>
        <w:tc>
          <w:tcPr>
            <w:tcW w:w="776" w:type="dxa"/>
            <w:vMerge w:val="restart"/>
            <w:noWrap w:val="0"/>
            <w:vAlign w:val="center"/>
          </w:tcPr>
          <w:p>
            <w:pPr>
              <w:spacing w:line="320" w:lineRule="exact"/>
              <w:jc w:val="center"/>
              <w:rPr>
                <w:rFonts w:hint="eastAsia" w:ascii="黑体" w:hAnsi="黑体" w:eastAsia="黑体" w:cs="黑体"/>
                <w:sz w:val="28"/>
                <w:szCs w:val="28"/>
                <w:lang w:eastAsia="zh-CN"/>
              </w:rPr>
            </w:pPr>
            <w:r>
              <w:rPr>
                <w:rFonts w:hint="eastAsia" w:ascii="黑体" w:hAnsi="黑体" w:eastAsia="黑体" w:cs="黑体"/>
                <w:sz w:val="28"/>
                <w:szCs w:val="28"/>
              </w:rPr>
              <w:t>合计</w:t>
            </w:r>
            <w:r>
              <w:rPr>
                <w:rFonts w:hint="eastAsia" w:ascii="黑体" w:hAnsi="黑体" w:eastAsia="黑体" w:cs="黑体"/>
                <w:sz w:val="28"/>
                <w:szCs w:val="28"/>
                <w:lang w:eastAsia="zh-CN"/>
              </w:rPr>
              <w:t>（件</w:t>
            </w:r>
            <w:r>
              <w:rPr>
                <w:rFonts w:hint="eastAsia" w:ascii="黑体" w:hAnsi="黑体" w:eastAsia="黑体" w:cs="黑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noWrap w:val="0"/>
            <w:vAlign w:val="center"/>
          </w:tcPr>
          <w:p>
            <w:pPr>
              <w:spacing w:line="300" w:lineRule="exact"/>
              <w:jc w:val="center"/>
              <w:rPr>
                <w:rFonts w:hint="eastAsia" w:ascii="黑体" w:hAnsi="黑体" w:eastAsia="黑体" w:cs="黑体"/>
                <w:sz w:val="28"/>
                <w:szCs w:val="28"/>
              </w:rPr>
            </w:pPr>
          </w:p>
        </w:tc>
        <w:tc>
          <w:tcPr>
            <w:tcW w:w="3854" w:type="dxa"/>
            <w:gridSpan w:val="5"/>
            <w:vMerge w:val="continue"/>
            <w:noWrap w:val="0"/>
            <w:vAlign w:val="center"/>
          </w:tcPr>
          <w:p>
            <w:pPr>
              <w:spacing w:line="320" w:lineRule="exact"/>
              <w:jc w:val="center"/>
              <w:rPr>
                <w:rFonts w:hint="eastAsia" w:ascii="黑体" w:hAnsi="黑体" w:eastAsia="黑体" w:cs="黑体"/>
                <w:sz w:val="28"/>
                <w:szCs w:val="28"/>
              </w:rPr>
            </w:pPr>
          </w:p>
        </w:tc>
        <w:tc>
          <w:tcPr>
            <w:tcW w:w="5518" w:type="dxa"/>
            <w:gridSpan w:val="7"/>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行政机关强制执行实施数量</w:t>
            </w:r>
          </w:p>
        </w:tc>
        <w:tc>
          <w:tcPr>
            <w:tcW w:w="1451" w:type="dxa"/>
            <w:vMerge w:val="restart"/>
            <w:noWrap w:val="0"/>
            <w:vAlign w:val="center"/>
          </w:tcPr>
          <w:p>
            <w:pPr>
              <w:spacing w:line="320" w:lineRule="exact"/>
              <w:jc w:val="center"/>
              <w:rPr>
                <w:rFonts w:hint="eastAsia" w:ascii="黑体" w:hAnsi="黑体" w:eastAsia="黑体" w:cs="黑体"/>
                <w:sz w:val="28"/>
                <w:szCs w:val="28"/>
                <w:lang w:eastAsia="zh-CN"/>
              </w:rPr>
            </w:pPr>
            <w:r>
              <w:rPr>
                <w:rFonts w:hint="eastAsia" w:ascii="黑体" w:hAnsi="黑体" w:eastAsia="黑体" w:cs="黑体"/>
                <w:sz w:val="24"/>
              </w:rPr>
              <w:t>申请法院强制执行数量</w:t>
            </w:r>
            <w:r>
              <w:rPr>
                <w:rFonts w:hint="eastAsia" w:ascii="黑体" w:hAnsi="黑体" w:eastAsia="黑体" w:cs="黑体"/>
                <w:sz w:val="24"/>
                <w:lang w:eastAsia="zh-CN"/>
              </w:rPr>
              <w:t>（件）</w:t>
            </w:r>
          </w:p>
        </w:tc>
        <w:tc>
          <w:tcPr>
            <w:tcW w:w="776" w:type="dxa"/>
            <w:vMerge w:val="continue"/>
            <w:noWrap w:val="0"/>
            <w:vAlign w:val="center"/>
          </w:tcPr>
          <w:p>
            <w:pPr>
              <w:spacing w:line="32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noWrap w:val="0"/>
            <w:vAlign w:val="top"/>
          </w:tcPr>
          <w:p>
            <w:pPr>
              <w:spacing w:line="480" w:lineRule="exact"/>
              <w:jc w:val="center"/>
            </w:pPr>
          </w:p>
        </w:tc>
        <w:tc>
          <w:tcPr>
            <w:tcW w:w="771" w:type="dxa"/>
            <w:noWrap w:val="0"/>
            <w:vAlign w:val="center"/>
          </w:tcPr>
          <w:p>
            <w:pPr>
              <w:spacing w:line="260" w:lineRule="exact"/>
              <w:jc w:val="center"/>
              <w:rPr>
                <w:rFonts w:hint="eastAsia" w:eastAsia="黑体"/>
                <w:sz w:val="20"/>
                <w:szCs w:val="22"/>
                <w:lang w:eastAsia="zh-CN"/>
              </w:rPr>
            </w:pPr>
            <w:r>
              <w:rPr>
                <w:rFonts w:hint="eastAsia" w:ascii="黑体" w:hAnsi="黑体" w:eastAsia="黑体" w:cs="黑体"/>
                <w:sz w:val="20"/>
                <w:szCs w:val="20"/>
              </w:rPr>
              <w:t>查封场所、设施或者财物</w:t>
            </w:r>
            <w:r>
              <w:rPr>
                <w:rFonts w:hint="eastAsia" w:ascii="黑体" w:hAnsi="黑体" w:eastAsia="黑体" w:cs="黑体"/>
                <w:sz w:val="20"/>
                <w:szCs w:val="20"/>
                <w:lang w:eastAsia="zh-CN"/>
              </w:rPr>
              <w:t>（件）</w:t>
            </w:r>
          </w:p>
        </w:tc>
        <w:tc>
          <w:tcPr>
            <w:tcW w:w="771" w:type="dxa"/>
            <w:noWrap w:val="0"/>
            <w:vAlign w:val="center"/>
          </w:tcPr>
          <w:p>
            <w:pPr>
              <w:spacing w:line="260" w:lineRule="exact"/>
              <w:jc w:val="center"/>
              <w:rPr>
                <w:rFonts w:hint="eastAsia" w:eastAsia="黑体"/>
                <w:sz w:val="20"/>
                <w:szCs w:val="22"/>
                <w:lang w:eastAsia="zh-CN"/>
              </w:rPr>
            </w:pPr>
            <w:r>
              <w:rPr>
                <w:rFonts w:hint="eastAsia" w:ascii="黑体" w:hAnsi="黑体" w:eastAsia="黑体" w:cs="黑体"/>
                <w:sz w:val="20"/>
                <w:szCs w:val="20"/>
              </w:rPr>
              <w:t>扣押财物</w:t>
            </w:r>
            <w:r>
              <w:rPr>
                <w:rFonts w:hint="eastAsia" w:ascii="黑体" w:hAnsi="黑体" w:eastAsia="黑体" w:cs="黑体"/>
                <w:sz w:val="20"/>
                <w:szCs w:val="20"/>
                <w:lang w:eastAsia="zh-CN"/>
              </w:rPr>
              <w:t>（件）</w:t>
            </w:r>
          </w:p>
        </w:tc>
        <w:tc>
          <w:tcPr>
            <w:tcW w:w="770" w:type="dxa"/>
            <w:noWrap w:val="0"/>
            <w:vAlign w:val="center"/>
          </w:tcPr>
          <w:p>
            <w:pPr>
              <w:spacing w:line="260" w:lineRule="exact"/>
              <w:jc w:val="center"/>
              <w:rPr>
                <w:rFonts w:hint="eastAsia" w:eastAsia="黑体"/>
                <w:sz w:val="20"/>
                <w:szCs w:val="22"/>
                <w:lang w:eastAsia="zh-CN"/>
              </w:rPr>
            </w:pPr>
            <w:r>
              <w:rPr>
                <w:rFonts w:hint="eastAsia" w:ascii="黑体" w:hAnsi="黑体" w:eastAsia="黑体" w:cs="黑体"/>
                <w:sz w:val="20"/>
                <w:szCs w:val="20"/>
              </w:rPr>
              <w:t>冻结存款、汇款</w:t>
            </w:r>
            <w:r>
              <w:rPr>
                <w:rFonts w:hint="eastAsia" w:ascii="黑体" w:hAnsi="黑体" w:eastAsia="黑体" w:cs="黑体"/>
                <w:sz w:val="20"/>
                <w:szCs w:val="20"/>
                <w:lang w:eastAsia="zh-CN"/>
              </w:rPr>
              <w:t>（件）</w:t>
            </w:r>
          </w:p>
        </w:tc>
        <w:tc>
          <w:tcPr>
            <w:tcW w:w="771" w:type="dxa"/>
            <w:noWrap w:val="0"/>
            <w:vAlign w:val="center"/>
          </w:tcPr>
          <w:p>
            <w:pPr>
              <w:spacing w:line="260" w:lineRule="exact"/>
              <w:jc w:val="center"/>
              <w:rPr>
                <w:rFonts w:hint="eastAsia" w:eastAsia="黑体"/>
                <w:sz w:val="20"/>
                <w:szCs w:val="22"/>
                <w:lang w:eastAsia="zh-CN"/>
              </w:rPr>
            </w:pPr>
            <w:r>
              <w:rPr>
                <w:rFonts w:hint="eastAsia" w:ascii="黑体" w:hAnsi="黑体" w:eastAsia="黑体" w:cs="黑体"/>
                <w:sz w:val="20"/>
                <w:szCs w:val="20"/>
              </w:rPr>
              <w:t>其他行政强制措施</w:t>
            </w:r>
            <w:r>
              <w:rPr>
                <w:rFonts w:hint="eastAsia" w:ascii="黑体" w:hAnsi="黑体" w:eastAsia="黑体" w:cs="黑体"/>
                <w:sz w:val="20"/>
                <w:szCs w:val="20"/>
                <w:lang w:eastAsia="zh-CN"/>
              </w:rPr>
              <w:t>（件）</w:t>
            </w:r>
          </w:p>
        </w:tc>
        <w:tc>
          <w:tcPr>
            <w:tcW w:w="771" w:type="dxa"/>
            <w:noWrap w:val="0"/>
            <w:vAlign w:val="center"/>
          </w:tcPr>
          <w:p>
            <w:pPr>
              <w:spacing w:line="260" w:lineRule="exact"/>
              <w:jc w:val="center"/>
              <w:rPr>
                <w:rFonts w:hint="eastAsia" w:ascii="黑体" w:hAnsi="黑体" w:eastAsia="黑体" w:cs="黑体"/>
                <w:sz w:val="20"/>
                <w:szCs w:val="20"/>
                <w:lang w:eastAsia="zh-CN"/>
              </w:rPr>
            </w:pPr>
            <w:r>
              <w:rPr>
                <w:rFonts w:hint="eastAsia" w:ascii="黑体" w:hAnsi="黑体" w:eastAsia="黑体" w:cs="黑体"/>
                <w:sz w:val="20"/>
                <w:szCs w:val="20"/>
              </w:rPr>
              <w:t>合计</w:t>
            </w:r>
            <w:r>
              <w:rPr>
                <w:rFonts w:hint="eastAsia" w:ascii="黑体" w:hAnsi="黑体" w:eastAsia="黑体" w:cs="黑体"/>
                <w:sz w:val="20"/>
                <w:szCs w:val="20"/>
                <w:lang w:eastAsia="zh-CN"/>
              </w:rPr>
              <w:t>（件）</w:t>
            </w:r>
          </w:p>
        </w:tc>
        <w:tc>
          <w:tcPr>
            <w:tcW w:w="802" w:type="dxa"/>
            <w:noWrap w:val="0"/>
            <w:vAlign w:val="center"/>
          </w:tcPr>
          <w:p>
            <w:pPr>
              <w:spacing w:line="260" w:lineRule="exact"/>
              <w:jc w:val="center"/>
              <w:rPr>
                <w:rFonts w:hint="eastAsia" w:ascii="黑体" w:hAnsi="黑体" w:eastAsia="黑体" w:cs="黑体"/>
                <w:sz w:val="20"/>
                <w:szCs w:val="20"/>
                <w:lang w:eastAsia="zh-CN"/>
              </w:rPr>
            </w:pPr>
            <w:r>
              <w:rPr>
                <w:rFonts w:hint="eastAsia" w:ascii="黑体" w:hAnsi="黑体" w:eastAsia="黑体" w:cs="黑体"/>
                <w:sz w:val="20"/>
                <w:szCs w:val="20"/>
              </w:rPr>
              <w:t>加处罚款或者滞纳金</w:t>
            </w:r>
            <w:r>
              <w:rPr>
                <w:rFonts w:hint="eastAsia" w:ascii="黑体" w:hAnsi="黑体" w:eastAsia="黑体" w:cs="黑体"/>
                <w:sz w:val="20"/>
                <w:szCs w:val="20"/>
                <w:lang w:eastAsia="zh-CN"/>
              </w:rPr>
              <w:t>（件）</w:t>
            </w:r>
          </w:p>
        </w:tc>
        <w:tc>
          <w:tcPr>
            <w:tcW w:w="802" w:type="dxa"/>
            <w:noWrap w:val="0"/>
            <w:vAlign w:val="center"/>
          </w:tcPr>
          <w:p>
            <w:pPr>
              <w:spacing w:line="260" w:lineRule="exact"/>
              <w:jc w:val="center"/>
              <w:rPr>
                <w:rFonts w:hint="eastAsia" w:ascii="黑体" w:hAnsi="黑体" w:eastAsia="黑体" w:cs="黑体"/>
                <w:sz w:val="20"/>
                <w:szCs w:val="20"/>
                <w:lang w:eastAsia="zh-CN"/>
              </w:rPr>
            </w:pPr>
            <w:r>
              <w:rPr>
                <w:rFonts w:hint="eastAsia" w:ascii="黑体" w:hAnsi="黑体" w:eastAsia="黑体" w:cs="黑体"/>
                <w:sz w:val="20"/>
                <w:szCs w:val="20"/>
              </w:rPr>
              <w:t>划拨存款、汇款</w:t>
            </w:r>
            <w:r>
              <w:rPr>
                <w:rFonts w:hint="eastAsia" w:ascii="黑体" w:hAnsi="黑体" w:eastAsia="黑体" w:cs="黑体"/>
                <w:sz w:val="20"/>
                <w:szCs w:val="20"/>
                <w:lang w:eastAsia="zh-CN"/>
              </w:rPr>
              <w:t>（件）</w:t>
            </w:r>
          </w:p>
        </w:tc>
        <w:tc>
          <w:tcPr>
            <w:tcW w:w="802" w:type="dxa"/>
            <w:noWrap w:val="0"/>
            <w:vAlign w:val="center"/>
          </w:tcPr>
          <w:p>
            <w:pPr>
              <w:spacing w:line="220" w:lineRule="exact"/>
              <w:jc w:val="center"/>
              <w:rPr>
                <w:rFonts w:hint="eastAsia" w:ascii="黑体" w:hAnsi="黑体" w:eastAsia="黑体" w:cs="黑体"/>
                <w:sz w:val="20"/>
                <w:szCs w:val="20"/>
                <w:lang w:eastAsia="zh-CN"/>
              </w:rPr>
            </w:pPr>
            <w:r>
              <w:rPr>
                <w:rFonts w:hint="eastAsia" w:ascii="黑体" w:hAnsi="黑体" w:eastAsia="黑体" w:cs="黑体"/>
                <w:spacing w:val="-11"/>
                <w:sz w:val="18"/>
                <w:szCs w:val="18"/>
              </w:rPr>
              <w:t>拍卖或者依法处理查封、扣押的场所、设施或者财物</w:t>
            </w:r>
            <w:r>
              <w:rPr>
                <w:rFonts w:hint="eastAsia" w:ascii="黑体" w:hAnsi="黑体" w:eastAsia="黑体" w:cs="黑体"/>
                <w:spacing w:val="-11"/>
                <w:sz w:val="18"/>
                <w:szCs w:val="18"/>
                <w:lang w:eastAsia="zh-CN"/>
              </w:rPr>
              <w:t>（件）</w:t>
            </w:r>
          </w:p>
        </w:tc>
        <w:tc>
          <w:tcPr>
            <w:tcW w:w="802" w:type="dxa"/>
            <w:noWrap w:val="0"/>
            <w:vAlign w:val="center"/>
          </w:tcPr>
          <w:p>
            <w:pPr>
              <w:spacing w:line="260" w:lineRule="exact"/>
              <w:jc w:val="center"/>
              <w:rPr>
                <w:rFonts w:hint="eastAsia" w:ascii="黑体" w:hAnsi="黑体" w:eastAsia="黑体" w:cs="黑体"/>
                <w:sz w:val="20"/>
                <w:szCs w:val="20"/>
                <w:lang w:eastAsia="zh-CN"/>
              </w:rPr>
            </w:pPr>
            <w:r>
              <w:rPr>
                <w:rFonts w:hint="eastAsia" w:ascii="黑体" w:hAnsi="黑体" w:eastAsia="黑体" w:cs="黑体"/>
                <w:sz w:val="20"/>
                <w:szCs w:val="20"/>
              </w:rPr>
              <w:t>排除妨碍、恢复原状</w:t>
            </w:r>
            <w:r>
              <w:rPr>
                <w:rFonts w:hint="eastAsia" w:ascii="黑体" w:hAnsi="黑体" w:eastAsia="黑体" w:cs="黑体"/>
                <w:sz w:val="20"/>
                <w:szCs w:val="20"/>
                <w:lang w:eastAsia="zh-CN"/>
              </w:rPr>
              <w:t>（件）</w:t>
            </w:r>
          </w:p>
        </w:tc>
        <w:tc>
          <w:tcPr>
            <w:tcW w:w="802" w:type="dxa"/>
            <w:noWrap w:val="0"/>
            <w:vAlign w:val="center"/>
          </w:tcPr>
          <w:p>
            <w:pPr>
              <w:spacing w:line="260" w:lineRule="exact"/>
              <w:jc w:val="center"/>
              <w:rPr>
                <w:rFonts w:hint="eastAsia" w:ascii="黑体" w:hAnsi="黑体" w:eastAsia="黑体" w:cs="黑体"/>
                <w:sz w:val="20"/>
                <w:szCs w:val="20"/>
                <w:lang w:eastAsia="zh-CN"/>
              </w:rPr>
            </w:pPr>
            <w:r>
              <w:rPr>
                <w:rFonts w:hint="eastAsia" w:ascii="黑体" w:hAnsi="黑体" w:eastAsia="黑体" w:cs="黑体"/>
                <w:sz w:val="20"/>
                <w:szCs w:val="20"/>
              </w:rPr>
              <w:t>代履行</w:t>
            </w:r>
            <w:r>
              <w:rPr>
                <w:rFonts w:hint="eastAsia" w:ascii="黑体" w:hAnsi="黑体" w:eastAsia="黑体" w:cs="黑体"/>
                <w:sz w:val="20"/>
                <w:szCs w:val="20"/>
                <w:lang w:eastAsia="zh-CN"/>
              </w:rPr>
              <w:t>（件）</w:t>
            </w:r>
          </w:p>
        </w:tc>
        <w:tc>
          <w:tcPr>
            <w:tcW w:w="801" w:type="dxa"/>
            <w:noWrap w:val="0"/>
            <w:vAlign w:val="center"/>
          </w:tcPr>
          <w:p>
            <w:pPr>
              <w:spacing w:line="260" w:lineRule="exact"/>
              <w:jc w:val="center"/>
              <w:rPr>
                <w:rFonts w:hint="eastAsia" w:ascii="黑体" w:hAnsi="黑体" w:eastAsia="黑体" w:cs="黑体"/>
                <w:sz w:val="20"/>
                <w:szCs w:val="20"/>
                <w:lang w:eastAsia="zh-CN"/>
              </w:rPr>
            </w:pPr>
            <w:r>
              <w:rPr>
                <w:rFonts w:hint="eastAsia" w:ascii="黑体" w:hAnsi="黑体" w:eastAsia="黑体" w:cs="黑体"/>
                <w:sz w:val="20"/>
                <w:szCs w:val="20"/>
              </w:rPr>
              <w:t>其他强制执行</w:t>
            </w:r>
            <w:r>
              <w:rPr>
                <w:rFonts w:hint="eastAsia" w:ascii="黑体" w:hAnsi="黑体" w:eastAsia="黑体" w:cs="黑体"/>
                <w:sz w:val="20"/>
                <w:szCs w:val="20"/>
                <w:lang w:eastAsia="zh-CN"/>
              </w:rPr>
              <w:t>（件）</w:t>
            </w:r>
          </w:p>
        </w:tc>
        <w:tc>
          <w:tcPr>
            <w:tcW w:w="707" w:type="dxa"/>
            <w:noWrap w:val="0"/>
            <w:vAlign w:val="center"/>
          </w:tcPr>
          <w:p>
            <w:pPr>
              <w:spacing w:line="260" w:lineRule="exact"/>
              <w:jc w:val="center"/>
              <w:rPr>
                <w:rFonts w:hint="eastAsia" w:ascii="黑体" w:hAnsi="黑体" w:eastAsia="黑体" w:cs="黑体"/>
                <w:sz w:val="20"/>
                <w:szCs w:val="20"/>
                <w:lang w:eastAsia="zh-CN"/>
              </w:rPr>
            </w:pPr>
            <w:r>
              <w:rPr>
                <w:rFonts w:hint="eastAsia" w:ascii="黑体" w:hAnsi="黑体" w:eastAsia="黑体" w:cs="黑体"/>
                <w:sz w:val="20"/>
                <w:szCs w:val="20"/>
              </w:rPr>
              <w:t>合计</w:t>
            </w:r>
            <w:r>
              <w:rPr>
                <w:rFonts w:hint="eastAsia" w:ascii="黑体" w:hAnsi="黑体" w:eastAsia="黑体" w:cs="黑体"/>
                <w:sz w:val="20"/>
                <w:szCs w:val="20"/>
                <w:lang w:eastAsia="zh-CN"/>
              </w:rPr>
              <w:t>（件）</w:t>
            </w:r>
          </w:p>
        </w:tc>
        <w:tc>
          <w:tcPr>
            <w:tcW w:w="1451" w:type="dxa"/>
            <w:vMerge w:val="continue"/>
            <w:noWrap w:val="0"/>
            <w:vAlign w:val="center"/>
          </w:tcPr>
          <w:p>
            <w:pPr>
              <w:spacing w:line="480" w:lineRule="exact"/>
              <w:jc w:val="center"/>
            </w:pPr>
          </w:p>
        </w:tc>
        <w:tc>
          <w:tcPr>
            <w:tcW w:w="776" w:type="dxa"/>
            <w:vMerge w:val="continue"/>
            <w:noWrap w:val="0"/>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noWrap w:val="0"/>
            <w:vAlign w:val="center"/>
          </w:tcPr>
          <w:p>
            <w:pPr>
              <w:spacing w:line="320" w:lineRule="exact"/>
              <w:jc w:val="center"/>
              <w:rPr>
                <w:rFonts w:hint="eastAsia" w:eastAsia="宋体"/>
                <w:lang w:val="en-US" w:eastAsia="zh-CN"/>
              </w:rPr>
            </w:pPr>
            <w:r>
              <w:rPr>
                <w:rFonts w:hint="eastAsia" w:ascii="仿宋_GB2312" w:hAnsi="仿宋_GB2312" w:eastAsia="仿宋_GB2312" w:cs="仿宋_GB2312"/>
                <w:sz w:val="28"/>
                <w:szCs w:val="28"/>
                <w:lang w:val="en-US" w:eastAsia="zh-CN"/>
              </w:rPr>
              <w:t>淄博市医疗保障局沂源分局</w:t>
            </w:r>
          </w:p>
        </w:tc>
        <w:tc>
          <w:tcPr>
            <w:tcW w:w="771" w:type="dxa"/>
            <w:noWrap w:val="0"/>
            <w:vAlign w:val="center"/>
          </w:tcPr>
          <w:p>
            <w:pPr>
              <w:spacing w:line="480" w:lineRule="exact"/>
              <w:jc w:val="center"/>
              <w:rPr>
                <w:rFonts w:hint="default" w:eastAsia="宋体"/>
                <w:lang w:val="en-US" w:eastAsia="zh-CN"/>
              </w:rPr>
            </w:pPr>
            <w:r>
              <w:rPr>
                <w:rFonts w:hint="eastAsia"/>
                <w:lang w:val="en-US" w:eastAsia="zh-CN"/>
              </w:rPr>
              <w:t>0</w:t>
            </w:r>
          </w:p>
        </w:tc>
        <w:tc>
          <w:tcPr>
            <w:tcW w:w="771" w:type="dxa"/>
            <w:noWrap w:val="0"/>
            <w:vAlign w:val="center"/>
          </w:tcPr>
          <w:p>
            <w:pPr>
              <w:spacing w:line="480" w:lineRule="exact"/>
              <w:jc w:val="center"/>
              <w:rPr>
                <w:rFonts w:hint="default" w:eastAsia="宋体"/>
                <w:lang w:val="en-US" w:eastAsia="zh-CN"/>
              </w:rPr>
            </w:pPr>
            <w:r>
              <w:rPr>
                <w:rFonts w:hint="eastAsia"/>
                <w:lang w:val="en-US" w:eastAsia="zh-CN"/>
              </w:rPr>
              <w:t>0</w:t>
            </w:r>
          </w:p>
        </w:tc>
        <w:tc>
          <w:tcPr>
            <w:tcW w:w="770" w:type="dxa"/>
            <w:noWrap w:val="0"/>
            <w:vAlign w:val="center"/>
          </w:tcPr>
          <w:p>
            <w:pPr>
              <w:spacing w:line="480" w:lineRule="exact"/>
              <w:jc w:val="center"/>
              <w:rPr>
                <w:rFonts w:hint="default" w:eastAsia="宋体"/>
                <w:lang w:val="en-US" w:eastAsia="zh-CN"/>
              </w:rPr>
            </w:pPr>
            <w:r>
              <w:rPr>
                <w:rFonts w:hint="eastAsia"/>
                <w:lang w:val="en-US" w:eastAsia="zh-CN"/>
              </w:rPr>
              <w:t>0</w:t>
            </w:r>
          </w:p>
        </w:tc>
        <w:tc>
          <w:tcPr>
            <w:tcW w:w="771" w:type="dxa"/>
            <w:noWrap w:val="0"/>
            <w:vAlign w:val="center"/>
          </w:tcPr>
          <w:p>
            <w:pPr>
              <w:spacing w:line="480" w:lineRule="exact"/>
              <w:jc w:val="center"/>
              <w:rPr>
                <w:rFonts w:hint="default" w:eastAsia="宋体"/>
                <w:lang w:val="en-US" w:eastAsia="zh-CN"/>
              </w:rPr>
            </w:pPr>
            <w:r>
              <w:rPr>
                <w:rFonts w:hint="eastAsia"/>
                <w:lang w:val="en-US" w:eastAsia="zh-CN"/>
              </w:rPr>
              <w:t>0</w:t>
            </w:r>
          </w:p>
        </w:tc>
        <w:tc>
          <w:tcPr>
            <w:tcW w:w="771" w:type="dxa"/>
            <w:noWrap w:val="0"/>
            <w:vAlign w:val="center"/>
          </w:tcPr>
          <w:p>
            <w:pPr>
              <w:spacing w:line="480" w:lineRule="exact"/>
              <w:jc w:val="center"/>
              <w:rPr>
                <w:rFonts w:hint="default" w:eastAsia="宋体"/>
                <w:lang w:val="en-US" w:eastAsia="zh-CN"/>
              </w:rPr>
            </w:pPr>
            <w:r>
              <w:rPr>
                <w:rFonts w:hint="eastAsia"/>
                <w:lang w:val="en-US" w:eastAsia="zh-CN"/>
              </w:rPr>
              <w:t>0</w:t>
            </w:r>
          </w:p>
        </w:tc>
        <w:tc>
          <w:tcPr>
            <w:tcW w:w="802" w:type="dxa"/>
            <w:noWrap w:val="0"/>
            <w:vAlign w:val="center"/>
          </w:tcPr>
          <w:p>
            <w:pPr>
              <w:spacing w:line="300" w:lineRule="exact"/>
              <w:jc w:val="center"/>
              <w:rPr>
                <w:rFonts w:hint="default" w:ascii="黑体" w:hAnsi="黑体" w:eastAsia="黑体" w:cs="黑体"/>
                <w:lang w:val="en-US" w:eastAsia="zh-CN"/>
              </w:rPr>
            </w:pPr>
            <w:r>
              <w:rPr>
                <w:rFonts w:hint="eastAsia" w:ascii="黑体" w:hAnsi="黑体" w:eastAsia="黑体" w:cs="黑体"/>
                <w:lang w:val="en-US" w:eastAsia="zh-CN"/>
              </w:rPr>
              <w:t>0</w:t>
            </w:r>
          </w:p>
        </w:tc>
        <w:tc>
          <w:tcPr>
            <w:tcW w:w="802" w:type="dxa"/>
            <w:noWrap w:val="0"/>
            <w:vAlign w:val="center"/>
          </w:tcPr>
          <w:p>
            <w:pPr>
              <w:spacing w:line="300" w:lineRule="exact"/>
              <w:jc w:val="center"/>
              <w:rPr>
                <w:rFonts w:hint="default" w:ascii="黑体" w:hAnsi="黑体" w:eastAsia="黑体" w:cs="黑体"/>
                <w:lang w:val="en-US" w:eastAsia="zh-CN"/>
              </w:rPr>
            </w:pPr>
            <w:r>
              <w:rPr>
                <w:rFonts w:hint="eastAsia" w:ascii="黑体" w:hAnsi="黑体" w:eastAsia="黑体" w:cs="黑体"/>
                <w:lang w:val="en-US" w:eastAsia="zh-CN"/>
              </w:rPr>
              <w:t>0</w:t>
            </w:r>
          </w:p>
        </w:tc>
        <w:tc>
          <w:tcPr>
            <w:tcW w:w="802" w:type="dxa"/>
            <w:noWrap w:val="0"/>
            <w:vAlign w:val="center"/>
          </w:tcPr>
          <w:p>
            <w:pPr>
              <w:spacing w:line="300" w:lineRule="exact"/>
              <w:jc w:val="center"/>
              <w:rPr>
                <w:rFonts w:hint="default" w:ascii="黑体" w:hAnsi="黑体" w:eastAsia="黑体" w:cs="黑体"/>
                <w:lang w:val="en-US" w:eastAsia="zh-CN"/>
              </w:rPr>
            </w:pPr>
            <w:r>
              <w:rPr>
                <w:rFonts w:hint="eastAsia" w:ascii="黑体" w:hAnsi="黑体" w:eastAsia="黑体" w:cs="黑体"/>
                <w:lang w:val="en-US" w:eastAsia="zh-CN"/>
              </w:rPr>
              <w:t>0</w:t>
            </w:r>
          </w:p>
        </w:tc>
        <w:tc>
          <w:tcPr>
            <w:tcW w:w="802" w:type="dxa"/>
            <w:noWrap w:val="0"/>
            <w:vAlign w:val="center"/>
          </w:tcPr>
          <w:p>
            <w:pPr>
              <w:spacing w:line="300" w:lineRule="exact"/>
              <w:jc w:val="center"/>
              <w:rPr>
                <w:rFonts w:hint="default" w:ascii="黑体" w:hAnsi="黑体" w:eastAsia="黑体" w:cs="黑体"/>
                <w:lang w:val="en-US" w:eastAsia="zh-CN"/>
              </w:rPr>
            </w:pPr>
            <w:r>
              <w:rPr>
                <w:rFonts w:hint="eastAsia" w:ascii="黑体" w:hAnsi="黑体" w:eastAsia="黑体" w:cs="黑体"/>
                <w:lang w:val="en-US" w:eastAsia="zh-CN"/>
              </w:rPr>
              <w:t>0</w:t>
            </w:r>
          </w:p>
        </w:tc>
        <w:tc>
          <w:tcPr>
            <w:tcW w:w="802" w:type="dxa"/>
            <w:noWrap w:val="0"/>
            <w:vAlign w:val="center"/>
          </w:tcPr>
          <w:p>
            <w:pPr>
              <w:spacing w:line="300" w:lineRule="exact"/>
              <w:jc w:val="center"/>
              <w:rPr>
                <w:rFonts w:hint="default" w:ascii="黑体" w:hAnsi="黑体" w:eastAsia="黑体" w:cs="黑体"/>
                <w:lang w:val="en-US" w:eastAsia="zh-CN"/>
              </w:rPr>
            </w:pPr>
            <w:r>
              <w:rPr>
                <w:rFonts w:hint="eastAsia" w:ascii="黑体" w:hAnsi="黑体" w:eastAsia="黑体" w:cs="黑体"/>
                <w:lang w:val="en-US" w:eastAsia="zh-CN"/>
              </w:rPr>
              <w:t>0</w:t>
            </w:r>
          </w:p>
        </w:tc>
        <w:tc>
          <w:tcPr>
            <w:tcW w:w="801" w:type="dxa"/>
            <w:noWrap w:val="0"/>
            <w:vAlign w:val="center"/>
          </w:tcPr>
          <w:p>
            <w:pPr>
              <w:spacing w:line="300" w:lineRule="exact"/>
              <w:jc w:val="center"/>
              <w:rPr>
                <w:rFonts w:hint="default" w:ascii="黑体" w:hAnsi="黑体" w:eastAsia="黑体" w:cs="黑体"/>
                <w:lang w:val="en-US" w:eastAsia="zh-CN"/>
              </w:rPr>
            </w:pPr>
            <w:r>
              <w:rPr>
                <w:rFonts w:hint="eastAsia" w:ascii="黑体" w:hAnsi="黑体" w:eastAsia="黑体" w:cs="黑体"/>
                <w:lang w:val="en-US" w:eastAsia="zh-CN"/>
              </w:rPr>
              <w:t>0</w:t>
            </w:r>
          </w:p>
        </w:tc>
        <w:tc>
          <w:tcPr>
            <w:tcW w:w="707" w:type="dxa"/>
            <w:noWrap w:val="0"/>
            <w:vAlign w:val="center"/>
          </w:tcPr>
          <w:p>
            <w:pPr>
              <w:spacing w:line="30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1451" w:type="dxa"/>
            <w:noWrap w:val="0"/>
            <w:vAlign w:val="center"/>
          </w:tcPr>
          <w:p>
            <w:pPr>
              <w:spacing w:line="480" w:lineRule="exact"/>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0</w:t>
            </w:r>
          </w:p>
        </w:tc>
        <w:tc>
          <w:tcPr>
            <w:tcW w:w="776" w:type="dxa"/>
            <w:noWrap w:val="0"/>
            <w:vAlign w:val="center"/>
          </w:tcPr>
          <w:p>
            <w:pPr>
              <w:spacing w:line="480" w:lineRule="exact"/>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0</w:t>
            </w:r>
          </w:p>
        </w:tc>
      </w:tr>
    </w:tbl>
    <w:p>
      <w:pPr>
        <w:spacing w:line="280" w:lineRule="exact"/>
        <w:jc w:val="left"/>
        <w:rPr>
          <w:rFonts w:hint="eastAsia"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w:t>
      </w:r>
      <w:r>
        <w:rPr>
          <w:rFonts w:hint="eastAsia" w:ascii="仿宋_GB2312" w:hAnsi="仿宋_GB2312" w:eastAsia="仿宋_GB2312" w:cs="仿宋_GB2312"/>
          <w:sz w:val="24"/>
        </w:rPr>
        <w:t>1月1日至</w:t>
      </w:r>
      <w:r>
        <w:rPr>
          <w:rFonts w:hint="eastAsia" w:ascii="仿宋_GB2312" w:hAnsi="仿宋_GB2312" w:eastAsia="仿宋_GB2312" w:cs="仿宋_GB2312"/>
          <w:sz w:val="24"/>
          <w:lang w:val="en-US" w:eastAsia="zh-CN"/>
        </w:rPr>
        <w:t>12</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31</w:t>
      </w:r>
      <w:r>
        <w:rPr>
          <w:rFonts w:hint="eastAsia" w:ascii="仿宋_GB2312" w:hAnsi="仿宋_GB2312" w:eastAsia="仿宋_GB2312" w:cs="仿宋_GB2312"/>
          <w:sz w:val="24"/>
        </w:rPr>
        <w:t>日</w:t>
      </w:r>
      <w:r>
        <w:rPr>
          <w:rFonts w:hint="eastAsia" w:ascii="仿宋_GB2312" w:hAnsi="仿宋_GB2312" w:eastAsia="仿宋_GB2312" w:cs="仿宋_GB2312"/>
        </w:rPr>
        <w:t>。</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4.其他强制执行方式，如《城乡规划法》规定的强制拆除；《煤炭法》规定的强制停产、强制消除安全隐患；《金银管理条例》规</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 xml:space="preserve">            定的强制收购；《外汇管理条例》规定的回兑等。</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5.申请法院强制执行数量是指向法院申请强制执行的数量，时间以申请日期为准。</w:t>
      </w: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w:t>
      </w:r>
      <w:r>
        <w:rPr>
          <w:rFonts w:hint="eastAsia" w:ascii="方正小标宋简体" w:hAnsi="文星标宋" w:eastAsia="方正小标宋简体" w:cs="文星标宋"/>
          <w:sz w:val="32"/>
          <w:szCs w:val="32"/>
          <w:lang w:val="en-US" w:eastAsia="zh-CN"/>
        </w:rPr>
        <w:t>2021年度</w:t>
      </w:r>
      <w:r>
        <w:rPr>
          <w:rFonts w:hint="eastAsia" w:ascii="方正小标宋简体" w:hAnsi="文星标宋" w:eastAsia="方正小标宋简体" w:cs="文星标宋"/>
          <w:sz w:val="32"/>
          <w:szCs w:val="32"/>
        </w:rPr>
        <w:t>行政征收征用情况统计表</w:t>
      </w:r>
    </w:p>
    <w:p>
      <w:pPr>
        <w:spacing w:line="480" w:lineRule="exact"/>
        <w:rPr>
          <w:rFonts w:hint="eastAsia" w:ascii="仿宋_GB2312" w:hAnsi="仿宋_GB2312" w:eastAsia="仿宋_GB2312" w:cs="仿宋_GB2312"/>
          <w:szCs w:val="32"/>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noWrap w:val="0"/>
            <w:vAlign w:val="center"/>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noWrap w:val="0"/>
            <w:vAlign w:val="center"/>
          </w:tcPr>
          <w:p>
            <w:pPr>
              <w:spacing w:line="480" w:lineRule="exact"/>
              <w:jc w:val="center"/>
              <w:rPr>
                <w:rFonts w:hint="eastAsia" w:ascii="黑体" w:hAnsi="黑体" w:eastAsia="黑体" w:cs="黑体"/>
                <w:sz w:val="28"/>
                <w:szCs w:val="28"/>
                <w:lang w:eastAsia="zh-CN"/>
              </w:rPr>
            </w:pPr>
            <w:r>
              <w:rPr>
                <w:rFonts w:hint="eastAsia" w:ascii="黑体" w:hAnsi="黑体" w:eastAsia="黑体" w:cs="黑体"/>
                <w:sz w:val="28"/>
                <w:szCs w:val="28"/>
              </w:rPr>
              <w:t>行政征用实施数量</w:t>
            </w:r>
            <w:r>
              <w:rPr>
                <w:rFonts w:hint="eastAsia" w:ascii="黑体" w:hAnsi="黑体" w:eastAsia="黑体" w:cs="黑体"/>
                <w:sz w:val="28"/>
                <w:szCs w:val="28"/>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noWrap w:val="0"/>
            <w:vAlign w:val="center"/>
          </w:tcPr>
          <w:p>
            <w:pPr>
              <w:spacing w:line="480" w:lineRule="exact"/>
              <w:jc w:val="center"/>
            </w:pPr>
          </w:p>
        </w:tc>
        <w:tc>
          <w:tcPr>
            <w:tcW w:w="1980" w:type="dxa"/>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行政收费（次）</w:t>
            </w:r>
          </w:p>
        </w:tc>
        <w:tc>
          <w:tcPr>
            <w:tcW w:w="2488" w:type="dxa"/>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行政收费数额（万元）</w:t>
            </w:r>
          </w:p>
        </w:tc>
        <w:tc>
          <w:tcPr>
            <w:tcW w:w="3453" w:type="dxa"/>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土地、房屋征收实施数量</w:t>
            </w:r>
          </w:p>
        </w:tc>
        <w:tc>
          <w:tcPr>
            <w:tcW w:w="2602" w:type="dxa"/>
            <w:vMerge w:val="continue"/>
            <w:noWrap w:val="0"/>
            <w:vAlign w:val="center"/>
          </w:tcPr>
          <w:p>
            <w:pPr>
              <w:spacing w:line="48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noWrap w:val="0"/>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淄博市医疗保障局沂源分局</w:t>
            </w:r>
          </w:p>
        </w:tc>
        <w:tc>
          <w:tcPr>
            <w:tcW w:w="1980" w:type="dxa"/>
            <w:noWrap w:val="0"/>
            <w:vAlign w:val="center"/>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488" w:type="dxa"/>
            <w:noWrap w:val="0"/>
            <w:vAlign w:val="center"/>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3453" w:type="dxa"/>
            <w:noWrap w:val="0"/>
            <w:vAlign w:val="center"/>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602" w:type="dxa"/>
            <w:noWrap w:val="0"/>
            <w:vAlign w:val="center"/>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bl>
    <w:p>
      <w:pPr>
        <w:spacing w:line="280" w:lineRule="exact"/>
        <w:jc w:val="left"/>
        <w:rPr>
          <w:rFonts w:hint="eastAsia" w:ascii="黑体" w:hAnsi="黑体" w:eastAsia="黑体" w:cs="黑体"/>
        </w:rPr>
      </w:pPr>
    </w:p>
    <w:p>
      <w:pPr>
        <w:spacing w:line="280" w:lineRule="exact"/>
        <w:jc w:val="left"/>
        <w:rPr>
          <w:rFonts w:hint="eastAsia"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统计范围为本年度</w:t>
      </w:r>
      <w:r>
        <w:rPr>
          <w:rFonts w:hint="eastAsia" w:ascii="仿宋_GB2312" w:hAnsi="仿宋_GB2312" w:eastAsia="仿宋_GB2312" w:cs="仿宋_GB2312"/>
          <w:sz w:val="24"/>
        </w:rPr>
        <w:t>1月1日至</w:t>
      </w:r>
      <w:r>
        <w:rPr>
          <w:rFonts w:hint="eastAsia" w:ascii="仿宋_GB2312" w:hAnsi="仿宋_GB2312" w:eastAsia="仿宋_GB2312" w:cs="仿宋_GB2312"/>
          <w:sz w:val="24"/>
          <w:lang w:val="en-US" w:eastAsia="zh-CN"/>
        </w:rPr>
        <w:t>12</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31</w:t>
      </w:r>
      <w:r>
        <w:rPr>
          <w:rFonts w:hint="eastAsia" w:ascii="仿宋_GB2312" w:hAnsi="仿宋_GB2312" w:eastAsia="仿宋_GB2312" w:cs="仿宋_GB2312"/>
          <w:sz w:val="24"/>
        </w:rPr>
        <w:t>日</w:t>
      </w:r>
      <w:r>
        <w:rPr>
          <w:rFonts w:hint="eastAsia" w:ascii="仿宋_GB2312" w:hAnsi="仿宋_GB2312" w:eastAsia="仿宋_GB2312" w:cs="仿宋_GB2312"/>
        </w:rPr>
        <w:t>。</w:t>
      </w:r>
    </w:p>
    <w:p>
      <w:pPr>
        <w:spacing w:line="280" w:lineRule="exact"/>
        <w:ind w:left="840" w:leftChars="400"/>
        <w:jc w:val="left"/>
        <w:rPr>
          <w:rFonts w:hint="eastAsia"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一件批文算一次。（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hint="eastAsia" w:ascii="仿宋_GB2312" w:hAnsi="仿宋_GB2312" w:eastAsia="仿宋_GB2312" w:cs="仿宋_GB2312"/>
          <w:sz w:val="24"/>
        </w:rPr>
      </w:pPr>
    </w:p>
    <w:p>
      <w:pPr>
        <w:spacing w:line="480" w:lineRule="exact"/>
        <w:rPr>
          <w:rFonts w:hint="eastAsia" w:ascii="仿宋_GB2312" w:hAnsi="仿宋_GB2312" w:eastAsia="仿宋_GB2312" w:cs="仿宋_GB2312"/>
          <w:sz w:val="24"/>
        </w:rPr>
      </w:pPr>
    </w:p>
    <w:p>
      <w:pPr>
        <w:spacing w:line="480" w:lineRule="exact"/>
        <w:rPr>
          <w:rFonts w:hint="eastAsia" w:ascii="仿宋_GB2312" w:hAnsi="仿宋_GB2312" w:eastAsia="仿宋_GB2312" w:cs="仿宋_GB2312"/>
          <w:sz w:val="24"/>
        </w:rPr>
      </w:pPr>
    </w:p>
    <w:p>
      <w:pPr>
        <w:spacing w:line="480" w:lineRule="exact"/>
        <w:rPr>
          <w:rFonts w:hint="eastAsia" w:ascii="仿宋_GB2312" w:hAnsi="仿宋_GB2312" w:eastAsia="仿宋_GB2312" w:cs="仿宋_GB2312"/>
          <w:sz w:val="24"/>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w:t>
      </w:r>
      <w:r>
        <w:rPr>
          <w:rFonts w:hint="eastAsia" w:ascii="方正小标宋简体" w:hAnsi="文星标宋" w:eastAsia="方正小标宋简体" w:cs="文星标宋"/>
          <w:sz w:val="32"/>
          <w:szCs w:val="32"/>
          <w:lang w:val="en-US" w:eastAsia="zh-CN"/>
        </w:rPr>
        <w:t>2021年度</w:t>
      </w:r>
      <w:r>
        <w:rPr>
          <w:rFonts w:hint="eastAsia" w:ascii="方正小标宋简体" w:hAnsi="文星标宋" w:eastAsia="方正小标宋简体" w:cs="文星标宋"/>
          <w:sz w:val="32"/>
          <w:szCs w:val="32"/>
        </w:rPr>
        <w:t>行政检查情况统计表</w:t>
      </w:r>
    </w:p>
    <w:p>
      <w:pPr>
        <w:spacing w:line="480" w:lineRule="exact"/>
        <w:rPr>
          <w:rFonts w:hint="eastAsia" w:ascii="仿宋_GB2312" w:hAnsi="仿宋_GB2312" w:eastAsia="仿宋_GB2312" w:cs="仿宋_GB2312"/>
          <w:sz w:val="24"/>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noWrap w:val="0"/>
            <w:vAlign w:val="top"/>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单位名称</w:t>
            </w:r>
          </w:p>
        </w:tc>
        <w:tc>
          <w:tcPr>
            <w:tcW w:w="6199" w:type="dxa"/>
            <w:noWrap w:val="0"/>
            <w:vAlign w:val="top"/>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noWrap w:val="0"/>
            <w:vAlign w:val="center"/>
          </w:tcPr>
          <w:p>
            <w:pPr>
              <w:spacing w:line="3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8"/>
                <w:szCs w:val="28"/>
                <w:lang w:val="en-US" w:eastAsia="zh-CN"/>
              </w:rPr>
              <w:t>淄博市医疗保障局沂源分局</w:t>
            </w:r>
            <w:bookmarkStart w:id="0" w:name="_GoBack"/>
            <w:bookmarkEnd w:id="0"/>
          </w:p>
        </w:tc>
        <w:tc>
          <w:tcPr>
            <w:tcW w:w="6199" w:type="dxa"/>
            <w:noWrap w:val="0"/>
            <w:vAlign w:val="top"/>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w:t>
            </w:r>
          </w:p>
        </w:tc>
      </w:tr>
    </w:tbl>
    <w:p>
      <w:pPr>
        <w:spacing w:line="320" w:lineRule="exact"/>
        <w:rPr>
          <w:rFonts w:hint="eastAsia" w:ascii="黑体" w:hAnsi="黑体" w:eastAsia="黑体" w:cs="黑体"/>
        </w:rPr>
      </w:pPr>
    </w:p>
    <w:p>
      <w:pPr>
        <w:spacing w:line="320" w:lineRule="exact"/>
        <w:rPr>
          <w:rFonts w:hint="eastAsia"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统计范围为本年度</w:t>
      </w:r>
      <w:r>
        <w:rPr>
          <w:rFonts w:hint="eastAsia" w:ascii="仿宋_GB2312" w:hAnsi="仿宋_GB2312" w:eastAsia="仿宋_GB2312" w:cs="仿宋_GB2312"/>
          <w:sz w:val="24"/>
        </w:rPr>
        <w:t>1月1日至</w:t>
      </w:r>
      <w:r>
        <w:rPr>
          <w:rFonts w:hint="eastAsia" w:ascii="仿宋_GB2312" w:hAnsi="仿宋_GB2312" w:eastAsia="仿宋_GB2312" w:cs="仿宋_GB2312"/>
          <w:sz w:val="24"/>
          <w:lang w:val="en-US" w:eastAsia="zh-CN"/>
        </w:rPr>
        <w:t>12</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31</w:t>
      </w:r>
      <w:r>
        <w:rPr>
          <w:rFonts w:hint="eastAsia" w:ascii="仿宋_GB2312" w:hAnsi="仿宋_GB2312" w:eastAsia="仿宋_GB2312" w:cs="仿宋_GB2312"/>
          <w:sz w:val="24"/>
        </w:rPr>
        <w:t>日</w:t>
      </w:r>
      <w:r>
        <w:rPr>
          <w:rFonts w:hint="eastAsia" w:ascii="仿宋_GB2312" w:hAnsi="仿宋_GB2312" w:eastAsia="仿宋_GB2312" w:cs="仿宋_GB2312"/>
        </w:rPr>
        <w:t>。</w:t>
      </w:r>
    </w:p>
    <w:p>
      <w:pPr>
        <w:spacing w:line="320" w:lineRule="exact"/>
        <w:ind w:firstLine="1050" w:firstLineChars="500"/>
        <w:rPr>
          <w:rFonts w:hint="eastAsia"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r>
        <w:rPr>
          <w:rFonts w:hint="eastAsia" w:ascii="仿宋_GB2312" w:hAnsi="仿宋_GB2312" w:eastAsia="仿宋_GB2312" w:cs="仿宋_GB2312"/>
        </w:rPr>
        <w:t xml:space="preserve">  详细检查记录，检查后作出行政处罚等其他行政执法行为的，均不计为检查次数。</w:t>
      </w:r>
    </w:p>
    <w:p/>
    <w:sectPr>
      <w:pgSz w:w="16838" w:h="11906" w:orient="landscape"/>
      <w:pgMar w:top="1701" w:right="1247" w:bottom="170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D732C"/>
    <w:rsid w:val="6F6D7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2022-01-11T06:18:00Z</dcterms:created>
  <dc:creator>共享账号请勿修改密码</dc:creator>
  <cp:lastModifiedBy>共享账号请勿修改密码</cp:lastModifiedBy>
  <dcterms:modified xsi:type="dcterms:W3CDTF">2022-01-11T06:23:36Z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DE95B281099C4BBC810C8C5E39A7812A</vt:lpwstr>
  </property>
</Properties>
</file>