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right="0" w:firstLine="64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淄博市医疗保</w:t>
      </w:r>
      <w:bookmarkStart w:id="0" w:name="_GoBack"/>
      <w:bookmarkEnd w:id="0"/>
      <w:r>
        <w:rPr>
          <w:rFonts w:hint="eastAsia" w:ascii="方正公文小标宋" w:hAnsi="方正公文小标宋" w:eastAsia="方正公文小标宋" w:cs="方正公文小标宋"/>
          <w:sz w:val="44"/>
          <w:szCs w:val="44"/>
        </w:rPr>
        <w:t>障局沂源分局2022年政府信息公开工作年度报告</w:t>
      </w:r>
    </w:p>
    <w:p>
      <w:pPr>
        <w:pStyle w:val="2"/>
        <w:keepNext w:val="0"/>
        <w:keepLines w:val="0"/>
        <w:widowControl/>
        <w:suppressLineNumbers w:val="0"/>
        <w:spacing w:line="26" w:lineRule="atLeast"/>
        <w:ind w:left="0" w:right="0" w:firstLine="640"/>
        <w:jc w:val="left"/>
      </w:pPr>
      <w:r>
        <w:rPr>
          <w:rFonts w:ascii="仿宋_GB2312" w:eastAsia="仿宋_GB2312" w:cs="仿宋_GB2312"/>
          <w:sz w:val="32"/>
          <w:szCs w:val="32"/>
        </w:rPr>
        <w:t>本年度报告根据《中华人民共和国政府信息公开条例》和《国务院办公厅政府信息与政务公开办公室关于印发&lt;中华人民共和国政府信息公开工作年度报告格式&gt;的通知》（国办公开办函〔2021〕30号）相关要求编制。本报告按照新修订的《中华人民共和国政府信息公开条例》（以下简称《条例》）规定和</w:t>
      </w:r>
      <w:r>
        <w:rPr>
          <w:rFonts w:hint="eastAsia" w:ascii="仿宋_GB2312" w:eastAsia="仿宋_GB2312" w:cs="仿宋_GB2312"/>
          <w:sz w:val="32"/>
          <w:szCs w:val="32"/>
        </w:rPr>
        <w:t>省政府办公厅印发的《政府信息公开工作年度报告编发指南》</w:t>
      </w:r>
      <w:r>
        <w:rPr>
          <w:rFonts w:hint="eastAsia" w:ascii="仿宋_GB2312" w:eastAsia="仿宋_GB2312" w:cs="仿宋_GB2312"/>
          <w:caps w:val="0"/>
          <w:color w:val="000000"/>
          <w:spacing w:val="0"/>
          <w:sz w:val="32"/>
          <w:szCs w:val="32"/>
          <w:shd w:val="clear" w:fill="FFFFFF"/>
        </w:rPr>
        <w:t>要求</w:t>
      </w:r>
      <w:r>
        <w:rPr>
          <w:rFonts w:hint="eastAsia" w:ascii="仿宋_GB2312" w:eastAsia="仿宋_GB2312" w:cs="仿宋_GB2312"/>
          <w:sz w:val="32"/>
          <w:szCs w:val="32"/>
        </w:rPr>
        <w:t>，结合淄博市医疗保障局沂源分局2022年政府信息公开工作实际情况，编制2022年度淄博市医疗保障局沂源分局</w:t>
      </w:r>
      <w:r>
        <w:rPr>
          <w:rFonts w:hint="eastAsia" w:ascii="仿宋_GB2312" w:eastAsia="仿宋_GB2312" w:cs="仿宋_GB2312"/>
          <w:caps w:val="0"/>
          <w:color w:val="000000"/>
          <w:spacing w:val="0"/>
          <w:sz w:val="32"/>
          <w:szCs w:val="32"/>
          <w:shd w:val="clear" w:fill="FFFFFF"/>
        </w:rPr>
        <w:t>政府信息公开年度报告如下。</w:t>
      </w:r>
    </w:p>
    <w:p>
      <w:pPr>
        <w:pStyle w:val="2"/>
        <w:keepNext w:val="0"/>
        <w:keepLines w:val="0"/>
        <w:widowControl/>
        <w:suppressLineNumbers w:val="0"/>
        <w:spacing w:line="26" w:lineRule="atLeast"/>
        <w:ind w:left="0" w:right="0" w:firstLine="640"/>
        <w:jc w:val="left"/>
      </w:pPr>
      <w:r>
        <w:rPr>
          <w:rFonts w:hint="eastAsia" w:ascii="仿宋_GB2312" w:eastAsia="仿宋_GB2312" w:cs="仿宋_GB2312"/>
          <w:sz w:val="32"/>
          <w:szCs w:val="32"/>
        </w:rPr>
        <w:t>报告全文由总体情况、主动公开政府信息情况、收到和处理政府信息公开申请情况、因政府信息公开工作被申请行政复议与提起行政诉讼情况、政府信息公开工作存在的主要问题及改进情况、其他需要报告的事项等部分组成。</w:t>
      </w:r>
    </w:p>
    <w:p>
      <w:pPr>
        <w:pStyle w:val="2"/>
        <w:keepNext w:val="0"/>
        <w:keepLines w:val="0"/>
        <w:widowControl/>
        <w:suppressLineNumbers w:val="0"/>
        <w:spacing w:line="26" w:lineRule="atLeast"/>
        <w:ind w:left="0" w:right="0" w:firstLine="640"/>
        <w:jc w:val="left"/>
      </w:pPr>
      <w:r>
        <w:rPr>
          <w:rFonts w:hint="eastAsia" w:ascii="仿宋_GB2312" w:eastAsia="仿宋_GB2312" w:cs="仿宋_GB2312"/>
          <w:sz w:val="32"/>
          <w:szCs w:val="32"/>
        </w:rPr>
        <w:t>本报告涉及数据的统计期限自2022年1月1日起至2022年12月31日止。如对本年度告知有疑问，请联系淄博市医疗保障局沂源分局（联系电话：0533-3225791；地址：沂源县鲁山路61号中国建设银行沂源支行九楼办公室；电子邮箱：sylbzjyyfj@zb.shandong.cn）。</w:t>
      </w:r>
    </w:p>
    <w:p>
      <w:pPr>
        <w:pStyle w:val="2"/>
        <w:keepNext w:val="0"/>
        <w:keepLines w:val="0"/>
        <w:widowControl/>
        <w:suppressLineNumbers w:val="0"/>
        <w:spacing w:line="26" w:lineRule="atLeast"/>
        <w:ind w:left="0" w:right="0"/>
      </w:pPr>
      <w:r>
        <w:rPr>
          <w:rFonts w:ascii="黑体" w:hAnsi="宋体" w:eastAsia="黑体" w:cs="黑体"/>
          <w:sz w:val="32"/>
          <w:szCs w:val="32"/>
        </w:rPr>
        <w:t>一、</w:t>
      </w:r>
      <w:r>
        <w:rPr>
          <w:rFonts w:hint="eastAsia" w:ascii="黑体" w:hAnsi="宋体" w:eastAsia="黑体" w:cs="黑体"/>
          <w:sz w:val="32"/>
          <w:szCs w:val="32"/>
        </w:rPr>
        <w:t>总体情况</w:t>
      </w:r>
    </w:p>
    <w:p>
      <w:pPr>
        <w:pStyle w:val="2"/>
        <w:keepNext w:val="0"/>
        <w:keepLines w:val="0"/>
        <w:widowControl/>
        <w:suppressLineNumbers w:val="0"/>
        <w:spacing w:line="26" w:lineRule="atLeast"/>
        <w:ind w:left="0" w:right="0" w:firstLine="640"/>
      </w:pPr>
      <w:r>
        <w:rPr>
          <w:rFonts w:hint="eastAsia" w:ascii="仿宋_GB2312" w:eastAsia="仿宋_GB2312" w:cs="仿宋_GB2312"/>
          <w:caps w:val="0"/>
          <w:color w:val="222222"/>
          <w:spacing w:val="0"/>
          <w:sz w:val="32"/>
          <w:szCs w:val="32"/>
          <w:shd w:val="clear" w:fill="FFFFFF"/>
        </w:rPr>
        <w:t>淄博市医疗保障局沂源分局深入学习贯彻落实《中华人民共和国政府信息公开条例》和《关于印发沂源县政务信息公开工作考核方案的通知》工作要求，严格执行县委、县政府有关信息公开的制度规定，完善政府公开形式，严格制度管理，做到信息公开常态化，加强政策解读，提高政务公开质量，</w:t>
      </w:r>
      <w:r>
        <w:rPr>
          <w:rFonts w:hint="eastAsia" w:ascii="仿宋_GB2312" w:eastAsia="仿宋_GB2312" w:cs="仿宋_GB2312"/>
          <w:caps w:val="0"/>
          <w:color w:val="000000"/>
          <w:spacing w:val="0"/>
          <w:sz w:val="32"/>
          <w:szCs w:val="32"/>
          <w:shd w:val="clear" w:fill="FFFFFF"/>
        </w:rPr>
        <w:t>进一步增强人民群众获得感和满意度。</w:t>
      </w:r>
    </w:p>
    <w:p>
      <w:pPr>
        <w:pStyle w:val="2"/>
        <w:keepNext w:val="0"/>
        <w:keepLines w:val="0"/>
        <w:widowControl/>
        <w:suppressLineNumbers w:val="0"/>
        <w:spacing w:line="26" w:lineRule="atLeast"/>
        <w:ind w:left="0" w:right="0"/>
      </w:pPr>
      <w:r>
        <w:rPr>
          <w:rFonts w:ascii="楷体_GB2312" w:eastAsia="楷体_GB2312" w:cs="楷体_GB2312"/>
          <w:sz w:val="32"/>
          <w:szCs w:val="32"/>
        </w:rPr>
        <w:t>    </w:t>
      </w:r>
      <w:r>
        <w:rPr>
          <w:rFonts w:hint="eastAsia" w:ascii="楷体_GB2312" w:eastAsia="楷体_GB2312" w:cs="楷体_GB2312"/>
          <w:sz w:val="32"/>
          <w:szCs w:val="32"/>
        </w:rPr>
        <w:t>（一）主动公开</w:t>
      </w:r>
    </w:p>
    <w:p>
      <w:pPr>
        <w:pStyle w:val="2"/>
        <w:keepNext w:val="0"/>
        <w:keepLines w:val="0"/>
        <w:widowControl/>
        <w:suppressLineNumbers w:val="0"/>
        <w:spacing w:line="26" w:lineRule="atLeast"/>
        <w:ind w:left="0" w:right="0" w:firstLine="640"/>
      </w:pPr>
      <w:r>
        <w:rPr>
          <w:rFonts w:hint="eastAsia" w:ascii="仿宋_GB2312" w:eastAsia="仿宋_GB2312" w:cs="仿宋_GB2312"/>
          <w:caps w:val="0"/>
          <w:color w:val="222222"/>
          <w:spacing w:val="0"/>
          <w:sz w:val="32"/>
          <w:szCs w:val="32"/>
          <w:shd w:val="clear" w:fill="FFFFFF"/>
        </w:rPr>
        <w:t>2022年，沂源分局严格按照</w:t>
      </w:r>
      <w:r>
        <w:rPr>
          <w:rFonts w:hint="eastAsia" w:ascii="仿宋_GB2312" w:eastAsia="仿宋_GB2312" w:cs="仿宋_GB2312"/>
          <w:color w:val="000000"/>
          <w:sz w:val="31"/>
          <w:szCs w:val="31"/>
        </w:rPr>
        <w:t>报告《条例》第二十条和第二十一条规定主动公开政府信息的情况，</w:t>
      </w:r>
      <w:r>
        <w:rPr>
          <w:rFonts w:hint="eastAsia" w:ascii="仿宋_GB2312" w:eastAsia="仿宋_GB2312" w:cs="仿宋_GB2312"/>
          <w:caps w:val="0"/>
          <w:color w:val="222222"/>
          <w:spacing w:val="0"/>
          <w:sz w:val="32"/>
          <w:szCs w:val="32"/>
          <w:shd w:val="clear" w:fill="FFFFFF"/>
        </w:rPr>
        <w:t>全面更新公开机构职能，包括法定职责、领导分工、内设机构、所属事业单位等相关信息；政策法规信息5条，政策解读多样化4条；政府会议信息3条；重点民生信息18条；社会公益信息14条，重要部署执行公开信息2条，政府信息公开指南2条，政府信息公开制度1条等，以上信息根据变化和更新及时上传。不断加强政务公开制度建设，完善体制机制，进一步做好解读回应工作，积极采用图文解读、领导解读的方式对政策文件进行解读，拓展解读形式。</w:t>
      </w:r>
    </w:p>
    <w:p>
      <w:pPr>
        <w:pStyle w:val="2"/>
        <w:keepNext w:val="0"/>
        <w:keepLines w:val="0"/>
        <w:widowControl/>
        <w:suppressLineNumbers w:val="0"/>
        <w:spacing w:line="26" w:lineRule="atLeast"/>
        <w:ind w:left="0" w:right="0" w:firstLine="640"/>
      </w:pPr>
      <w:r>
        <w:rPr>
          <w:rFonts w:hint="eastAsia" w:ascii="楷体_GB2312" w:eastAsia="楷体_GB2312" w:cs="楷体_GB2312"/>
          <w:sz w:val="32"/>
          <w:szCs w:val="32"/>
        </w:rPr>
        <w:t> </w:t>
      </w:r>
      <w:r>
        <w:rPr>
          <w:rFonts w:hint="eastAsia" w:ascii="楷体_GB2312" w:eastAsia="楷体_GB2312" w:cs="楷体_GB2312"/>
          <w:sz w:val="32"/>
          <w:szCs w:val="32"/>
        </w:rPr>
        <w:drawing>
          <wp:inline distT="0" distB="0" distL="114300" distR="114300">
            <wp:extent cx="5229225" cy="39719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29225" cy="3971925"/>
                    </a:xfrm>
                    <a:prstGeom prst="rect">
                      <a:avLst/>
                    </a:prstGeom>
                    <a:noFill/>
                    <a:ln w="9525">
                      <a:noFill/>
                    </a:ln>
                  </pic:spPr>
                </pic:pic>
              </a:graphicData>
            </a:graphic>
          </wp:inline>
        </w:drawing>
      </w:r>
    </w:p>
    <w:p>
      <w:pPr>
        <w:pStyle w:val="2"/>
        <w:keepNext w:val="0"/>
        <w:keepLines w:val="0"/>
        <w:widowControl/>
        <w:suppressLineNumbers w:val="0"/>
        <w:spacing w:line="26" w:lineRule="atLeast"/>
        <w:ind w:left="0" w:right="0" w:firstLine="641"/>
      </w:pPr>
      <w:r>
        <w:rPr>
          <w:rFonts w:hint="eastAsia" w:ascii="楷体_GB2312" w:eastAsia="楷体_GB2312" w:cs="楷体_GB2312"/>
          <w:sz w:val="32"/>
          <w:szCs w:val="32"/>
        </w:rPr>
        <w:t>（二）依申请公开</w:t>
      </w:r>
    </w:p>
    <w:p>
      <w:pPr>
        <w:pStyle w:val="2"/>
        <w:keepNext w:val="0"/>
        <w:keepLines w:val="0"/>
        <w:widowControl/>
        <w:suppressLineNumbers w:val="0"/>
        <w:spacing w:line="26" w:lineRule="atLeast"/>
        <w:ind w:left="0" w:right="0" w:firstLine="641"/>
      </w:pPr>
      <w:r>
        <w:rPr>
          <w:rFonts w:hint="eastAsia" w:ascii="仿宋_GB2312" w:eastAsia="仿宋_GB2312" w:cs="仿宋_GB2312"/>
          <w:caps w:val="0"/>
          <w:color w:val="222222"/>
          <w:spacing w:val="0"/>
          <w:sz w:val="32"/>
          <w:szCs w:val="32"/>
          <w:shd w:val="clear" w:fill="FFFFFF"/>
        </w:rPr>
        <w:t>2022年，沂源分局接收到依申请公开政府信息的申请一条，2023年1月10前完成回复。</w:t>
      </w:r>
    </w:p>
    <w:p>
      <w:pPr>
        <w:pStyle w:val="2"/>
        <w:keepNext w:val="0"/>
        <w:keepLines w:val="0"/>
        <w:widowControl/>
        <w:suppressLineNumbers w:val="0"/>
        <w:spacing w:line="26" w:lineRule="atLeast"/>
        <w:ind w:left="0" w:right="0" w:firstLine="641"/>
      </w:pPr>
      <w:r>
        <w:rPr>
          <w:rFonts w:hint="eastAsia" w:ascii="楷体_GB2312" w:eastAsia="楷体_GB2312" w:cs="楷体_GB2312"/>
          <w:sz w:val="32"/>
          <w:szCs w:val="32"/>
        </w:rPr>
        <w:t>（三）政府信息管理</w:t>
      </w:r>
    </w:p>
    <w:p>
      <w:pPr>
        <w:pStyle w:val="2"/>
        <w:keepNext w:val="0"/>
        <w:keepLines w:val="0"/>
        <w:widowControl/>
        <w:suppressLineNumbers w:val="0"/>
        <w:spacing w:line="26" w:lineRule="atLeast"/>
        <w:ind w:left="0" w:right="0" w:firstLine="641"/>
      </w:pPr>
      <w:r>
        <w:rPr>
          <w:rFonts w:hint="eastAsia" w:ascii="仿宋_GB2312" w:eastAsia="仿宋_GB2312" w:cs="仿宋_GB2312"/>
          <w:sz w:val="32"/>
          <w:szCs w:val="32"/>
        </w:rPr>
        <w:t>进一步规范和加强政府门户网站的信息发布管理，</w:t>
      </w:r>
      <w:r>
        <w:rPr>
          <w:rFonts w:hint="eastAsia" w:ascii="仿宋_GB2312" w:eastAsia="仿宋_GB2312" w:cs="仿宋_GB2312"/>
          <w:caps w:val="0"/>
          <w:color w:val="333333"/>
          <w:spacing w:val="0"/>
          <w:sz w:val="32"/>
          <w:szCs w:val="32"/>
        </w:rPr>
        <w:t>确保发布信息的安全、准确、及时，保证信息内容的真实性、完整性、准确性、安全性。严格遵循“谁主管，谁审批，谁负责”的审核原则，明确一到两名专职政务公开工作人员，所有的发布信息必须由分管领导审查，经主要负责人同意后才可发布。严格执行安全保密制度，不得发布违反国家法律和国家机密文件，确保政府信息规范管理。</w:t>
      </w:r>
    </w:p>
    <w:p>
      <w:pPr>
        <w:pStyle w:val="2"/>
        <w:keepNext w:val="0"/>
        <w:keepLines w:val="0"/>
        <w:widowControl/>
        <w:suppressLineNumbers w:val="0"/>
        <w:spacing w:line="26" w:lineRule="atLeast"/>
        <w:ind w:left="0" w:right="0" w:firstLine="641"/>
      </w:pPr>
      <w:r>
        <w:rPr>
          <w:rFonts w:hint="eastAsia" w:ascii="楷体_GB2312" w:eastAsia="楷体_GB2312" w:cs="楷体_GB2312"/>
          <w:sz w:val="32"/>
          <w:szCs w:val="32"/>
        </w:rPr>
        <w:t>（四）政府信息公开平台建设</w:t>
      </w:r>
    </w:p>
    <w:p>
      <w:pPr>
        <w:pStyle w:val="2"/>
        <w:keepNext w:val="0"/>
        <w:keepLines w:val="0"/>
        <w:widowControl/>
        <w:suppressLineNumbers w:val="0"/>
        <w:spacing w:line="26" w:lineRule="atLeast"/>
        <w:ind w:left="0" w:right="0" w:firstLine="641"/>
      </w:pPr>
      <w:r>
        <w:rPr>
          <w:rFonts w:hint="eastAsia" w:ascii="仿宋_GB2312" w:eastAsia="仿宋_GB2312" w:cs="仿宋_GB2312"/>
          <w:caps w:val="0"/>
          <w:color w:val="222222"/>
          <w:spacing w:val="0"/>
          <w:sz w:val="32"/>
          <w:szCs w:val="32"/>
          <w:shd w:val="clear" w:fill="FFFFFF"/>
        </w:rPr>
        <w:t>充分发挥沂源县人民政府网站的平台作用，不断加强政府网站的建设和管理，及时建立新目录，发布完善机构职能、领导分工、政府文件、部门文件、重点领域公开、执法结果等信息，确保应当公开的内容及时公开。把政府网站建设成为信息化条件下政府密切联系人民群众的重要桥梁，网络时代政府履行职责的重要平台，成为公开信息、回应关切和提供服务的重要载体。</w:t>
      </w:r>
      <w:r>
        <w:rPr>
          <w:rFonts w:hint="eastAsia" w:ascii="仿宋_GB2312" w:eastAsia="仿宋_GB2312" w:cs="仿宋_GB2312"/>
          <w:caps w:val="0"/>
          <w:color w:val="222222"/>
          <w:spacing w:val="0"/>
          <w:sz w:val="32"/>
          <w:szCs w:val="32"/>
          <w:shd w:val="clear" w:fill="FFFFFF"/>
        </w:rPr>
        <w:drawing>
          <wp:inline distT="0" distB="0" distL="114300" distR="114300">
            <wp:extent cx="6972300" cy="4876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6972300" cy="4876800"/>
                    </a:xfrm>
                    <a:prstGeom prst="rect">
                      <a:avLst/>
                    </a:prstGeom>
                    <a:noFill/>
                    <a:ln w="9525">
                      <a:noFill/>
                    </a:ln>
                  </pic:spPr>
                </pic:pic>
              </a:graphicData>
            </a:graphic>
          </wp:inline>
        </w:drawing>
      </w:r>
    </w:p>
    <w:p>
      <w:pPr>
        <w:pStyle w:val="2"/>
        <w:keepNext w:val="0"/>
        <w:keepLines w:val="0"/>
        <w:widowControl/>
        <w:suppressLineNumbers w:val="0"/>
        <w:spacing w:line="26" w:lineRule="atLeast"/>
        <w:ind w:left="0" w:right="0" w:firstLine="640"/>
      </w:pPr>
      <w:r>
        <w:rPr>
          <w:rFonts w:hint="eastAsia" w:ascii="楷体_GB2312" w:eastAsia="楷体_GB2312" w:cs="楷体_GB2312"/>
          <w:sz w:val="32"/>
          <w:szCs w:val="32"/>
        </w:rPr>
        <w:t>（五）监督保障</w:t>
      </w:r>
    </w:p>
    <w:p>
      <w:pPr>
        <w:pStyle w:val="2"/>
        <w:keepNext w:val="0"/>
        <w:keepLines w:val="0"/>
        <w:widowControl/>
        <w:suppressLineNumbers w:val="0"/>
        <w:spacing w:line="26" w:lineRule="atLeast"/>
        <w:ind w:left="0" w:right="0" w:firstLine="640"/>
      </w:pPr>
      <w:r>
        <w:rPr>
          <w:rFonts w:hint="eastAsia" w:ascii="仿宋_GB2312" w:eastAsia="仿宋_GB2312" w:cs="仿宋_GB2312"/>
          <w:caps w:val="0"/>
          <w:color w:val="222222"/>
          <w:spacing w:val="0"/>
          <w:sz w:val="32"/>
          <w:szCs w:val="32"/>
          <w:shd w:val="clear" w:fill="FFFFFF"/>
        </w:rPr>
        <w:t>一是按照《中华人民共和国政府信息公开条例》和《关于印发沂源县政务信息公开工作考核方案的通知》工作要求，建立培训工作常态化机制，经常组织开展面向信息公开工作人员专业培训，及时总结交流经验，不断提高相关人员的政策把握能力、信息公开工作水平。</w:t>
      </w:r>
      <w:r>
        <w:rPr>
          <w:rFonts w:hint="eastAsia" w:ascii="仿宋_GB2312" w:eastAsia="仿宋_GB2312" w:cs="仿宋_GB2312"/>
          <w:caps w:val="0"/>
          <w:color w:val="222222"/>
          <w:spacing w:val="0"/>
          <w:sz w:val="32"/>
          <w:szCs w:val="32"/>
          <w:shd w:val="clear" w:fill="FFFFFF"/>
        </w:rPr>
        <w:drawing>
          <wp:inline distT="0" distB="0" distL="114300" distR="114300">
            <wp:extent cx="6543675" cy="49149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6543675" cy="491490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26" w:lineRule="atLeast"/>
        <w:ind w:left="0" w:right="0" w:firstLine="420"/>
        <w:jc w:val="left"/>
      </w:pPr>
      <w:r>
        <w:rPr>
          <w:rFonts w:hint="eastAsia" w:ascii="仿宋_GB2312" w:eastAsia="仿宋_GB2312" w:cs="仿宋_GB2312"/>
          <w:caps w:val="0"/>
          <w:color w:val="222222"/>
          <w:spacing w:val="0"/>
          <w:sz w:val="32"/>
          <w:szCs w:val="32"/>
          <w:shd w:val="clear" w:fill="FFFFFF"/>
        </w:rPr>
        <w:t> 二是严格遵循“依法公开、真实公开、注重实效、有利监督”的原则，做到规范程序、主动公开、保证时效，并通过多种形式实现信息公开。</w:t>
      </w:r>
    </w:p>
    <w:p>
      <w:pPr>
        <w:pStyle w:val="2"/>
        <w:keepNext w:val="0"/>
        <w:keepLines w:val="0"/>
        <w:widowControl/>
        <w:suppressLineNumbers w:val="0"/>
        <w:spacing w:before="0" w:beforeAutospacing="0" w:after="0" w:afterAutospacing="0" w:line="26" w:lineRule="atLeast"/>
        <w:ind w:left="0" w:right="0" w:firstLine="420"/>
        <w:jc w:val="left"/>
      </w:pPr>
      <w:r>
        <w:rPr>
          <w:rFonts w:hint="eastAsia" w:ascii="仿宋_GB2312" w:eastAsia="仿宋_GB2312" w:cs="仿宋_GB2312"/>
          <w:caps w:val="0"/>
          <w:color w:val="222222"/>
          <w:spacing w:val="0"/>
          <w:sz w:val="32"/>
          <w:szCs w:val="32"/>
          <w:shd w:val="clear" w:fill="FFFFFF"/>
        </w:rPr>
        <w:t> 三是健全建立群众监督通道，通过监督电话、网络举报、市民投诉热线、意见信箱、满意度调查等多种方式，多渠道听取群众意见建议，主动接受群众监督，及时回应社会关切。</w:t>
      </w:r>
    </w:p>
    <w:p>
      <w:pPr>
        <w:pStyle w:val="2"/>
        <w:keepNext w:val="0"/>
        <w:keepLines w:val="0"/>
        <w:widowControl/>
        <w:suppressLineNumbers w:val="0"/>
        <w:spacing w:line="26" w:lineRule="atLeast"/>
        <w:ind w:left="0" w:right="0"/>
      </w:pPr>
      <w:r>
        <w:rPr>
          <w:rFonts w:hint="eastAsia" w:ascii="黑体" w:hAnsi="宋体" w:eastAsia="黑体" w:cs="黑体"/>
          <w:sz w:val="32"/>
          <w:szCs w:val="32"/>
        </w:rPr>
        <w:t>二、主动公开政府信息情况</w:t>
      </w:r>
    </w:p>
    <w:tbl>
      <w:tblPr>
        <w:tblW w:w="9030"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77"/>
        <w:gridCol w:w="2025"/>
        <w:gridCol w:w="1080"/>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5" w:hRule="atLeast"/>
        </w:trPr>
        <w:tc>
          <w:tcPr>
            <w:tcW w:w="8025" w:type="dxa"/>
            <w:gridSpan w:val="4"/>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0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本年新</w:t>
            </w:r>
            <w:r>
              <w:rPr>
                <w:rFonts w:hint="eastAsia" w:ascii="宋体" w:hAnsi="宋体" w:eastAsia="宋体" w:cs="宋体"/>
                <w:sz w:val="24"/>
                <w:szCs w:val="24"/>
              </w:rPr>
              <w:br w:type="textWrapping"/>
            </w:r>
            <w:r>
              <w:rPr>
                <w:rFonts w:hint="eastAsia" w:ascii="宋体" w:hAnsi="宋体" w:eastAsia="宋体" w:cs="宋体"/>
                <w:sz w:val="24"/>
                <w:szCs w:val="24"/>
              </w:rPr>
              <w:t>制作数量</w:t>
            </w:r>
          </w:p>
        </w:tc>
        <w:tc>
          <w:tcPr>
            <w:tcW w:w="9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本年新</w:t>
            </w:r>
            <w:r>
              <w:rPr>
                <w:rFonts w:hint="eastAsia" w:ascii="宋体" w:hAnsi="宋体" w:eastAsia="宋体" w:cs="宋体"/>
                <w:sz w:val="24"/>
                <w:szCs w:val="24"/>
              </w:rPr>
              <w:br w:type="textWrapping"/>
            </w:r>
            <w:r>
              <w:rPr>
                <w:rFonts w:hint="eastAsia" w:ascii="宋体" w:hAnsi="宋体" w:eastAsia="宋体" w:cs="宋体"/>
                <w:sz w:val="24"/>
                <w:szCs w:val="24"/>
              </w:rPr>
              <w:t>公开数量</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spacing w:line="540" w:lineRule="atLeast"/>
              <w:ind w:left="0" w:right="0"/>
              <w:jc w:val="center"/>
            </w:pPr>
            <w:r>
              <w:rPr>
                <w:rFonts w:hint="eastAsia" w:ascii="宋体" w:hAnsi="宋体" w:eastAsia="宋体" w:cs="宋体"/>
                <w:sz w:val="24"/>
                <w:szCs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规章</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9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规范性文件</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9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8025"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0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上一年项目数量</w:t>
            </w:r>
          </w:p>
        </w:tc>
        <w:tc>
          <w:tcPr>
            <w:tcW w:w="9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本年增/减</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行政许可</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96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其他对外管理服务事项</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96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25"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0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上一年项目数量</w:t>
            </w:r>
          </w:p>
        </w:tc>
        <w:tc>
          <w:tcPr>
            <w:tcW w:w="9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本年增/减</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行政处罚</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96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行政强制</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96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025"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上一年项目数量</w:t>
            </w:r>
          </w:p>
        </w:tc>
        <w:tc>
          <w:tcPr>
            <w:tcW w:w="3135" w:type="dxa"/>
            <w:gridSpan w:val="2"/>
            <w:tcBorders>
              <w:top w:val="single" w:color="auto" w:sz="8" w:space="0"/>
              <w:left w:val="nil"/>
              <w:bottom w:val="single" w:color="auto" w:sz="8" w:space="0"/>
              <w:right w:val="single" w:color="000000"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行政事业性收费</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3135" w:type="dxa"/>
            <w:gridSpan w:val="2"/>
            <w:tcBorders>
              <w:top w:val="nil"/>
              <w:left w:val="nil"/>
              <w:bottom w:val="single" w:color="auto" w:sz="8" w:space="0"/>
              <w:right w:val="single" w:color="000000"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025"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采购项目数量</w:t>
            </w:r>
          </w:p>
        </w:tc>
        <w:tc>
          <w:tcPr>
            <w:tcW w:w="3135" w:type="dxa"/>
            <w:gridSpan w:val="2"/>
            <w:tcBorders>
              <w:top w:val="single" w:color="auto" w:sz="8" w:space="0"/>
              <w:left w:val="nil"/>
              <w:bottom w:val="single" w:color="auto" w:sz="8" w:space="0"/>
              <w:right w:val="single" w:color="000000"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309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政府集中采购</w:t>
            </w:r>
          </w:p>
        </w:tc>
        <w:tc>
          <w:tcPr>
            <w:tcW w:w="18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3135" w:type="dxa"/>
            <w:gridSpan w:val="2"/>
            <w:tcBorders>
              <w:top w:val="nil"/>
              <w:left w:val="nil"/>
              <w:bottom w:val="single" w:color="auto" w:sz="8" w:space="0"/>
              <w:right w:val="single" w:color="000000"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bl>
    <w:p>
      <w:pPr>
        <w:pStyle w:val="2"/>
        <w:keepNext w:val="0"/>
        <w:keepLines w:val="0"/>
        <w:widowControl/>
        <w:suppressLineNumbers w:val="0"/>
        <w:spacing w:line="26" w:lineRule="atLeast"/>
        <w:ind w:left="0" w:right="0" w:firstLine="0"/>
        <w:jc w:val="both"/>
      </w:pPr>
      <w:r>
        <w:rPr>
          <w:rFonts w:hint="eastAsia" w:ascii="黑体" w:hAnsi="宋体" w:eastAsia="黑体" w:cs="黑体"/>
          <w:sz w:val="32"/>
          <w:szCs w:val="32"/>
        </w:rPr>
        <w:t>三、收到和处理政府信息公开申请情况</w:t>
      </w:r>
    </w:p>
    <w:p>
      <w:pPr>
        <w:pStyle w:val="2"/>
        <w:keepNext w:val="0"/>
        <w:keepLines w:val="0"/>
        <w:widowControl/>
        <w:suppressLineNumbers w:val="0"/>
        <w:spacing w:line="235" w:lineRule="atLeast"/>
        <w:jc w:val="center"/>
      </w:pPr>
      <w:r>
        <w:t> </w:t>
      </w:r>
    </w:p>
    <w:tbl>
      <w:tblPr>
        <w:tblW w:w="86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7"/>
        <w:gridCol w:w="720"/>
        <w:gridCol w:w="2665"/>
        <w:gridCol w:w="605"/>
        <w:gridCol w:w="624"/>
        <w:gridCol w:w="839"/>
        <w:gridCol w:w="660"/>
        <w:gridCol w:w="649"/>
        <w:gridCol w:w="624"/>
        <w:gridCol w:w="6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4" w:hRule="atLeast"/>
          <w:jc w:val="center"/>
        </w:trPr>
        <w:tc>
          <w:tcPr>
            <w:tcW w:w="4150" w:type="dxa"/>
            <w:gridSpan w:val="3"/>
            <w:vMerge w:val="restart"/>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324" w:lineRule="auto"/>
            </w:pPr>
            <w:r>
              <w:rPr>
                <w:rFonts w:ascii="Arial" w:hAnsi="Arial" w:cs="Arial"/>
                <w:color w:val="000000"/>
                <w:sz w:val="21"/>
                <w:szCs w:val="21"/>
                <w:bdr w:val="none" w:color="auto" w:sz="0" w:space="0"/>
              </w:rPr>
              <w:t> </w:t>
            </w:r>
          </w:p>
          <w:p>
            <w:pPr>
              <w:pStyle w:val="2"/>
              <w:keepNext w:val="0"/>
              <w:keepLines w:val="0"/>
              <w:widowControl/>
              <w:suppressLineNumbers w:val="0"/>
              <w:spacing w:before="65" w:beforeAutospacing="0"/>
              <w:ind w:left="504" w:right="313" w:hanging="190"/>
            </w:pPr>
            <w:r>
              <w:rPr>
                <w:rFonts w:hint="eastAsia" w:ascii="宋体" w:hAnsi="宋体" w:eastAsia="宋体" w:cs="宋体"/>
                <w:color w:val="000000"/>
                <w:sz w:val="20"/>
                <w:szCs w:val="20"/>
              </w:rPr>
              <w:t>(本列数据的勾稽关系为：第一项加第二</w:t>
            </w:r>
            <w:r>
              <w:rPr>
                <w:rFonts w:hint="eastAsia" w:ascii="宋体" w:hAnsi="宋体" w:eastAsia="宋体" w:cs="宋体"/>
                <w:color w:val="000000"/>
                <w:spacing w:val="10"/>
                <w:sz w:val="20"/>
                <w:szCs w:val="20"/>
              </w:rPr>
              <w:t> </w:t>
            </w:r>
            <w:r>
              <w:rPr>
                <w:rFonts w:hint="eastAsia" w:ascii="宋体" w:hAnsi="宋体" w:eastAsia="宋体" w:cs="宋体"/>
                <w:color w:val="000000"/>
                <w:spacing w:val="2"/>
                <w:sz w:val="20"/>
                <w:szCs w:val="20"/>
              </w:rPr>
              <w:t>项之和，等于第三项加第四项之和)</w:t>
            </w:r>
          </w:p>
        </w:tc>
        <w:tc>
          <w:tcPr>
            <w:tcW w:w="4549" w:type="dxa"/>
            <w:gridSpan w:val="7"/>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765"/>
            </w:pPr>
            <w:r>
              <w:rPr>
                <w:rFonts w:hint="eastAsia" w:ascii="宋体" w:hAnsi="宋体" w:eastAsia="宋体" w:cs="宋体"/>
                <w:color w:val="000000"/>
                <w:spacing w:val="1"/>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4150" w:type="dxa"/>
            <w:gridSpan w:val="3"/>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4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9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25"/>
            </w:pPr>
            <w:r>
              <w:rPr>
                <w:rFonts w:hint="eastAsia" w:ascii="宋体" w:hAnsi="宋体" w:eastAsia="宋体" w:cs="宋体"/>
                <w:color w:val="000000"/>
                <w:spacing w:val="2"/>
                <w:sz w:val="20"/>
                <w:szCs w:val="20"/>
              </w:rPr>
              <w:t>自然人</w:t>
            </w:r>
          </w:p>
        </w:tc>
        <w:tc>
          <w:tcPr>
            <w:tcW w:w="3256" w:type="dxa"/>
            <w:gridSpan w:val="5"/>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59" w:beforeAutospacing="0"/>
              <w:ind w:left="925"/>
            </w:pPr>
            <w:r>
              <w:rPr>
                <w:rFonts w:hint="eastAsia" w:ascii="宋体" w:hAnsi="宋体" w:eastAsia="宋体" w:cs="宋体"/>
                <w:color w:val="000000"/>
                <w:spacing w:val="-2"/>
                <w:sz w:val="20"/>
                <w:szCs w:val="20"/>
              </w:rPr>
              <w:t>法人或其他组织</w:t>
            </w:r>
          </w:p>
        </w:tc>
        <w:tc>
          <w:tcPr>
            <w:tcW w:w="644" w:type="dxa"/>
            <w:vMerge w:val="restart"/>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9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159"/>
            </w:pPr>
            <w:r>
              <w:rPr>
                <w:rFonts w:hint="eastAsia" w:ascii="宋体" w:hAnsi="宋体" w:eastAsia="宋体" w:cs="宋体"/>
                <w:color w:val="000000"/>
                <w:spacing w:val="4"/>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9" w:hRule="atLeast"/>
          <w:jc w:val="center"/>
        </w:trPr>
        <w:tc>
          <w:tcPr>
            <w:tcW w:w="4150" w:type="dxa"/>
            <w:gridSpan w:val="3"/>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4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9" w:beforeAutospacing="0" w:line="281" w:lineRule="atLeast"/>
              <w:ind w:left="126"/>
            </w:pPr>
            <w:r>
              <w:rPr>
                <w:rFonts w:hint="eastAsia" w:ascii="宋体" w:hAnsi="宋体" w:eastAsia="宋体" w:cs="宋体"/>
                <w:color w:val="000000"/>
                <w:spacing w:val="-3"/>
                <w:sz w:val="20"/>
                <w:szCs w:val="20"/>
              </w:rPr>
              <w:t>商业</w:t>
            </w:r>
          </w:p>
          <w:p>
            <w:pPr>
              <w:pStyle w:val="2"/>
              <w:keepNext w:val="0"/>
              <w:keepLines w:val="0"/>
              <w:widowControl/>
              <w:suppressLineNumbers w:val="0"/>
              <w:ind w:left="126"/>
            </w:pPr>
            <w:r>
              <w:rPr>
                <w:rFonts w:hint="eastAsia" w:ascii="宋体" w:hAnsi="宋体" w:eastAsia="宋体" w:cs="宋体"/>
                <w:color w:val="000000"/>
                <w:spacing w:val="-3"/>
                <w:sz w:val="20"/>
                <w:szCs w:val="20"/>
              </w:rPr>
              <w:t>企业</w:t>
            </w:r>
          </w:p>
        </w:tc>
        <w:tc>
          <w:tcPr>
            <w:tcW w:w="63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47" w:right="68"/>
            </w:pPr>
            <w:r>
              <w:rPr>
                <w:rFonts w:hint="eastAsia" w:ascii="宋体" w:hAnsi="宋体" w:eastAsia="宋体" w:cs="宋体"/>
                <w:color w:val="000000"/>
                <w:spacing w:val="-4"/>
                <w:sz w:val="20"/>
                <w:szCs w:val="20"/>
              </w:rPr>
              <w:t>科研</w:t>
            </w:r>
            <w:r>
              <w:rPr>
                <w:rFonts w:hint="eastAsia" w:ascii="宋体" w:hAnsi="宋体" w:eastAsia="宋体" w:cs="宋体"/>
                <w:color w:val="000000"/>
                <w:sz w:val="20"/>
                <w:szCs w:val="20"/>
              </w:rPr>
              <w:t> </w:t>
            </w:r>
            <w:r>
              <w:rPr>
                <w:rFonts w:hint="eastAsia" w:ascii="宋体" w:hAnsi="宋体" w:eastAsia="宋体" w:cs="宋体"/>
                <w:color w:val="000000"/>
                <w:spacing w:val="6"/>
                <w:sz w:val="20"/>
                <w:szCs w:val="20"/>
              </w:rPr>
              <w:t>机构</w:t>
            </w:r>
          </w:p>
        </w:tc>
        <w:tc>
          <w:tcPr>
            <w:tcW w:w="65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27"/>
            </w:pPr>
            <w:r>
              <w:rPr>
                <w:rFonts w:hint="eastAsia" w:ascii="宋体" w:hAnsi="宋体" w:eastAsia="宋体" w:cs="宋体"/>
                <w:color w:val="000000"/>
                <w:spacing w:val="3"/>
                <w:sz w:val="20"/>
                <w:szCs w:val="20"/>
              </w:rPr>
              <w:t>社会公</w:t>
            </w:r>
            <w:r>
              <w:rPr>
                <w:rFonts w:hint="eastAsia" w:ascii="宋体" w:hAnsi="宋体" w:eastAsia="宋体" w:cs="宋体"/>
                <w:color w:val="000000"/>
                <w:spacing w:val="1"/>
                <w:sz w:val="20"/>
                <w:szCs w:val="20"/>
              </w:rPr>
              <w:t> </w:t>
            </w:r>
            <w:r>
              <w:rPr>
                <w:rFonts w:hint="eastAsia" w:ascii="宋体" w:hAnsi="宋体" w:eastAsia="宋体" w:cs="宋体"/>
                <w:color w:val="000000"/>
                <w:spacing w:val="3"/>
                <w:sz w:val="20"/>
                <w:szCs w:val="20"/>
              </w:rPr>
              <w:t>益组织</w:t>
            </w:r>
          </w:p>
        </w:tc>
        <w:tc>
          <w:tcPr>
            <w:tcW w:w="64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7" w:right="17"/>
            </w:pPr>
            <w:r>
              <w:rPr>
                <w:rFonts w:hint="eastAsia" w:ascii="宋体" w:hAnsi="宋体" w:eastAsia="宋体" w:cs="宋体"/>
                <w:color w:val="000000"/>
                <w:spacing w:val="-3"/>
                <w:sz w:val="20"/>
                <w:szCs w:val="20"/>
              </w:rPr>
              <w:t>法律服</w:t>
            </w:r>
            <w:r>
              <w:rPr>
                <w:rFonts w:hint="eastAsia" w:ascii="宋体" w:hAnsi="宋体" w:eastAsia="宋体" w:cs="宋体"/>
                <w:color w:val="000000"/>
                <w:sz w:val="20"/>
                <w:szCs w:val="20"/>
              </w:rPr>
              <w:t> </w:t>
            </w:r>
            <w:r>
              <w:rPr>
                <w:rFonts w:hint="eastAsia" w:ascii="宋体" w:hAnsi="宋体" w:eastAsia="宋体" w:cs="宋体"/>
                <w:color w:val="000000"/>
                <w:spacing w:val="4"/>
                <w:sz w:val="20"/>
                <w:szCs w:val="20"/>
              </w:rPr>
              <w:t>务机构</w:t>
            </w:r>
          </w:p>
        </w:tc>
        <w:tc>
          <w:tcPr>
            <w:tcW w:w="65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99" w:beforeAutospacing="0"/>
              <w:ind w:left="129"/>
            </w:pPr>
            <w:r>
              <w:rPr>
                <w:rFonts w:hint="eastAsia" w:ascii="宋体" w:hAnsi="宋体" w:eastAsia="宋体" w:cs="宋体"/>
                <w:color w:val="000000"/>
                <w:spacing w:val="-3"/>
                <w:sz w:val="20"/>
                <w:szCs w:val="20"/>
              </w:rPr>
              <w:t>其他</w:t>
            </w:r>
          </w:p>
        </w:tc>
        <w:tc>
          <w:tcPr>
            <w:tcW w:w="644" w:type="dxa"/>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4150"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05"/>
            </w:pPr>
            <w:r>
              <w:rPr>
                <w:rFonts w:hint="eastAsia" w:ascii="宋体" w:hAnsi="宋体" w:eastAsia="宋体" w:cs="宋体"/>
                <w:color w:val="000000"/>
                <w:spacing w:val="-2"/>
                <w:sz w:val="20"/>
                <w:szCs w:val="20"/>
              </w:rPr>
              <w:t>一、本年新收政府信息公开申请数量</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1</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4150"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05"/>
            </w:pPr>
            <w:r>
              <w:rPr>
                <w:rFonts w:hint="eastAsia" w:ascii="宋体" w:hAnsi="宋体" w:eastAsia="宋体" w:cs="宋体"/>
                <w:color w:val="000000"/>
                <w:spacing w:val="-1"/>
                <w:sz w:val="20"/>
                <w:szCs w:val="20"/>
              </w:rPr>
              <w:t>二、上年结转政府信息公开申请数量</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pPr>
            <w:r>
              <w:rPr>
                <w:rFonts w:hint="eastAsia" w:ascii="宋体" w:hAnsi="宋体" w:eastAsia="宋体" w:cs="宋体"/>
                <w:color w:val="000000"/>
                <w:spacing w:val="-3"/>
                <w:sz w:val="20"/>
                <w:szCs w:val="20"/>
                <w:bdr w:val="none" w:color="auto" w:sz="0" w:space="0"/>
              </w:rPr>
              <w:t>三、本年度办理 结果</w:t>
            </w:r>
          </w:p>
        </w:tc>
        <w:tc>
          <w:tcPr>
            <w:tcW w:w="3416"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1" w:beforeAutospacing="0"/>
              <w:ind w:left="101"/>
            </w:pPr>
            <w:r>
              <w:rPr>
                <w:rFonts w:hint="eastAsia" w:ascii="宋体" w:hAnsi="宋体" w:eastAsia="宋体" w:cs="宋体"/>
                <w:color w:val="000000"/>
                <w:spacing w:val="1"/>
                <w:sz w:val="20"/>
                <w:szCs w:val="20"/>
              </w:rPr>
              <w:t>(一)予以公开</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1</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416"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90" w:beforeAutospacing="0"/>
              <w:ind w:left="101" w:right="206" w:hanging="10"/>
            </w:pPr>
            <w:r>
              <w:rPr>
                <w:rFonts w:hint="eastAsia" w:ascii="宋体" w:hAnsi="宋体" w:eastAsia="宋体" w:cs="宋体"/>
                <w:color w:val="000000"/>
                <w:sz w:val="20"/>
                <w:szCs w:val="20"/>
              </w:rPr>
              <w:t>(二)部分公开(区分处理的，只计这</w:t>
            </w:r>
            <w:r>
              <w:rPr>
                <w:rFonts w:hint="eastAsia" w:ascii="宋体" w:hAnsi="宋体" w:eastAsia="宋体" w:cs="宋体"/>
                <w:color w:val="000000"/>
                <w:spacing w:val="7"/>
                <w:sz w:val="20"/>
                <w:szCs w:val="20"/>
              </w:rPr>
              <w:t> </w:t>
            </w:r>
            <w:r>
              <w:rPr>
                <w:rFonts w:hint="eastAsia" w:ascii="宋体" w:hAnsi="宋体" w:eastAsia="宋体" w:cs="宋体"/>
                <w:color w:val="000000"/>
                <w:spacing w:val="3"/>
                <w:sz w:val="20"/>
                <w:szCs w:val="20"/>
              </w:rPr>
              <w:t>一情形，不计其他情形)</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51" w:right="46"/>
            </w:pPr>
            <w:r>
              <w:rPr>
                <w:rFonts w:hint="eastAsia" w:ascii="宋体" w:hAnsi="宋体" w:eastAsia="宋体" w:cs="宋体"/>
                <w:color w:val="000000"/>
                <w:spacing w:val="2"/>
                <w:sz w:val="20"/>
                <w:szCs w:val="20"/>
              </w:rPr>
              <w:t>(三)不 予公开</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1" w:beforeAutospacing="0"/>
              <w:ind w:left="102"/>
            </w:pPr>
            <w:r>
              <w:rPr>
                <w:rFonts w:hint="eastAsia" w:ascii="宋体" w:hAnsi="宋体" w:eastAsia="宋体" w:cs="宋体"/>
                <w:color w:val="000000"/>
                <w:spacing w:val="19"/>
                <w:sz w:val="20"/>
                <w:szCs w:val="20"/>
              </w:rPr>
              <w:t>1.属于国家秘密</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90" w:beforeAutospacing="0"/>
              <w:ind w:left="101" w:right="85" w:hanging="10"/>
            </w:pPr>
            <w:r>
              <w:rPr>
                <w:rFonts w:hint="eastAsia" w:ascii="宋体" w:hAnsi="宋体" w:eastAsia="宋体" w:cs="宋体"/>
                <w:color w:val="000000"/>
                <w:spacing w:val="22"/>
                <w:sz w:val="20"/>
                <w:szCs w:val="20"/>
              </w:rPr>
              <w:t>2</w:t>
            </w:r>
            <w:r>
              <w:rPr>
                <w:rFonts w:hint="eastAsia" w:ascii="宋体" w:hAnsi="宋体" w:eastAsia="宋体" w:cs="宋体"/>
                <w:color w:val="000000"/>
                <w:spacing w:val="-56"/>
                <w:sz w:val="20"/>
                <w:szCs w:val="20"/>
              </w:rPr>
              <w:t> </w:t>
            </w:r>
            <w:r>
              <w:rPr>
                <w:rFonts w:hint="eastAsia" w:ascii="宋体" w:hAnsi="宋体" w:eastAsia="宋体" w:cs="宋体"/>
                <w:color w:val="000000"/>
                <w:spacing w:val="22"/>
                <w:sz w:val="20"/>
                <w:szCs w:val="20"/>
              </w:rPr>
              <w:t>.其他法律行政法规禁止</w:t>
            </w:r>
            <w:r>
              <w:rPr>
                <w:rFonts w:hint="eastAsia" w:ascii="宋体" w:hAnsi="宋体" w:eastAsia="宋体" w:cs="宋体"/>
                <w:color w:val="000000"/>
                <w:sz w:val="20"/>
                <w:szCs w:val="20"/>
              </w:rPr>
              <w:t> </w:t>
            </w:r>
            <w:r>
              <w:rPr>
                <w:rFonts w:hint="eastAsia" w:ascii="宋体" w:hAnsi="宋体" w:eastAsia="宋体" w:cs="宋体"/>
                <w:color w:val="000000"/>
                <w:spacing w:val="-7"/>
                <w:sz w:val="20"/>
                <w:szCs w:val="20"/>
              </w:rPr>
              <w:t>公</w:t>
            </w:r>
            <w:r>
              <w:rPr>
                <w:rFonts w:hint="eastAsia" w:ascii="宋体" w:hAnsi="宋体" w:eastAsia="宋体" w:cs="宋体"/>
                <w:color w:val="000000"/>
                <w:spacing w:val="-9"/>
                <w:sz w:val="20"/>
                <w:szCs w:val="20"/>
              </w:rPr>
              <w:t> </w:t>
            </w:r>
            <w:r>
              <w:rPr>
                <w:rFonts w:hint="eastAsia" w:ascii="宋体" w:hAnsi="宋体" w:eastAsia="宋体" w:cs="宋体"/>
                <w:color w:val="000000"/>
                <w:spacing w:val="-7"/>
                <w:sz w:val="20"/>
                <w:szCs w:val="20"/>
              </w:rPr>
              <w:t>开</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6"/>
                <w:sz w:val="20"/>
                <w:szCs w:val="20"/>
              </w:rPr>
              <w:t>3.危及“三安全一稳定”</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5"/>
                <w:sz w:val="20"/>
                <w:szCs w:val="20"/>
              </w:rPr>
              <w:t>4.保护第三方合法权益</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2" w:beforeAutospacing="0"/>
              <w:ind w:left="102"/>
            </w:pPr>
            <w:r>
              <w:rPr>
                <w:rFonts w:hint="eastAsia" w:ascii="宋体" w:hAnsi="宋体" w:eastAsia="宋体" w:cs="宋体"/>
                <w:color w:val="000000"/>
                <w:spacing w:val="16"/>
                <w:sz w:val="20"/>
                <w:szCs w:val="20"/>
              </w:rPr>
              <w:t>5.属于三类内部事务信息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15"/>
                <w:sz w:val="20"/>
                <w:szCs w:val="20"/>
              </w:rPr>
              <w:t>6.属于四类过程性信息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16"/>
                <w:sz w:val="20"/>
                <w:szCs w:val="20"/>
              </w:rPr>
              <w:t>7.属于行政执法案卷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17"/>
                <w:sz w:val="20"/>
                <w:szCs w:val="20"/>
              </w:rPr>
              <w:t>8.属于行政查询事项</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294" w:beforeAutospacing="0"/>
              <w:ind w:left="51" w:right="49"/>
            </w:pPr>
            <w:r>
              <w:rPr>
                <w:rFonts w:hint="eastAsia" w:ascii="宋体" w:hAnsi="宋体" w:eastAsia="宋体" w:cs="宋体"/>
                <w:color w:val="000000"/>
                <w:spacing w:val="2"/>
                <w:sz w:val="20"/>
                <w:szCs w:val="20"/>
              </w:rPr>
              <w:t>(四)无</w:t>
            </w:r>
            <w:r>
              <w:rPr>
                <w:rFonts w:hint="eastAsia" w:ascii="宋体" w:hAnsi="宋体" w:eastAsia="宋体" w:cs="宋体"/>
                <w:color w:val="000000"/>
                <w:sz w:val="20"/>
                <w:szCs w:val="20"/>
              </w:rPr>
              <w:t> </w:t>
            </w:r>
            <w:r>
              <w:rPr>
                <w:rFonts w:hint="eastAsia" w:ascii="宋体" w:hAnsi="宋体" w:eastAsia="宋体" w:cs="宋体"/>
                <w:color w:val="000000"/>
                <w:spacing w:val="-2"/>
                <w:sz w:val="20"/>
                <w:szCs w:val="20"/>
              </w:rPr>
              <w:t>法提供</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2"/>
                <w:sz w:val="20"/>
                <w:szCs w:val="20"/>
              </w:rPr>
              <w:t>1.本机关不掌握相关政府信息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8"/>
                <w:sz w:val="19"/>
                <w:szCs w:val="19"/>
              </w:rPr>
              <w:t>2.没有现成信息需要另行制作</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3" w:beforeAutospacing="0"/>
              <w:ind w:left="102"/>
            </w:pPr>
            <w:r>
              <w:rPr>
                <w:rFonts w:hint="eastAsia" w:ascii="宋体" w:hAnsi="宋体" w:eastAsia="宋体" w:cs="宋体"/>
                <w:color w:val="000000"/>
                <w:spacing w:val="23"/>
                <w:sz w:val="19"/>
                <w:szCs w:val="19"/>
              </w:rPr>
              <w:t>3.补正后申请内容仍不明确</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76"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78"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78"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51" w:right="46"/>
            </w:pPr>
            <w:r>
              <w:rPr>
                <w:rFonts w:hint="eastAsia" w:ascii="宋体" w:hAnsi="宋体" w:eastAsia="宋体" w:cs="宋体"/>
                <w:color w:val="000000"/>
                <w:spacing w:val="2"/>
                <w:sz w:val="20"/>
                <w:szCs w:val="20"/>
              </w:rPr>
              <w:t>(五)不 予处理</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9"/>
                <w:sz w:val="20"/>
                <w:szCs w:val="20"/>
              </w:rPr>
              <w:t>1.信访举报投诉类申请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4" w:beforeAutospacing="0"/>
              <w:ind w:left="102"/>
            </w:pPr>
            <w:r>
              <w:rPr>
                <w:rFonts w:hint="eastAsia" w:ascii="宋体" w:hAnsi="宋体" w:eastAsia="宋体" w:cs="宋体"/>
                <w:color w:val="000000"/>
                <w:spacing w:val="10"/>
                <w:sz w:val="20"/>
                <w:szCs w:val="20"/>
              </w:rPr>
              <w:t>2</w:t>
            </w:r>
            <w:r>
              <w:rPr>
                <w:rFonts w:hint="eastAsia" w:ascii="宋体" w:hAnsi="宋体" w:eastAsia="宋体" w:cs="宋体"/>
                <w:color w:val="000000"/>
                <w:spacing w:val="-53"/>
                <w:sz w:val="20"/>
                <w:szCs w:val="20"/>
              </w:rPr>
              <w:t> </w:t>
            </w:r>
            <w:r>
              <w:rPr>
                <w:rFonts w:hint="eastAsia" w:ascii="宋体" w:hAnsi="宋体" w:eastAsia="宋体" w:cs="宋体"/>
                <w:color w:val="000000"/>
                <w:spacing w:val="10"/>
                <w:sz w:val="20"/>
                <w:szCs w:val="20"/>
              </w:rPr>
              <w:t>.</w:t>
            </w:r>
            <w:r>
              <w:rPr>
                <w:rFonts w:hint="eastAsia" w:ascii="宋体" w:hAnsi="宋体" w:eastAsia="宋体" w:cs="宋体"/>
                <w:color w:val="000000"/>
                <w:spacing w:val="-59"/>
                <w:sz w:val="20"/>
                <w:szCs w:val="20"/>
              </w:rPr>
              <w:t> </w:t>
            </w:r>
            <w:r>
              <w:rPr>
                <w:rFonts w:hint="eastAsia" w:ascii="宋体" w:hAnsi="宋体" w:eastAsia="宋体" w:cs="宋体"/>
                <w:color w:val="000000"/>
                <w:spacing w:val="10"/>
                <w:sz w:val="20"/>
                <w:szCs w:val="20"/>
              </w:rPr>
              <w:t>重复申请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5"/>
                <w:sz w:val="20"/>
                <w:szCs w:val="20"/>
              </w:rPr>
              <w:t>3.要求提供公开出版物</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04" w:beforeAutospacing="0"/>
              <w:ind w:left="102" w:right="55"/>
            </w:pPr>
            <w:r>
              <w:rPr>
                <w:rFonts w:hint="eastAsia" w:ascii="宋体" w:hAnsi="宋体" w:eastAsia="宋体" w:cs="宋体"/>
                <w:color w:val="000000"/>
                <w:spacing w:val="-14"/>
                <w:sz w:val="20"/>
                <w:szCs w:val="20"/>
              </w:rPr>
              <w:t>4</w:t>
            </w:r>
            <w:r>
              <w:rPr>
                <w:rFonts w:hint="eastAsia" w:ascii="宋体" w:hAnsi="宋体" w:eastAsia="宋体" w:cs="宋体"/>
                <w:color w:val="000000"/>
                <w:spacing w:val="-24"/>
                <w:sz w:val="20"/>
                <w:szCs w:val="20"/>
              </w:rPr>
              <w:t> </w:t>
            </w:r>
            <w:r>
              <w:rPr>
                <w:rFonts w:hint="eastAsia" w:ascii="宋体" w:hAnsi="宋体" w:eastAsia="宋体" w:cs="宋体"/>
                <w:color w:val="000000"/>
                <w:spacing w:val="-14"/>
                <w:sz w:val="20"/>
                <w:szCs w:val="20"/>
              </w:rPr>
              <w:t>.</w:t>
            </w:r>
            <w:r>
              <w:rPr>
                <w:rFonts w:hint="eastAsia" w:ascii="宋体" w:hAnsi="宋体" w:eastAsia="宋体" w:cs="宋体"/>
                <w:color w:val="000000"/>
                <w:spacing w:val="-37"/>
                <w:sz w:val="20"/>
                <w:szCs w:val="20"/>
              </w:rPr>
              <w:t> </w:t>
            </w:r>
            <w:r>
              <w:rPr>
                <w:rFonts w:hint="eastAsia" w:ascii="宋体" w:hAnsi="宋体" w:eastAsia="宋体" w:cs="宋体"/>
                <w:color w:val="000000"/>
                <w:spacing w:val="-14"/>
                <w:sz w:val="20"/>
                <w:szCs w:val="20"/>
              </w:rPr>
              <w:t>无</w:t>
            </w:r>
            <w:r>
              <w:rPr>
                <w:rFonts w:hint="eastAsia" w:ascii="宋体" w:hAnsi="宋体" w:eastAsia="宋体" w:cs="宋体"/>
                <w:color w:val="000000"/>
                <w:spacing w:val="-35"/>
                <w:sz w:val="20"/>
                <w:szCs w:val="20"/>
              </w:rPr>
              <w:t> </w:t>
            </w:r>
            <w:r>
              <w:rPr>
                <w:rFonts w:hint="eastAsia" w:ascii="宋体" w:hAnsi="宋体" w:eastAsia="宋体" w:cs="宋体"/>
                <w:color w:val="000000"/>
                <w:spacing w:val="-14"/>
                <w:sz w:val="20"/>
                <w:szCs w:val="20"/>
              </w:rPr>
              <w:t>正</w:t>
            </w:r>
            <w:r>
              <w:rPr>
                <w:rFonts w:hint="eastAsia" w:ascii="宋体" w:hAnsi="宋体" w:eastAsia="宋体" w:cs="宋体"/>
                <w:color w:val="000000"/>
                <w:spacing w:val="-26"/>
                <w:sz w:val="20"/>
                <w:szCs w:val="20"/>
              </w:rPr>
              <w:t> </w:t>
            </w:r>
            <w:r>
              <w:rPr>
                <w:rFonts w:hint="eastAsia" w:ascii="宋体" w:hAnsi="宋体" w:eastAsia="宋体" w:cs="宋体"/>
                <w:color w:val="000000"/>
                <w:spacing w:val="-14"/>
                <w:sz w:val="20"/>
                <w:szCs w:val="20"/>
              </w:rPr>
              <w:t>当</w:t>
            </w:r>
            <w:r>
              <w:rPr>
                <w:rFonts w:hint="eastAsia" w:ascii="宋体" w:hAnsi="宋体" w:eastAsia="宋体" w:cs="宋体"/>
                <w:color w:val="000000"/>
                <w:spacing w:val="-36"/>
                <w:sz w:val="20"/>
                <w:szCs w:val="20"/>
              </w:rPr>
              <w:t> </w:t>
            </w:r>
            <w:r>
              <w:rPr>
                <w:rFonts w:hint="eastAsia" w:ascii="宋体" w:hAnsi="宋体" w:eastAsia="宋体" w:cs="宋体"/>
                <w:color w:val="000000"/>
                <w:spacing w:val="-14"/>
                <w:sz w:val="20"/>
                <w:szCs w:val="20"/>
              </w:rPr>
              <w:t>理 由</w:t>
            </w:r>
            <w:r>
              <w:rPr>
                <w:rFonts w:hint="eastAsia" w:ascii="宋体" w:hAnsi="宋体" w:eastAsia="宋体" w:cs="宋体"/>
                <w:color w:val="000000"/>
                <w:spacing w:val="-37"/>
                <w:sz w:val="20"/>
                <w:szCs w:val="20"/>
              </w:rPr>
              <w:t> </w:t>
            </w:r>
            <w:r>
              <w:rPr>
                <w:rFonts w:hint="eastAsia" w:ascii="宋体" w:hAnsi="宋体" w:eastAsia="宋体" w:cs="宋体"/>
                <w:color w:val="000000"/>
                <w:spacing w:val="-14"/>
                <w:sz w:val="20"/>
                <w:szCs w:val="20"/>
              </w:rPr>
              <w:t>大</w:t>
            </w:r>
            <w:r>
              <w:rPr>
                <w:rFonts w:hint="eastAsia" w:ascii="宋体" w:hAnsi="宋体" w:eastAsia="宋体" w:cs="宋体"/>
                <w:color w:val="000000"/>
                <w:spacing w:val="-38"/>
                <w:sz w:val="20"/>
                <w:szCs w:val="20"/>
              </w:rPr>
              <w:t> </w:t>
            </w:r>
            <w:r>
              <w:rPr>
                <w:rFonts w:hint="eastAsia" w:ascii="宋体" w:hAnsi="宋体" w:eastAsia="宋体" w:cs="宋体"/>
                <w:color w:val="000000"/>
                <w:spacing w:val="-14"/>
                <w:sz w:val="20"/>
                <w:szCs w:val="20"/>
              </w:rPr>
              <w:t>量</w:t>
            </w:r>
            <w:r>
              <w:rPr>
                <w:rFonts w:hint="eastAsia" w:ascii="宋体" w:hAnsi="宋体" w:eastAsia="宋体" w:cs="宋体"/>
                <w:color w:val="000000"/>
                <w:spacing w:val="-38"/>
                <w:sz w:val="20"/>
                <w:szCs w:val="20"/>
              </w:rPr>
              <w:t> </w:t>
            </w:r>
            <w:r>
              <w:rPr>
                <w:rFonts w:hint="eastAsia" w:ascii="宋体" w:hAnsi="宋体" w:eastAsia="宋体" w:cs="宋体"/>
                <w:color w:val="000000"/>
                <w:spacing w:val="-14"/>
                <w:sz w:val="20"/>
                <w:szCs w:val="20"/>
              </w:rPr>
              <w:t>反</w:t>
            </w:r>
            <w:r>
              <w:rPr>
                <w:rFonts w:hint="eastAsia" w:ascii="宋体" w:hAnsi="宋体" w:eastAsia="宋体" w:cs="宋体"/>
                <w:color w:val="000000"/>
                <w:spacing w:val="-33"/>
                <w:sz w:val="20"/>
                <w:szCs w:val="20"/>
              </w:rPr>
              <w:t> </w:t>
            </w:r>
            <w:r>
              <w:rPr>
                <w:rFonts w:hint="eastAsia" w:ascii="宋体" w:hAnsi="宋体" w:eastAsia="宋体" w:cs="宋体"/>
                <w:color w:val="000000"/>
                <w:spacing w:val="-14"/>
                <w:sz w:val="20"/>
                <w:szCs w:val="20"/>
              </w:rPr>
              <w:t>复</w:t>
            </w:r>
            <w:r>
              <w:rPr>
                <w:rFonts w:hint="eastAsia" w:ascii="宋体" w:hAnsi="宋体" w:eastAsia="宋体" w:cs="宋体"/>
                <w:color w:val="000000"/>
                <w:sz w:val="20"/>
                <w:szCs w:val="20"/>
              </w:rPr>
              <w:t> </w:t>
            </w:r>
            <w:r>
              <w:rPr>
                <w:rFonts w:hint="eastAsia" w:ascii="宋体" w:hAnsi="宋体" w:eastAsia="宋体" w:cs="宋体"/>
                <w:color w:val="000000"/>
                <w:spacing w:val="-17"/>
                <w:sz w:val="20"/>
                <w:szCs w:val="20"/>
              </w:rPr>
              <w:t>申</w:t>
            </w:r>
            <w:r>
              <w:rPr>
                <w:rFonts w:hint="eastAsia" w:ascii="宋体" w:hAnsi="宋体" w:eastAsia="宋体" w:cs="宋体"/>
                <w:color w:val="000000"/>
                <w:spacing w:val="-11"/>
                <w:sz w:val="20"/>
                <w:szCs w:val="20"/>
              </w:rPr>
              <w:t> </w:t>
            </w:r>
            <w:r>
              <w:rPr>
                <w:rFonts w:hint="eastAsia" w:ascii="宋体" w:hAnsi="宋体" w:eastAsia="宋体" w:cs="宋体"/>
                <w:color w:val="000000"/>
                <w:spacing w:val="-17"/>
                <w:sz w:val="20"/>
                <w:szCs w:val="20"/>
              </w:rPr>
              <w:t>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14" w:beforeAutospacing="0"/>
              <w:ind w:left="102" w:right="55"/>
            </w:pPr>
            <w:r>
              <w:rPr>
                <w:rFonts w:hint="eastAsia" w:ascii="宋体" w:hAnsi="宋体" w:eastAsia="宋体" w:cs="宋体"/>
                <w:color w:val="000000"/>
                <w:spacing w:val="23"/>
                <w:sz w:val="20"/>
                <w:szCs w:val="20"/>
              </w:rPr>
              <w:t>5</w:t>
            </w:r>
            <w:r>
              <w:rPr>
                <w:rFonts w:hint="eastAsia" w:ascii="宋体" w:hAnsi="宋体" w:eastAsia="宋体" w:cs="宋体"/>
                <w:color w:val="000000"/>
                <w:spacing w:val="-48"/>
                <w:sz w:val="20"/>
                <w:szCs w:val="20"/>
              </w:rPr>
              <w:t> </w:t>
            </w:r>
            <w:r>
              <w:rPr>
                <w:rFonts w:hint="eastAsia" w:ascii="宋体" w:hAnsi="宋体" w:eastAsia="宋体" w:cs="宋体"/>
                <w:color w:val="000000"/>
                <w:spacing w:val="23"/>
                <w:sz w:val="20"/>
                <w:szCs w:val="20"/>
              </w:rPr>
              <w:t>.要求行政机关确认或重</w:t>
            </w:r>
            <w:r>
              <w:rPr>
                <w:rFonts w:hint="eastAsia" w:ascii="宋体" w:hAnsi="宋体" w:eastAsia="宋体" w:cs="宋体"/>
                <w:color w:val="000000"/>
                <w:sz w:val="20"/>
                <w:szCs w:val="20"/>
              </w:rPr>
              <w:t> </w:t>
            </w:r>
            <w:r>
              <w:rPr>
                <w:rFonts w:hint="eastAsia" w:ascii="宋体" w:hAnsi="宋体" w:eastAsia="宋体" w:cs="宋体"/>
                <w:color w:val="000000"/>
                <w:spacing w:val="11"/>
                <w:sz w:val="20"/>
                <w:szCs w:val="20"/>
              </w:rPr>
              <w:t>新出具已获取信息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61"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61"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61"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line="242" w:lineRule="auto"/>
              <w:ind w:left="51" w:right="49"/>
            </w:pPr>
            <w:r>
              <w:rPr>
                <w:rFonts w:hint="eastAsia" w:ascii="宋体" w:hAnsi="宋体" w:eastAsia="宋体" w:cs="宋体"/>
                <w:color w:val="000000"/>
                <w:spacing w:val="2"/>
                <w:sz w:val="20"/>
                <w:szCs w:val="20"/>
              </w:rPr>
              <w:t>(六)其</w:t>
            </w:r>
            <w:r>
              <w:rPr>
                <w:rFonts w:hint="eastAsia" w:ascii="宋体" w:hAnsi="宋体" w:eastAsia="宋体" w:cs="宋体"/>
                <w:color w:val="000000"/>
                <w:sz w:val="20"/>
                <w:szCs w:val="20"/>
              </w:rPr>
              <w:t> </w:t>
            </w:r>
            <w:r>
              <w:rPr>
                <w:rFonts w:hint="eastAsia" w:ascii="宋体" w:hAnsi="宋体" w:eastAsia="宋体" w:cs="宋体"/>
                <w:color w:val="000000"/>
                <w:spacing w:val="-2"/>
                <w:sz w:val="20"/>
                <w:szCs w:val="20"/>
              </w:rPr>
              <w:t>他处理</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15" w:beforeAutospacing="0"/>
              <w:ind w:left="102" w:right="51"/>
              <w:jc w:val="both"/>
            </w:pPr>
            <w:r>
              <w:rPr>
                <w:rFonts w:hint="eastAsia" w:ascii="宋体" w:hAnsi="宋体" w:eastAsia="宋体" w:cs="宋体"/>
                <w:color w:val="000000"/>
                <w:spacing w:val="18"/>
                <w:sz w:val="20"/>
                <w:szCs w:val="20"/>
              </w:rPr>
              <w:t>1</w:t>
            </w:r>
            <w:r>
              <w:rPr>
                <w:rFonts w:hint="eastAsia" w:ascii="宋体" w:hAnsi="宋体" w:eastAsia="宋体" w:cs="宋体"/>
                <w:color w:val="000000"/>
                <w:spacing w:val="-50"/>
                <w:sz w:val="20"/>
                <w:szCs w:val="20"/>
              </w:rPr>
              <w:t> </w:t>
            </w:r>
            <w:r>
              <w:rPr>
                <w:rFonts w:hint="eastAsia" w:ascii="宋体" w:hAnsi="宋体" w:eastAsia="宋体" w:cs="宋体"/>
                <w:color w:val="000000"/>
                <w:spacing w:val="18"/>
                <w:sz w:val="20"/>
                <w:szCs w:val="20"/>
              </w:rPr>
              <w:t>.</w:t>
            </w:r>
            <w:r>
              <w:rPr>
                <w:rFonts w:hint="eastAsia" w:ascii="宋体" w:hAnsi="宋体" w:eastAsia="宋体" w:cs="宋体"/>
                <w:color w:val="000000"/>
                <w:spacing w:val="-34"/>
                <w:sz w:val="20"/>
                <w:szCs w:val="20"/>
              </w:rPr>
              <w:t> </w:t>
            </w:r>
            <w:r>
              <w:rPr>
                <w:rFonts w:hint="eastAsia" w:ascii="宋体" w:hAnsi="宋体" w:eastAsia="宋体" w:cs="宋体"/>
                <w:color w:val="000000"/>
                <w:spacing w:val="18"/>
                <w:sz w:val="20"/>
                <w:szCs w:val="20"/>
              </w:rPr>
              <w:t>申请人无正当理由逾期</w:t>
            </w:r>
            <w:r>
              <w:rPr>
                <w:rFonts w:hint="eastAsia" w:ascii="宋体" w:hAnsi="宋体" w:eastAsia="宋体" w:cs="宋体"/>
                <w:color w:val="000000"/>
                <w:sz w:val="20"/>
                <w:szCs w:val="20"/>
              </w:rPr>
              <w:t> </w:t>
            </w:r>
            <w:r>
              <w:rPr>
                <w:rFonts w:hint="eastAsia" w:ascii="宋体" w:hAnsi="宋体" w:eastAsia="宋体" w:cs="宋体"/>
                <w:color w:val="000000"/>
                <w:spacing w:val="10"/>
                <w:sz w:val="20"/>
                <w:szCs w:val="20"/>
              </w:rPr>
              <w:t>不补正、行政机关不再处理</w:t>
            </w:r>
            <w:r>
              <w:rPr>
                <w:rFonts w:hint="eastAsia" w:ascii="宋体" w:hAnsi="宋体" w:eastAsia="宋体" w:cs="宋体"/>
                <w:color w:val="000000"/>
                <w:spacing w:val="5"/>
                <w:sz w:val="20"/>
                <w:szCs w:val="20"/>
              </w:rPr>
              <w:t> </w:t>
            </w:r>
            <w:r>
              <w:rPr>
                <w:rFonts w:hint="eastAsia" w:ascii="宋体" w:hAnsi="宋体" w:eastAsia="宋体" w:cs="宋体"/>
                <w:color w:val="000000"/>
                <w:spacing w:val="14"/>
                <w:sz w:val="20"/>
                <w:szCs w:val="20"/>
              </w:rPr>
              <w:t>其政府信息公开申请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9"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06" w:beforeAutospacing="0" w:line="249" w:lineRule="auto"/>
              <w:ind w:left="102"/>
              <w:jc w:val="both"/>
            </w:pPr>
            <w:r>
              <w:rPr>
                <w:rFonts w:hint="eastAsia" w:ascii="宋体" w:hAnsi="宋体" w:eastAsia="宋体" w:cs="宋体"/>
                <w:color w:val="000000"/>
                <w:spacing w:val="15"/>
                <w:sz w:val="19"/>
                <w:szCs w:val="19"/>
              </w:rPr>
              <w:t>2.</w:t>
            </w:r>
            <w:r>
              <w:rPr>
                <w:rFonts w:hint="eastAsia" w:ascii="宋体" w:hAnsi="宋体" w:eastAsia="宋体" w:cs="宋体"/>
                <w:color w:val="000000"/>
                <w:spacing w:val="-42"/>
                <w:sz w:val="19"/>
                <w:szCs w:val="19"/>
              </w:rPr>
              <w:t> </w:t>
            </w:r>
            <w:r>
              <w:rPr>
                <w:rFonts w:hint="eastAsia" w:ascii="宋体" w:hAnsi="宋体" w:eastAsia="宋体" w:cs="宋体"/>
                <w:color w:val="000000"/>
                <w:spacing w:val="15"/>
                <w:sz w:val="19"/>
                <w:szCs w:val="19"/>
              </w:rPr>
              <w:t>申请人逾期未按收费通知</w:t>
            </w:r>
            <w:r>
              <w:rPr>
                <w:rFonts w:hint="eastAsia" w:ascii="宋体" w:hAnsi="宋体" w:eastAsia="宋体" w:cs="宋体"/>
                <w:color w:val="000000"/>
                <w:sz w:val="19"/>
                <w:szCs w:val="19"/>
              </w:rPr>
              <w:t> </w:t>
            </w:r>
            <w:r>
              <w:rPr>
                <w:rFonts w:hint="eastAsia" w:ascii="宋体" w:hAnsi="宋体" w:eastAsia="宋体" w:cs="宋体"/>
                <w:color w:val="000000"/>
                <w:spacing w:val="8"/>
                <w:sz w:val="19"/>
                <w:szCs w:val="19"/>
              </w:rPr>
              <w:t>要求缴纳费用、行政机关不再</w:t>
            </w:r>
            <w:r>
              <w:rPr>
                <w:rFonts w:hint="eastAsia" w:ascii="宋体" w:hAnsi="宋体" w:eastAsia="宋体" w:cs="宋体"/>
                <w:color w:val="000000"/>
                <w:spacing w:val="9"/>
                <w:sz w:val="19"/>
                <w:szCs w:val="19"/>
              </w:rPr>
              <w:t> </w:t>
            </w:r>
            <w:r>
              <w:rPr>
                <w:rFonts w:hint="eastAsia" w:ascii="宋体" w:hAnsi="宋体" w:eastAsia="宋体" w:cs="宋体"/>
                <w:color w:val="000000"/>
                <w:spacing w:val="12"/>
                <w:sz w:val="19"/>
                <w:szCs w:val="19"/>
              </w:rPr>
              <w:t>处理其政府信息公开申请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8" w:beforeAutospacing="0"/>
              <w:ind w:left="102"/>
            </w:pPr>
            <w:r>
              <w:rPr>
                <w:rFonts w:hint="eastAsia" w:ascii="宋体" w:hAnsi="宋体" w:eastAsia="宋体" w:cs="宋体"/>
                <w:color w:val="000000"/>
                <w:spacing w:val="-9"/>
                <w:sz w:val="20"/>
                <w:szCs w:val="20"/>
              </w:rPr>
              <w:t>3</w:t>
            </w:r>
            <w:r>
              <w:rPr>
                <w:rFonts w:hint="eastAsia" w:ascii="宋体" w:hAnsi="宋体" w:eastAsia="宋体" w:cs="宋体"/>
                <w:color w:val="000000"/>
                <w:spacing w:val="-39"/>
                <w:sz w:val="20"/>
                <w:szCs w:val="20"/>
              </w:rPr>
              <w:t> </w:t>
            </w:r>
            <w:r>
              <w:rPr>
                <w:rFonts w:hint="eastAsia" w:ascii="宋体" w:hAnsi="宋体" w:eastAsia="宋体" w:cs="宋体"/>
                <w:color w:val="000000"/>
                <w:spacing w:val="-9"/>
                <w:sz w:val="20"/>
                <w:szCs w:val="20"/>
              </w:rPr>
              <w:t>.</w:t>
            </w:r>
            <w:r>
              <w:rPr>
                <w:rFonts w:hint="eastAsia" w:ascii="宋体" w:hAnsi="宋体" w:eastAsia="宋体" w:cs="宋体"/>
                <w:color w:val="000000"/>
                <w:spacing w:val="-45"/>
                <w:sz w:val="20"/>
                <w:szCs w:val="20"/>
              </w:rPr>
              <w:t> </w:t>
            </w:r>
            <w:r>
              <w:rPr>
                <w:rFonts w:hint="eastAsia" w:ascii="宋体" w:hAnsi="宋体" w:eastAsia="宋体" w:cs="宋体"/>
                <w:color w:val="000000"/>
                <w:spacing w:val="-9"/>
                <w:sz w:val="20"/>
                <w:szCs w:val="20"/>
              </w:rPr>
              <w:t>其</w:t>
            </w:r>
            <w:r>
              <w:rPr>
                <w:rFonts w:hint="eastAsia" w:ascii="宋体" w:hAnsi="宋体" w:eastAsia="宋体" w:cs="宋体"/>
                <w:color w:val="000000"/>
                <w:spacing w:val="-46"/>
                <w:sz w:val="20"/>
                <w:szCs w:val="20"/>
              </w:rPr>
              <w:t> </w:t>
            </w:r>
            <w:r>
              <w:rPr>
                <w:rFonts w:hint="eastAsia" w:ascii="宋体" w:hAnsi="宋体" w:eastAsia="宋体" w:cs="宋体"/>
                <w:color w:val="000000"/>
                <w:spacing w:val="-9"/>
                <w:sz w:val="20"/>
                <w:szCs w:val="20"/>
              </w:rPr>
              <w:t>他</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416"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9" w:beforeAutospacing="0"/>
              <w:ind w:left="101"/>
            </w:pPr>
            <w:r>
              <w:rPr>
                <w:rFonts w:hint="eastAsia" w:ascii="宋体" w:hAnsi="宋体" w:eastAsia="宋体" w:cs="宋体"/>
                <w:color w:val="000000"/>
                <w:spacing w:val="1"/>
                <w:sz w:val="20"/>
                <w:szCs w:val="20"/>
              </w:rPr>
              <w:t>(七)总计</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4" w:hRule="atLeast"/>
          <w:jc w:val="center"/>
        </w:trPr>
        <w:tc>
          <w:tcPr>
            <w:tcW w:w="4150"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05"/>
            </w:pPr>
            <w:r>
              <w:rPr>
                <w:rFonts w:hint="eastAsia" w:ascii="宋体" w:hAnsi="宋体" w:eastAsia="宋体" w:cs="宋体"/>
                <w:color w:val="000000"/>
                <w:sz w:val="20"/>
                <w:szCs w:val="20"/>
              </w:rPr>
              <w:t>四、结转下年度继续办理</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bl>
    <w:p>
      <w:pPr>
        <w:pStyle w:val="2"/>
        <w:keepNext w:val="0"/>
        <w:keepLines w:val="0"/>
        <w:widowControl/>
        <w:suppressLineNumbers w:val="0"/>
        <w:spacing w:line="26" w:lineRule="atLeast"/>
        <w:ind w:right="0"/>
        <w:jc w:val="left"/>
      </w:pPr>
      <w:r>
        <w:rPr>
          <w:rFonts w:hint="eastAsia" w:ascii="黑体" w:hAnsi="宋体" w:eastAsia="黑体" w:cs="黑体"/>
          <w:sz w:val="32"/>
          <w:szCs w:val="32"/>
        </w:rPr>
        <w:t> 四、政府信息公开行政复议、行政诉讼情况</w:t>
      </w:r>
    </w:p>
    <w:tbl>
      <w:tblPr>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行政复议</w:t>
            </w:r>
          </w:p>
        </w:tc>
        <w:tc>
          <w:tcPr>
            <w:tcW w:w="614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w:t>
            </w:r>
          </w:p>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维持</w:t>
            </w:r>
          </w:p>
        </w:tc>
        <w:tc>
          <w:tcPr>
            <w:tcW w:w="6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1" w:right="0" w:hanging="1"/>
              <w:jc w:val="center"/>
            </w:pPr>
            <w:r>
              <w:rPr>
                <w:rFonts w:hint="eastAsia" w:ascii="宋体" w:hAnsi="宋体" w:eastAsia="宋体" w:cs="宋体"/>
                <w:sz w:val="24"/>
                <w:szCs w:val="24"/>
              </w:rPr>
              <w:t>结果纠正</w:t>
            </w:r>
          </w:p>
        </w:tc>
        <w:tc>
          <w:tcPr>
            <w:tcW w:w="61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其他结果</w:t>
            </w:r>
          </w:p>
        </w:tc>
        <w:tc>
          <w:tcPr>
            <w:tcW w:w="61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尚未</w:t>
            </w:r>
          </w:p>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审结</w:t>
            </w:r>
          </w:p>
        </w:tc>
        <w:tc>
          <w:tcPr>
            <w:tcW w:w="67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总</w:t>
            </w:r>
          </w:p>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计</w:t>
            </w:r>
          </w:p>
        </w:tc>
        <w:tc>
          <w:tcPr>
            <w:tcW w:w="304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未经复议直接起诉</w:t>
            </w:r>
          </w:p>
        </w:tc>
        <w:tc>
          <w:tcPr>
            <w:tcW w:w="3103"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7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结果维持</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结果纠正</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w:t>
            </w:r>
          </w:p>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尚未</w:t>
            </w:r>
          </w:p>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审结</w:t>
            </w:r>
          </w:p>
        </w:tc>
        <w:tc>
          <w:tcPr>
            <w:tcW w:w="6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总计</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结果维持</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w:t>
            </w:r>
          </w:p>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纠正</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1" w:right="0" w:hanging="1"/>
              <w:jc w:val="center"/>
            </w:pPr>
            <w:r>
              <w:rPr>
                <w:rFonts w:hint="eastAsia" w:ascii="宋体" w:hAnsi="宋体" w:eastAsia="宋体" w:cs="宋体"/>
                <w:color w:val="000000"/>
                <w:sz w:val="24"/>
                <w:szCs w:val="24"/>
              </w:rPr>
              <w:t>其他</w:t>
            </w:r>
          </w:p>
          <w:p>
            <w:pPr>
              <w:pStyle w:val="2"/>
              <w:keepNext w:val="0"/>
              <w:keepLines w:val="0"/>
              <w:widowControl/>
              <w:suppressLineNumbers w:val="0"/>
              <w:autoSpaceDE w:val="0"/>
              <w:autoSpaceDN/>
              <w:spacing w:line="540" w:lineRule="atLeast"/>
              <w:ind w:left="1" w:right="0" w:hanging="1"/>
              <w:jc w:val="center"/>
            </w:pPr>
            <w:r>
              <w:rPr>
                <w:rFonts w:hint="eastAsia" w:ascii="宋体" w:hAnsi="宋体" w:eastAsia="宋体" w:cs="宋体"/>
                <w:color w:val="000000"/>
                <w:sz w:val="24"/>
                <w:szCs w:val="24"/>
              </w:rPr>
              <w:t>结果</w:t>
            </w:r>
          </w:p>
        </w:tc>
        <w:tc>
          <w:tcPr>
            <w:tcW w:w="6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2" w:right="0" w:hanging="2"/>
              <w:jc w:val="center"/>
            </w:pPr>
            <w:r>
              <w:rPr>
                <w:rFonts w:hint="eastAsia" w:ascii="宋体" w:hAnsi="宋体" w:eastAsia="宋体" w:cs="宋体"/>
                <w:sz w:val="24"/>
                <w:szCs w:val="24"/>
              </w:rPr>
              <w:t>尚未审结</w:t>
            </w:r>
          </w:p>
        </w:tc>
        <w:tc>
          <w:tcPr>
            <w:tcW w:w="62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ascii="Calibri" w:hAnsi="Calibri" w:cs="Calibri"/>
                <w:sz w:val="24"/>
                <w:szCs w:val="24"/>
              </w:rPr>
              <w:t>0</w:t>
            </w:r>
          </w:p>
        </w:tc>
        <w:tc>
          <w:tcPr>
            <w:tcW w:w="6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default" w:ascii="Calibri" w:hAnsi="Calibri" w:cs="Calibri"/>
                <w:sz w:val="24"/>
                <w:szCs w:val="24"/>
              </w:rPr>
              <w:t>0</w:t>
            </w:r>
          </w:p>
        </w:tc>
        <w:tc>
          <w:tcPr>
            <w:tcW w:w="6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default" w:ascii="Calibri" w:hAnsi="Calibri" w:cs="Calibri"/>
                <w:sz w:val="24"/>
                <w:szCs w:val="24"/>
              </w:rPr>
              <w:t>0</w:t>
            </w:r>
          </w:p>
        </w:tc>
        <w:tc>
          <w:tcPr>
            <w:tcW w:w="6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default" w:ascii="Calibri" w:hAnsi="Calibri" w:cs="Calibri"/>
                <w:sz w:val="24"/>
                <w:szCs w:val="24"/>
              </w:rPr>
              <w:t>0</w:t>
            </w:r>
          </w:p>
        </w:tc>
        <w:tc>
          <w:tcPr>
            <w:tcW w:w="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default" w:ascii="Calibri" w:hAnsi="Calibri" w:cs="Calibri"/>
                <w:sz w:val="24"/>
                <w:szCs w:val="24"/>
              </w:rPr>
              <w:t>0</w:t>
            </w:r>
          </w:p>
        </w:tc>
        <w:tc>
          <w:tcPr>
            <w:tcW w:w="5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0</w:t>
            </w:r>
          </w:p>
        </w:tc>
        <w:tc>
          <w:tcPr>
            <w:tcW w:w="6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bl>
    <w:p>
      <w:pPr>
        <w:pStyle w:val="2"/>
        <w:keepNext w:val="0"/>
        <w:keepLines w:val="0"/>
        <w:widowControl/>
        <w:suppressLineNumbers w:val="0"/>
        <w:spacing w:line="26" w:lineRule="atLeast"/>
        <w:ind w:left="0" w:right="0"/>
        <w:jc w:val="both"/>
      </w:pPr>
      <w:r>
        <w:rPr>
          <w:rFonts w:hint="eastAsia" w:ascii="黑体" w:hAnsi="宋体" w:eastAsia="黑体" w:cs="黑体"/>
          <w:sz w:val="32"/>
          <w:szCs w:val="32"/>
        </w:rPr>
        <w:t>五、存在的主要问题及改进情况</w:t>
      </w:r>
    </w:p>
    <w:p>
      <w:pPr>
        <w:pStyle w:val="2"/>
        <w:keepNext w:val="0"/>
        <w:keepLines w:val="0"/>
        <w:widowControl/>
        <w:suppressLineNumbers w:val="0"/>
        <w:spacing w:line="26" w:lineRule="atLeast"/>
        <w:ind w:left="0" w:right="0" w:firstLine="640"/>
        <w:jc w:val="both"/>
      </w:pPr>
      <w:r>
        <w:rPr>
          <w:rFonts w:hint="eastAsia" w:ascii="仿宋_GB2312" w:eastAsia="仿宋_GB2312" w:cs="仿宋_GB2312"/>
          <w:sz w:val="32"/>
          <w:szCs w:val="32"/>
        </w:rPr>
        <w:t>一是重点领域政府信息公开内容太过单一，不全面、不具体；二是各科室工作人员对政府公开工作意识不强，认识需进一步提高。下一步沂源分局高度重视政务公开工作，加强对工作人员政务公开学习培训，提高对政务公开工作意识，与各科室加强沟通交流，确保信息的及时、准确、全面；通过增加公开形式等丰富政府信息公开渠道，使公开内容丰富化、创新化。</w:t>
      </w:r>
    </w:p>
    <w:p>
      <w:pPr>
        <w:pStyle w:val="2"/>
        <w:keepNext w:val="0"/>
        <w:keepLines w:val="0"/>
        <w:widowControl/>
        <w:suppressLineNumbers w:val="0"/>
        <w:spacing w:line="26" w:lineRule="atLeast"/>
        <w:ind w:left="0" w:right="0"/>
        <w:jc w:val="both"/>
      </w:pPr>
      <w:r>
        <w:rPr>
          <w:rFonts w:hint="eastAsia" w:ascii="黑体" w:hAnsi="宋体" w:eastAsia="黑体" w:cs="黑体"/>
          <w:sz w:val="32"/>
          <w:szCs w:val="32"/>
        </w:rPr>
        <w:t>六、其他需要报告的事项</w:t>
      </w:r>
    </w:p>
    <w:p>
      <w:pPr>
        <w:pStyle w:val="2"/>
        <w:keepNext w:val="0"/>
        <w:keepLines w:val="0"/>
        <w:widowControl/>
        <w:suppressLineNumbers w:val="0"/>
        <w:spacing w:line="26" w:lineRule="atLeast"/>
        <w:ind w:left="0" w:right="0" w:firstLine="320"/>
        <w:jc w:val="both"/>
      </w:pPr>
      <w:r>
        <w:rPr>
          <w:rFonts w:hint="eastAsia" w:ascii="楷体_GB2312" w:eastAsia="楷体_GB2312" w:cs="楷体_GB2312"/>
          <w:sz w:val="32"/>
          <w:szCs w:val="32"/>
        </w:rPr>
        <w:t>（一）收取信息处理费情况</w:t>
      </w:r>
    </w:p>
    <w:p>
      <w:pPr>
        <w:pStyle w:val="2"/>
        <w:keepNext w:val="0"/>
        <w:keepLines w:val="0"/>
        <w:widowControl/>
        <w:suppressLineNumbers w:val="0"/>
        <w:spacing w:line="26" w:lineRule="atLeast"/>
        <w:ind w:left="0" w:firstLine="640"/>
      </w:pPr>
      <w:r>
        <w:rPr>
          <w:rFonts w:hint="eastAsia" w:ascii="仿宋_GB2312" w:eastAsia="仿宋_GB2312" w:cs="仿宋_GB2312"/>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2"/>
        <w:keepNext w:val="0"/>
        <w:keepLines w:val="0"/>
        <w:widowControl/>
        <w:suppressLineNumbers w:val="0"/>
        <w:spacing w:before="0" w:beforeAutospacing="0" w:after="0" w:afterAutospacing="0" w:line="26" w:lineRule="atLeast"/>
        <w:ind w:left="0" w:right="0" w:firstLine="640"/>
      </w:pPr>
      <w:r>
        <w:rPr>
          <w:rFonts w:hint="eastAsia" w:ascii="仿宋_GB2312" w:eastAsia="仿宋_GB2312" w:cs="仿宋_GB2312"/>
          <w:sz w:val="32"/>
          <w:szCs w:val="32"/>
        </w:rPr>
        <w:t>（二）</w:t>
      </w:r>
      <w:r>
        <w:rPr>
          <w:rFonts w:hint="eastAsia" w:ascii="楷体_GB2312" w:eastAsia="楷体_GB2312" w:cs="楷体_GB2312"/>
          <w:sz w:val="32"/>
          <w:szCs w:val="32"/>
        </w:rPr>
        <w:t>落实上年度政务公开工作要点情况</w:t>
      </w:r>
    </w:p>
    <w:p>
      <w:pPr>
        <w:pStyle w:val="2"/>
        <w:keepNext w:val="0"/>
        <w:keepLines w:val="0"/>
        <w:widowControl/>
        <w:suppressLineNumbers w:val="0"/>
        <w:spacing w:before="0" w:beforeAutospacing="0" w:after="0" w:afterAutospacing="0" w:line="26" w:lineRule="atLeast"/>
        <w:ind w:left="0" w:right="0" w:firstLine="640"/>
      </w:pPr>
      <w:r>
        <w:rPr>
          <w:rFonts w:hint="eastAsia" w:ascii="仿宋_GB2312" w:eastAsia="仿宋_GB2312" w:cs="仿宋_GB2312"/>
          <w:sz w:val="32"/>
          <w:szCs w:val="32"/>
        </w:rPr>
        <w:t>2022年，市医保局沂源分局按照《2021年沂源县政务公开工作要点》（源政办字〔2021〕21号）相关要求，严格按照《政务公开工作计划》的范围和内容，主动公开政务信息，针对公开内容的不同情况，确定公开时间，做到常规性工作定期公开，临时性工作随时公开，固定性工作长期公开，每月向政务公开在行动平台投稿最少2篇。</w:t>
      </w:r>
    </w:p>
    <w:p>
      <w:pPr>
        <w:pStyle w:val="2"/>
        <w:keepNext w:val="0"/>
        <w:keepLines w:val="0"/>
        <w:widowControl/>
        <w:suppressLineNumbers w:val="0"/>
        <w:spacing w:line="26" w:lineRule="atLeast"/>
        <w:ind w:left="0" w:right="0" w:firstLine="640"/>
        <w:jc w:val="left"/>
      </w:pPr>
      <w:r>
        <w:rPr>
          <w:rFonts w:hint="eastAsia" w:ascii="楷体_GB2312" w:eastAsia="楷体_GB2312" w:cs="楷体_GB2312"/>
          <w:sz w:val="32"/>
          <w:szCs w:val="32"/>
        </w:rPr>
        <w:t>（三）人大代表建议和政协提案办理结果公开情况</w:t>
      </w:r>
    </w:p>
    <w:p>
      <w:pPr>
        <w:pStyle w:val="2"/>
        <w:keepNext w:val="0"/>
        <w:keepLines w:val="0"/>
        <w:widowControl/>
        <w:suppressLineNumbers w:val="0"/>
        <w:spacing w:line="26" w:lineRule="atLeast"/>
        <w:ind w:left="0" w:right="0" w:firstLine="640"/>
        <w:jc w:val="left"/>
      </w:pPr>
      <w:r>
        <w:rPr>
          <w:rFonts w:hint="default" w:ascii="Times New Roman" w:hAnsi="Times New Roman" w:cs="Times New Roman"/>
          <w:color w:val="000000"/>
          <w:sz w:val="32"/>
          <w:szCs w:val="32"/>
        </w:rPr>
        <w:t>202</w:t>
      </w:r>
      <w:r>
        <w:rPr>
          <w:rFonts w:hint="default" w:ascii="Times New Roman" w:hAnsi="Times New Roman" w:eastAsia="仿宋_GB2312" w:cs="Times New Roman"/>
          <w:color w:val="000000"/>
          <w:sz w:val="32"/>
          <w:szCs w:val="32"/>
        </w:rPr>
        <w:t>2</w:t>
      </w:r>
      <w:r>
        <w:rPr>
          <w:rFonts w:hint="eastAsia" w:ascii="仿宋_GB2312" w:eastAsia="仿宋_GB2312" w:cs="仿宋_GB2312"/>
          <w:sz w:val="32"/>
          <w:szCs w:val="32"/>
        </w:rPr>
        <w:t>年度，淄博市医疗保障局沂源分局完成“县十九届人大一次会议代表第51号建议”和“县政协十一届一次会议委员第44号提案”的答复，并将办理结果进行公开。</w:t>
      </w:r>
    </w:p>
    <w:p>
      <w:pPr>
        <w:pStyle w:val="2"/>
        <w:keepNext w:val="0"/>
        <w:keepLines w:val="0"/>
        <w:widowControl/>
        <w:suppressLineNumbers w:val="0"/>
        <w:spacing w:line="26" w:lineRule="atLeast"/>
        <w:ind w:left="0" w:right="0" w:firstLine="640"/>
        <w:jc w:val="left"/>
      </w:pPr>
      <w:r>
        <w:rPr>
          <w:rFonts w:hint="eastAsia" w:ascii="楷体_GB2312" w:eastAsia="楷体_GB2312" w:cs="楷体_GB2312"/>
          <w:sz w:val="32"/>
          <w:szCs w:val="32"/>
        </w:rPr>
        <w:t>（四）创新举措及相关情况</w:t>
      </w:r>
    </w:p>
    <w:p>
      <w:pPr>
        <w:pStyle w:val="2"/>
        <w:keepNext w:val="0"/>
        <w:keepLines w:val="0"/>
        <w:widowControl/>
        <w:suppressLineNumbers w:val="0"/>
        <w:spacing w:line="26" w:lineRule="atLeast"/>
        <w:ind w:left="0" w:right="0" w:firstLine="640"/>
      </w:pPr>
      <w:r>
        <w:rPr>
          <w:rFonts w:hint="eastAsia" w:ascii="仿宋_GB2312" w:eastAsia="仿宋_GB2312" w:cs="仿宋_GB2312"/>
          <w:sz w:val="32"/>
          <w:szCs w:val="32"/>
          <w:shd w:val="clear" w:fill="FFFFFF"/>
        </w:rPr>
        <w:t>1、将重点民生实事与政务公开紧密结合。围绕市医疗保障局沂源分局关注的民生热点，及时发布医疗保险、医疗救助等医保政策文件，按月公布医疗救助救助情况，按季度发布职工和居民医疗保险的参保情况，让群众了解最新医保政策和民生工作进展。</w:t>
      </w:r>
    </w:p>
    <w:p>
      <w:pPr>
        <w:pStyle w:val="2"/>
        <w:keepNext w:val="0"/>
        <w:keepLines w:val="0"/>
        <w:widowControl/>
        <w:suppressLineNumbers w:val="0"/>
        <w:spacing w:line="26" w:lineRule="atLeast"/>
        <w:ind w:left="0" w:right="0" w:firstLine="640"/>
      </w:pPr>
      <w:r>
        <w:rPr>
          <w:rFonts w:hint="eastAsia" w:ascii="仿宋_GB2312" w:eastAsia="仿宋_GB2312" w:cs="仿宋_GB2312"/>
          <w:sz w:val="32"/>
          <w:szCs w:val="32"/>
          <w:shd w:val="clear" w:fill="FFFFFF"/>
        </w:rPr>
        <w:t>2、医保政策文件解读形式多样化，通过图片、音频、视频、图画、领导人解读让人民群众真正的“看得见”、“听得懂”、“信得过”，拍摄“青年学思行建功新时代”“共筑医保基金防护线｜看不见的劳动关系”“‘硬核马书记’喊话齐惠保 村民都说好”民生大小事“沂心沂意”办——2022年品质民生看变化之民“声”在线（“沂”起话民生之医保政策解读）等视频。</w:t>
      </w:r>
    </w:p>
    <w:p>
      <w:pPr>
        <w:pStyle w:val="2"/>
        <w:keepNext w:val="0"/>
        <w:keepLines w:val="0"/>
        <w:widowControl/>
        <w:suppressLineNumbers w:val="0"/>
        <w:spacing w:line="26" w:lineRule="atLeast"/>
        <w:ind w:left="0" w:right="0" w:firstLine="640"/>
        <w:jc w:val="left"/>
      </w:pPr>
      <w:r>
        <w:rPr>
          <w:rFonts w:hint="eastAsia" w:ascii="楷体_GB2312" w:eastAsia="楷体_GB2312" w:cs="楷体_GB2312"/>
          <w:sz w:val="32"/>
          <w:szCs w:val="32"/>
        </w:rPr>
        <w:t>（五）其他事项及相关情况</w:t>
      </w:r>
    </w:p>
    <w:p>
      <w:pPr>
        <w:pStyle w:val="2"/>
        <w:keepNext w:val="0"/>
        <w:keepLines w:val="0"/>
        <w:widowControl/>
        <w:suppressLineNumbers w:val="0"/>
        <w:spacing w:line="26" w:lineRule="atLeast"/>
        <w:ind w:left="0" w:right="0" w:firstLine="640"/>
        <w:jc w:val="left"/>
      </w:pPr>
      <w:r>
        <w:rPr>
          <w:rFonts w:hint="eastAsia" w:ascii="楷体_GB2312" w:eastAsia="楷体_GB2312" w:cs="楷体_GB2312"/>
          <w:sz w:val="32"/>
          <w:szCs w:val="32"/>
        </w:rPr>
        <w:t>无。</w:t>
      </w:r>
      <w:r>
        <w:rPr>
          <w:rFonts w:hint="default" w:ascii="Calibri" w:hAnsi="Calibri" w:eastAsia="楷体_GB2312" w:cs="Calibri"/>
          <w:sz w:val="32"/>
          <w:szCs w:val="32"/>
        </w:rPr>
        <w:t>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2566372"/>
    <w:rsid w:val="12FA626F"/>
    <w:rsid w:val="14925042"/>
    <w:rsid w:val="1BD6405F"/>
    <w:rsid w:val="1F801F5C"/>
    <w:rsid w:val="435E6FA9"/>
    <w:rsid w:val="5B1C0615"/>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2023-11-17T09:05:56Z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