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val="0"/>
        <w:bidi w:val="0"/>
        <w:adjustRightInd/>
        <w:snapToGrid/>
        <w:spacing w:line="560" w:lineRule="exact"/>
        <w:ind w:left="0"/>
        <w:jc w:val="center"/>
        <w:textAlignment w:val="auto"/>
        <w:rPr>
          <w:rFonts w:hint="eastAsia" w:ascii="方正小标宋简体" w:hAnsi="方正小标宋简体" w:eastAsia="方正小标宋简体" w:cs="方正小标宋简体"/>
          <w:b/>
          <w:bCs/>
          <w:kern w:val="21"/>
          <w:sz w:val="44"/>
          <w:szCs w:val="44"/>
        </w:rPr>
      </w:pPr>
      <w:r>
        <w:rPr>
          <w:rFonts w:hint="eastAsia" w:ascii="方正小标宋简体" w:hAnsi="方正小标宋简体" w:eastAsia="方正小标宋简体" w:cs="方正小标宋简体"/>
          <w:b/>
          <w:bCs/>
          <w:kern w:val="21"/>
          <w:sz w:val="44"/>
          <w:szCs w:val="44"/>
        </w:rPr>
        <w:t>沂源县应急管理局</w:t>
      </w:r>
    </w:p>
    <w:p>
      <w:pPr>
        <w:keepNext w:val="0"/>
        <w:keepLines w:val="0"/>
        <w:pageBreakBefore w:val="0"/>
        <w:kinsoku/>
        <w:wordWrap/>
        <w:overflowPunct/>
        <w:topLinePunct w:val="0"/>
        <w:autoSpaceDE w:val="0"/>
        <w:autoSpaceDN w:val="0"/>
        <w:bidi w:val="0"/>
        <w:adjustRightInd/>
        <w:snapToGrid/>
        <w:spacing w:line="560" w:lineRule="exact"/>
        <w:ind w:left="0"/>
        <w:jc w:val="center"/>
        <w:textAlignment w:val="auto"/>
        <w:rPr>
          <w:rFonts w:hint="eastAsia" w:ascii="方正小标宋简体" w:hAnsi="方正小标宋简体" w:eastAsia="方正小标宋简体" w:cs="方正小标宋简体"/>
          <w:b/>
          <w:bCs/>
          <w:kern w:val="21"/>
          <w:sz w:val="44"/>
          <w:szCs w:val="44"/>
        </w:rPr>
      </w:pPr>
      <w:r>
        <w:rPr>
          <w:rFonts w:hint="eastAsia" w:ascii="方正小标宋简体" w:hAnsi="方正小标宋简体" w:eastAsia="方正小标宋简体" w:cs="方正小标宋简体"/>
          <w:b/>
          <w:bCs/>
          <w:kern w:val="21"/>
          <w:sz w:val="44"/>
          <w:szCs w:val="44"/>
        </w:rPr>
        <w:t>20</w:t>
      </w:r>
      <w:r>
        <w:rPr>
          <w:rFonts w:hint="eastAsia" w:ascii="方正小标宋简体" w:hAnsi="方正小标宋简体" w:eastAsia="方正小标宋简体" w:cs="方正小标宋简体"/>
          <w:b/>
          <w:bCs/>
          <w:kern w:val="21"/>
          <w:sz w:val="44"/>
          <w:szCs w:val="44"/>
          <w:lang w:val="en-US" w:eastAsia="zh-CN"/>
        </w:rPr>
        <w:t>20</w:t>
      </w:r>
      <w:r>
        <w:rPr>
          <w:rFonts w:hint="eastAsia" w:ascii="方正小标宋简体" w:hAnsi="方正小标宋简体" w:eastAsia="方正小标宋简体" w:cs="方正小标宋简体"/>
          <w:b/>
          <w:bCs/>
          <w:kern w:val="21"/>
          <w:sz w:val="44"/>
          <w:szCs w:val="44"/>
        </w:rPr>
        <w:t>年政府信息公开工作年度报告</w:t>
      </w:r>
    </w:p>
    <w:p>
      <w:pPr>
        <w:keepNext w:val="0"/>
        <w:keepLines w:val="0"/>
        <w:pageBreakBefore w:val="0"/>
        <w:kinsoku/>
        <w:wordWrap/>
        <w:overflowPunct/>
        <w:topLinePunct w:val="0"/>
        <w:autoSpaceDE w:val="0"/>
        <w:autoSpaceDN w:val="0"/>
        <w:bidi w:val="0"/>
        <w:adjustRightInd/>
        <w:snapToGrid/>
        <w:spacing w:line="560" w:lineRule="exact"/>
        <w:ind w:left="0"/>
        <w:jc w:val="center"/>
        <w:textAlignment w:val="auto"/>
        <w:rPr>
          <w:rFonts w:hint="eastAsia" w:ascii="方正小标宋简体" w:hAnsi="方正小标宋简体" w:eastAsia="方正小标宋简体" w:cs="方正小标宋简体"/>
          <w:b/>
          <w:bCs/>
          <w:kern w:val="21"/>
          <w:sz w:val="44"/>
          <w:szCs w:val="4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left="0" w:right="0" w:firstLine="643" w:firstLineChars="200"/>
        <w:textAlignment w:val="auto"/>
        <w:rPr>
          <w:rFonts w:ascii="微软雅黑" w:hAnsi="微软雅黑" w:eastAsia="微软雅黑" w:cs="微软雅黑"/>
          <w:i w:val="0"/>
          <w:caps w:val="0"/>
          <w:color w:val="000000"/>
          <w:spacing w:val="0"/>
          <w:kern w:val="21"/>
          <w:sz w:val="32"/>
          <w:szCs w:val="32"/>
        </w:rPr>
      </w:pPr>
      <w:r>
        <w:rPr>
          <w:rStyle w:val="9"/>
          <w:rFonts w:ascii="仿宋" w:hAnsi="仿宋" w:eastAsia="仿宋" w:cs="仿宋"/>
          <w:b/>
          <w:i w:val="0"/>
          <w:caps w:val="0"/>
          <w:color w:val="000000"/>
          <w:spacing w:val="0"/>
          <w:kern w:val="21"/>
          <w:sz w:val="32"/>
          <w:szCs w:val="32"/>
        </w:rPr>
        <w:t>根据新修订的《中华人民共和国</w:t>
      </w:r>
      <w:r>
        <w:rPr>
          <w:rStyle w:val="9"/>
          <w:rFonts w:hint="eastAsia" w:ascii="仿宋" w:hAnsi="仿宋" w:eastAsia="仿宋" w:cs="仿宋"/>
          <w:b/>
          <w:i w:val="0"/>
          <w:caps w:val="0"/>
          <w:color w:val="000000"/>
          <w:spacing w:val="0"/>
          <w:kern w:val="21"/>
          <w:sz w:val="32"/>
          <w:szCs w:val="32"/>
          <w:lang w:eastAsia="zh-CN"/>
        </w:rPr>
        <w:t>政府</w:t>
      </w:r>
      <w:r>
        <w:rPr>
          <w:rStyle w:val="9"/>
          <w:rFonts w:ascii="仿宋" w:hAnsi="仿宋" w:eastAsia="仿宋" w:cs="仿宋"/>
          <w:b/>
          <w:i w:val="0"/>
          <w:caps w:val="0"/>
          <w:color w:val="000000"/>
          <w:spacing w:val="0"/>
          <w:kern w:val="21"/>
          <w:sz w:val="32"/>
          <w:szCs w:val="32"/>
        </w:rPr>
        <w:t>信息公开条例》（以下简称《条例》）</w:t>
      </w:r>
      <w:r>
        <w:rPr>
          <w:rStyle w:val="9"/>
          <w:rFonts w:hint="eastAsia" w:ascii="仿宋" w:hAnsi="仿宋" w:eastAsia="仿宋" w:cs="仿宋"/>
          <w:b/>
          <w:i w:val="0"/>
          <w:caps w:val="0"/>
          <w:color w:val="000000"/>
          <w:spacing w:val="0"/>
          <w:kern w:val="21"/>
          <w:sz w:val="32"/>
          <w:szCs w:val="32"/>
        </w:rPr>
        <w:t>和《山东省政府信息公</w:t>
      </w:r>
      <w:bookmarkStart w:id="0" w:name="_GoBack"/>
      <w:bookmarkEnd w:id="0"/>
      <w:r>
        <w:rPr>
          <w:rStyle w:val="9"/>
          <w:rFonts w:hint="eastAsia" w:ascii="仿宋" w:hAnsi="仿宋" w:eastAsia="仿宋" w:cs="仿宋"/>
          <w:b/>
          <w:i w:val="0"/>
          <w:caps w:val="0"/>
          <w:color w:val="000000"/>
          <w:spacing w:val="0"/>
          <w:kern w:val="21"/>
          <w:sz w:val="32"/>
          <w:szCs w:val="32"/>
        </w:rPr>
        <w:t>开办法》（以下简称《办法》）规定和有关文件要求，特向社会公布</w:t>
      </w:r>
      <w:r>
        <w:rPr>
          <w:rStyle w:val="9"/>
          <w:rFonts w:hint="eastAsia" w:ascii="仿宋" w:hAnsi="仿宋" w:eastAsia="仿宋" w:cs="仿宋"/>
          <w:b/>
          <w:i w:val="0"/>
          <w:caps w:val="0"/>
          <w:color w:val="000000"/>
          <w:spacing w:val="0"/>
          <w:kern w:val="21"/>
          <w:sz w:val="32"/>
          <w:szCs w:val="32"/>
          <w:lang w:val="en-US" w:eastAsia="zh-CN"/>
        </w:rPr>
        <w:t>2020</w:t>
      </w:r>
      <w:r>
        <w:rPr>
          <w:rStyle w:val="9"/>
          <w:rFonts w:hint="eastAsia" w:ascii="仿宋" w:hAnsi="仿宋" w:eastAsia="仿宋" w:cs="仿宋"/>
          <w:b/>
          <w:i w:val="0"/>
          <w:caps w:val="0"/>
          <w:color w:val="000000"/>
          <w:spacing w:val="0"/>
          <w:kern w:val="21"/>
          <w:sz w:val="32"/>
          <w:szCs w:val="32"/>
        </w:rPr>
        <w:t>年度沂源县应急管理局政府信息公开工作年度报告。如对本年报有任何疑问，请与沂源县应急管理局办公室联系（地址：沂源县瑞阳路与新城路交叉路口阳光商务中心704应急局办公室，邮编：256100，电话：0533-3259971）。</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right="0" w:firstLine="643" w:firstLineChars="200"/>
        <w:textAlignment w:val="auto"/>
        <w:rPr>
          <w:rFonts w:hint="eastAsia" w:ascii="微软雅黑" w:hAnsi="微软雅黑" w:eastAsia="微软雅黑" w:cs="微软雅黑"/>
          <w:i w:val="0"/>
          <w:caps w:val="0"/>
          <w:color w:val="000000"/>
          <w:spacing w:val="0"/>
          <w:kern w:val="21"/>
          <w:sz w:val="32"/>
          <w:szCs w:val="32"/>
        </w:rPr>
      </w:pPr>
      <w:r>
        <w:rPr>
          <w:rStyle w:val="9"/>
          <w:rFonts w:ascii="黑体" w:hAnsi="宋体" w:eastAsia="黑体" w:cs="黑体"/>
          <w:b/>
          <w:i w:val="0"/>
          <w:caps w:val="0"/>
          <w:color w:val="000000"/>
          <w:spacing w:val="0"/>
          <w:kern w:val="21"/>
          <w:sz w:val="32"/>
          <w:szCs w:val="32"/>
        </w:rPr>
        <w:t>一、总体情况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left="0" w:right="0" w:firstLine="0" w:firstLineChars="0"/>
        <w:textAlignment w:val="auto"/>
        <w:rPr>
          <w:rFonts w:hint="eastAsia" w:ascii="微软雅黑" w:hAnsi="微软雅黑" w:eastAsia="微软雅黑" w:cs="微软雅黑"/>
          <w:i w:val="0"/>
          <w:caps w:val="0"/>
          <w:color w:val="000000"/>
          <w:spacing w:val="0"/>
          <w:kern w:val="21"/>
          <w:sz w:val="32"/>
          <w:szCs w:val="32"/>
        </w:rPr>
      </w:pPr>
      <w:r>
        <w:rPr>
          <w:rStyle w:val="9"/>
          <w:rFonts w:hint="eastAsia" w:ascii="仿宋" w:hAnsi="仿宋" w:eastAsia="仿宋" w:cs="仿宋"/>
          <w:b/>
          <w:i w:val="0"/>
          <w:caps w:val="0"/>
          <w:color w:val="000000"/>
          <w:spacing w:val="0"/>
          <w:kern w:val="21"/>
          <w:sz w:val="32"/>
          <w:szCs w:val="32"/>
        </w:rPr>
        <w:t> </w:t>
      </w:r>
      <w:r>
        <w:rPr>
          <w:rStyle w:val="9"/>
          <w:rFonts w:hint="eastAsia" w:ascii="仿宋" w:hAnsi="仿宋" w:eastAsia="仿宋" w:cs="仿宋"/>
          <w:b/>
          <w:i w:val="0"/>
          <w:caps w:val="0"/>
          <w:color w:val="000000"/>
          <w:spacing w:val="0"/>
          <w:kern w:val="21"/>
          <w:sz w:val="32"/>
          <w:szCs w:val="32"/>
          <w:lang w:val="en-US" w:eastAsia="zh-CN"/>
        </w:rPr>
        <w:t xml:space="preserve">    2020</w:t>
      </w:r>
      <w:r>
        <w:rPr>
          <w:rStyle w:val="9"/>
          <w:rFonts w:hint="eastAsia" w:ascii="仿宋" w:hAnsi="仿宋" w:eastAsia="仿宋" w:cs="仿宋"/>
          <w:b/>
          <w:i w:val="0"/>
          <w:caps w:val="0"/>
          <w:color w:val="000000"/>
          <w:spacing w:val="0"/>
          <w:kern w:val="21"/>
          <w:sz w:val="32"/>
          <w:szCs w:val="32"/>
        </w:rPr>
        <w:t>年，沂源县应急管理局坚持以习近平新时代中国特色社会主义思想为指导，立足安全生产、应急救援、防灾减灾工作实际，及时、准确地向社会公开政府信息，保障公民知情权，参与权和监督权，把推进政府信息公开与转变政府职能、规范权力运行、促进依法行政紧密结合起来，政府信息公开工作稳步推进，取得了良好效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left="0" w:right="0" w:firstLine="0" w:firstLineChars="0"/>
        <w:textAlignment w:val="auto"/>
        <w:rPr>
          <w:rFonts w:hint="eastAsia" w:ascii="微软雅黑" w:hAnsi="微软雅黑" w:eastAsia="微软雅黑" w:cs="微软雅黑"/>
          <w:i w:val="0"/>
          <w:caps w:val="0"/>
          <w:color w:val="auto"/>
          <w:spacing w:val="0"/>
          <w:kern w:val="21"/>
          <w:sz w:val="32"/>
          <w:szCs w:val="32"/>
        </w:rPr>
      </w:pPr>
      <w:r>
        <w:rPr>
          <w:rStyle w:val="9"/>
          <w:rFonts w:hint="eastAsia" w:ascii="仿宋" w:hAnsi="仿宋" w:eastAsia="仿宋" w:cs="仿宋"/>
          <w:b/>
          <w:i w:val="0"/>
          <w:caps w:val="0"/>
          <w:color w:val="000000"/>
          <w:spacing w:val="0"/>
          <w:kern w:val="21"/>
          <w:sz w:val="32"/>
          <w:szCs w:val="32"/>
        </w:rPr>
        <w:t>    （一）主动公开内容。</w:t>
      </w:r>
      <w:r>
        <w:rPr>
          <w:rStyle w:val="9"/>
          <w:rFonts w:hint="eastAsia" w:ascii="仿宋" w:hAnsi="仿宋" w:eastAsia="仿宋" w:cs="仿宋"/>
          <w:b/>
          <w:i w:val="0"/>
          <w:caps w:val="0"/>
          <w:color w:val="000000"/>
          <w:spacing w:val="0"/>
          <w:kern w:val="21"/>
          <w:sz w:val="32"/>
          <w:szCs w:val="32"/>
          <w:lang w:val="en-US" w:eastAsia="zh-CN"/>
        </w:rPr>
        <w:t>2020</w:t>
      </w:r>
      <w:r>
        <w:rPr>
          <w:rStyle w:val="9"/>
          <w:rFonts w:hint="eastAsia" w:ascii="仿宋" w:hAnsi="仿宋" w:eastAsia="仿宋" w:cs="仿宋"/>
          <w:b/>
          <w:i w:val="0"/>
          <w:caps w:val="0"/>
          <w:color w:val="000000"/>
          <w:spacing w:val="0"/>
          <w:kern w:val="21"/>
          <w:sz w:val="32"/>
          <w:szCs w:val="32"/>
        </w:rPr>
        <w:t>年度，主动公开行政许可类信息</w:t>
      </w:r>
      <w:r>
        <w:rPr>
          <w:rStyle w:val="9"/>
          <w:rFonts w:hint="eastAsia" w:ascii="仿宋" w:hAnsi="仿宋" w:eastAsia="仿宋" w:cs="仿宋"/>
          <w:b/>
          <w:i w:val="0"/>
          <w:caps w:val="0"/>
          <w:color w:val="000000"/>
          <w:spacing w:val="0"/>
          <w:kern w:val="21"/>
          <w:sz w:val="32"/>
          <w:szCs w:val="32"/>
          <w:lang w:val="en-US" w:eastAsia="zh-CN"/>
        </w:rPr>
        <w:t>151</w:t>
      </w:r>
      <w:r>
        <w:rPr>
          <w:rStyle w:val="9"/>
          <w:rFonts w:hint="eastAsia" w:ascii="仿宋" w:hAnsi="仿宋" w:eastAsia="仿宋" w:cs="仿宋"/>
          <w:b/>
          <w:i w:val="0"/>
          <w:caps w:val="0"/>
          <w:color w:val="000000"/>
          <w:spacing w:val="0"/>
          <w:kern w:val="21"/>
          <w:sz w:val="32"/>
          <w:szCs w:val="32"/>
        </w:rPr>
        <w:t>条，行政处罚类信息</w:t>
      </w:r>
      <w:r>
        <w:rPr>
          <w:rStyle w:val="9"/>
          <w:rFonts w:hint="eastAsia" w:ascii="仿宋" w:hAnsi="仿宋" w:eastAsia="仿宋" w:cs="仿宋"/>
          <w:b/>
          <w:i w:val="0"/>
          <w:caps w:val="0"/>
          <w:color w:val="000000"/>
          <w:spacing w:val="0"/>
          <w:kern w:val="21"/>
          <w:sz w:val="32"/>
          <w:szCs w:val="32"/>
          <w:lang w:val="en-US" w:eastAsia="zh-CN"/>
        </w:rPr>
        <w:t>31</w:t>
      </w:r>
      <w:r>
        <w:rPr>
          <w:rStyle w:val="9"/>
          <w:rFonts w:hint="eastAsia" w:ascii="仿宋" w:hAnsi="仿宋" w:eastAsia="仿宋" w:cs="仿宋"/>
          <w:b/>
          <w:i w:val="0"/>
          <w:caps w:val="0"/>
          <w:color w:val="000000"/>
          <w:spacing w:val="0"/>
          <w:kern w:val="21"/>
          <w:sz w:val="32"/>
          <w:szCs w:val="32"/>
        </w:rPr>
        <w:t>条，</w:t>
      </w:r>
      <w:r>
        <w:rPr>
          <w:rStyle w:val="9"/>
          <w:rFonts w:hint="eastAsia" w:ascii="仿宋" w:hAnsi="仿宋" w:eastAsia="仿宋" w:cs="仿宋"/>
          <w:b/>
          <w:i w:val="0"/>
          <w:caps w:val="0"/>
          <w:color w:val="000000"/>
          <w:spacing w:val="0"/>
          <w:kern w:val="21"/>
          <w:sz w:val="32"/>
          <w:szCs w:val="32"/>
          <w:lang w:eastAsia="zh-CN"/>
        </w:rPr>
        <w:t>政</w:t>
      </w:r>
      <w:r>
        <w:rPr>
          <w:rStyle w:val="9"/>
          <w:rFonts w:hint="eastAsia" w:ascii="仿宋" w:hAnsi="仿宋" w:eastAsia="仿宋" w:cs="仿宋"/>
          <w:b/>
          <w:i w:val="0"/>
          <w:caps w:val="0"/>
          <w:color w:val="auto"/>
          <w:spacing w:val="0"/>
          <w:kern w:val="21"/>
          <w:sz w:val="32"/>
          <w:szCs w:val="32"/>
          <w:lang w:eastAsia="zh-CN"/>
        </w:rPr>
        <w:t>策文件类</w:t>
      </w:r>
      <w:r>
        <w:rPr>
          <w:rStyle w:val="9"/>
          <w:rFonts w:hint="eastAsia" w:ascii="仿宋" w:hAnsi="仿宋" w:eastAsia="仿宋" w:cs="仿宋"/>
          <w:b/>
          <w:i w:val="0"/>
          <w:caps w:val="0"/>
          <w:color w:val="auto"/>
          <w:spacing w:val="0"/>
          <w:kern w:val="21"/>
          <w:sz w:val="32"/>
          <w:szCs w:val="32"/>
          <w:lang w:val="en-US" w:eastAsia="zh-CN"/>
        </w:rPr>
        <w:t>46个</w:t>
      </w:r>
      <w:r>
        <w:rPr>
          <w:rStyle w:val="9"/>
          <w:rFonts w:hint="eastAsia" w:ascii="仿宋" w:hAnsi="仿宋" w:eastAsia="仿宋" w:cs="仿宋"/>
          <w:b/>
          <w:i w:val="0"/>
          <w:caps w:val="0"/>
          <w:color w:val="auto"/>
          <w:spacing w:val="0"/>
          <w:kern w:val="21"/>
          <w:sz w:val="32"/>
          <w:szCs w:val="32"/>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left="0" w:right="0" w:firstLine="0" w:firstLineChars="0"/>
        <w:textAlignment w:val="auto"/>
        <w:rPr>
          <w:rFonts w:hint="eastAsia" w:ascii="微软雅黑" w:hAnsi="微软雅黑" w:eastAsia="微软雅黑" w:cs="微软雅黑"/>
          <w:i w:val="0"/>
          <w:caps w:val="0"/>
          <w:color w:val="000000"/>
          <w:spacing w:val="0"/>
          <w:kern w:val="21"/>
          <w:sz w:val="32"/>
          <w:szCs w:val="32"/>
        </w:rPr>
      </w:pPr>
      <w:r>
        <w:rPr>
          <w:rStyle w:val="9"/>
          <w:rFonts w:hint="eastAsia" w:ascii="仿宋" w:hAnsi="仿宋" w:eastAsia="仿宋" w:cs="仿宋"/>
          <w:b/>
          <w:i w:val="0"/>
          <w:caps w:val="0"/>
          <w:color w:val="000000"/>
          <w:spacing w:val="0"/>
          <w:kern w:val="21"/>
          <w:sz w:val="32"/>
          <w:szCs w:val="32"/>
        </w:rPr>
        <w:t>    （二）依申请公开情况。20</w:t>
      </w:r>
      <w:r>
        <w:rPr>
          <w:rStyle w:val="9"/>
          <w:rFonts w:hint="eastAsia" w:ascii="仿宋" w:hAnsi="仿宋" w:eastAsia="仿宋" w:cs="仿宋"/>
          <w:b/>
          <w:i w:val="0"/>
          <w:caps w:val="0"/>
          <w:color w:val="000000"/>
          <w:spacing w:val="0"/>
          <w:kern w:val="21"/>
          <w:sz w:val="32"/>
          <w:szCs w:val="32"/>
          <w:lang w:val="en-US" w:eastAsia="zh-CN"/>
        </w:rPr>
        <w:t>20</w:t>
      </w:r>
      <w:r>
        <w:rPr>
          <w:rStyle w:val="9"/>
          <w:rFonts w:hint="eastAsia" w:ascii="仿宋" w:hAnsi="仿宋" w:eastAsia="仿宋" w:cs="仿宋"/>
          <w:b/>
          <w:i w:val="0"/>
          <w:caps w:val="0"/>
          <w:color w:val="000000"/>
          <w:spacing w:val="0"/>
          <w:kern w:val="21"/>
          <w:sz w:val="32"/>
          <w:szCs w:val="32"/>
        </w:rPr>
        <w:t>年度，未收到信息公开申请受理和通过电子邮件提交的信息公开申请受理。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left="0" w:right="0" w:firstLine="0" w:firstLineChars="0"/>
        <w:textAlignment w:val="auto"/>
        <w:rPr>
          <w:rFonts w:hint="eastAsia" w:ascii="微软雅黑" w:hAnsi="微软雅黑" w:eastAsia="微软雅黑" w:cs="微软雅黑"/>
          <w:i w:val="0"/>
          <w:caps w:val="0"/>
          <w:color w:val="000000"/>
          <w:spacing w:val="0"/>
          <w:kern w:val="21"/>
          <w:sz w:val="32"/>
          <w:szCs w:val="32"/>
        </w:rPr>
      </w:pPr>
      <w:r>
        <w:rPr>
          <w:rStyle w:val="9"/>
          <w:rFonts w:hint="eastAsia" w:ascii="仿宋" w:hAnsi="仿宋" w:eastAsia="仿宋" w:cs="仿宋"/>
          <w:b/>
          <w:i w:val="0"/>
          <w:caps w:val="0"/>
          <w:color w:val="000000"/>
          <w:spacing w:val="0"/>
          <w:kern w:val="21"/>
          <w:sz w:val="32"/>
          <w:szCs w:val="32"/>
        </w:rPr>
        <w:t>    （三）政府信息管理情况。按照县政府信息公开工作的要求，针对沂源县应急管理局工作实际，加强政务公开组织领导，各科室、各单位认真贯彻落实目标任务，严格发布信息流程，在县政府网站及时录入各类公开信息。同时组织单位全体人员学习《政府信息公开条例》以及相关文件，不断提高对推行政府信息公开重要意义的认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left="0" w:right="0" w:firstLine="0" w:firstLineChars="0"/>
        <w:textAlignment w:val="auto"/>
        <w:rPr>
          <w:rFonts w:hint="eastAsia" w:ascii="微软雅黑" w:hAnsi="微软雅黑" w:eastAsia="微软雅黑" w:cs="微软雅黑"/>
          <w:i w:val="0"/>
          <w:caps w:val="0"/>
          <w:color w:val="000000"/>
          <w:spacing w:val="0"/>
          <w:kern w:val="21"/>
          <w:sz w:val="32"/>
          <w:szCs w:val="32"/>
        </w:rPr>
      </w:pPr>
      <w:r>
        <w:rPr>
          <w:rStyle w:val="9"/>
          <w:rFonts w:hint="eastAsia" w:ascii="仿宋" w:hAnsi="仿宋" w:eastAsia="仿宋" w:cs="仿宋"/>
          <w:b/>
          <w:i w:val="0"/>
          <w:caps w:val="0"/>
          <w:color w:val="000000"/>
          <w:spacing w:val="0"/>
          <w:kern w:val="21"/>
          <w:sz w:val="32"/>
          <w:szCs w:val="32"/>
        </w:rPr>
        <w:t>    （四）政府信息公开平台、机构建设和人员情况。信息公开平台为县政府网站。健全完善了由主要领导负责的组织推进机制，要求明确信息公开工作的承办人，建立了相应的目标责任制，开展了信息梳理工作，做到了单位有领导分管，工作有机构负责，工作责任有人落实，形成了政府信息工作内部运转机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left="0" w:right="0" w:firstLine="640"/>
        <w:jc w:val="both"/>
        <w:textAlignment w:val="auto"/>
        <w:rPr>
          <w:rStyle w:val="9"/>
          <w:rFonts w:hint="eastAsia" w:ascii="仿宋" w:hAnsi="仿宋" w:eastAsia="仿宋" w:cs="仿宋"/>
          <w:b/>
          <w:i w:val="0"/>
          <w:caps w:val="0"/>
          <w:color w:val="000000"/>
          <w:spacing w:val="0"/>
          <w:kern w:val="21"/>
          <w:sz w:val="32"/>
          <w:szCs w:val="32"/>
        </w:rPr>
      </w:pPr>
      <w:r>
        <w:rPr>
          <w:rStyle w:val="9"/>
          <w:rFonts w:hint="eastAsia" w:ascii="仿宋" w:hAnsi="仿宋" w:eastAsia="仿宋" w:cs="仿宋"/>
          <w:b/>
          <w:i w:val="0"/>
          <w:caps w:val="0"/>
          <w:color w:val="000000"/>
          <w:spacing w:val="0"/>
          <w:kern w:val="21"/>
          <w:sz w:val="32"/>
          <w:szCs w:val="32"/>
        </w:rPr>
        <w:t>(五）监督保障情况。明确推行政府信息公开工作时限制度，按照“合法、全面、准确、及时”的要求公开政府信息，并对发生变化或失效的已公开政府信息及时更新。不断规范推行政府信息公开工作的流程，使信息公开工作</w:t>
      </w:r>
      <w:r>
        <w:rPr>
          <w:rStyle w:val="9"/>
          <w:rFonts w:hint="eastAsia" w:ascii="仿宋" w:hAnsi="仿宋" w:eastAsia="仿宋" w:cs="仿宋"/>
          <w:b/>
          <w:i w:val="0"/>
          <w:caps w:val="0"/>
          <w:color w:val="000000"/>
          <w:spacing w:val="0"/>
          <w:kern w:val="21"/>
          <w:sz w:val="32"/>
          <w:szCs w:val="32"/>
          <w:lang w:eastAsia="zh-CN"/>
        </w:rPr>
        <w:t>更加</w:t>
      </w:r>
      <w:r>
        <w:rPr>
          <w:rStyle w:val="9"/>
          <w:rFonts w:hint="eastAsia" w:ascii="仿宋" w:hAnsi="仿宋" w:eastAsia="仿宋" w:cs="仿宋"/>
          <w:b/>
          <w:i w:val="0"/>
          <w:caps w:val="0"/>
          <w:color w:val="000000"/>
          <w:spacing w:val="0"/>
          <w:kern w:val="21"/>
          <w:sz w:val="32"/>
          <w:szCs w:val="32"/>
        </w:rPr>
        <w:t>规范有序。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left="0" w:right="0" w:firstLine="0" w:firstLineChars="0"/>
        <w:textAlignment w:val="auto"/>
        <w:rPr>
          <w:rStyle w:val="9"/>
          <w:rFonts w:hint="eastAsia" w:ascii="仿宋" w:hAnsi="仿宋" w:eastAsia="仿宋" w:cs="仿宋"/>
          <w:b/>
          <w:i w:val="0"/>
          <w:caps w:val="0"/>
          <w:color w:val="000000"/>
          <w:spacing w:val="0"/>
          <w:kern w:val="21"/>
          <w:sz w:val="32"/>
          <w:szCs w:val="32"/>
        </w:rPr>
      </w:pPr>
      <w:r>
        <w:rPr>
          <w:rStyle w:val="9"/>
          <w:rFonts w:hint="eastAsia" w:ascii="仿宋" w:hAnsi="仿宋" w:eastAsia="仿宋" w:cs="仿宋"/>
          <w:b/>
          <w:i w:val="0"/>
          <w:caps w:val="0"/>
          <w:color w:val="000000"/>
          <w:spacing w:val="0"/>
          <w:kern w:val="21"/>
          <w:sz w:val="32"/>
          <w:szCs w:val="32"/>
          <w:shd w:val="clear" w:fill="FFFFFF"/>
        </w:rPr>
        <w:t xml:space="preserve">    </w:t>
      </w:r>
      <w:r>
        <w:rPr>
          <w:rStyle w:val="9"/>
          <w:rFonts w:hint="eastAsia" w:ascii="仿宋" w:hAnsi="仿宋" w:eastAsia="仿宋" w:cs="仿宋"/>
          <w:b/>
          <w:i w:val="0"/>
          <w:caps w:val="0"/>
          <w:color w:val="000000"/>
          <w:spacing w:val="0"/>
          <w:kern w:val="21"/>
          <w:sz w:val="32"/>
          <w:szCs w:val="32"/>
        </w:rPr>
        <w:t>（六）建议提案办理结果公开情况。20</w:t>
      </w:r>
      <w:r>
        <w:rPr>
          <w:rStyle w:val="9"/>
          <w:rFonts w:hint="eastAsia" w:ascii="仿宋" w:hAnsi="仿宋" w:eastAsia="仿宋" w:cs="仿宋"/>
          <w:b/>
          <w:i w:val="0"/>
          <w:caps w:val="0"/>
          <w:color w:val="000000"/>
          <w:spacing w:val="0"/>
          <w:kern w:val="21"/>
          <w:sz w:val="32"/>
          <w:szCs w:val="32"/>
          <w:lang w:val="en-US" w:eastAsia="zh-CN"/>
        </w:rPr>
        <w:t>20</w:t>
      </w:r>
      <w:r>
        <w:rPr>
          <w:rStyle w:val="9"/>
          <w:rFonts w:hint="eastAsia" w:ascii="仿宋" w:hAnsi="仿宋" w:eastAsia="仿宋" w:cs="仿宋"/>
          <w:b/>
          <w:i w:val="0"/>
          <w:caps w:val="0"/>
          <w:color w:val="000000"/>
          <w:spacing w:val="0"/>
          <w:kern w:val="21"/>
          <w:sz w:val="32"/>
          <w:szCs w:val="32"/>
        </w:rPr>
        <w:t>年，县应急局未收到相关建议提案的办理。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b/>
          <w:bCs/>
          <w:kern w:val="21"/>
          <w:sz w:val="32"/>
          <w:szCs w:val="32"/>
          <w:lang w:val="en-US"/>
        </w:rPr>
      </w:pPr>
      <w:r>
        <w:rPr>
          <w:rStyle w:val="9"/>
          <w:rFonts w:hint="eastAsia" w:ascii="仿宋" w:hAnsi="仿宋" w:eastAsia="仿宋" w:cs="仿宋"/>
          <w:b/>
          <w:i w:val="0"/>
          <w:caps w:val="0"/>
          <w:color w:val="000000"/>
          <w:spacing w:val="0"/>
          <w:kern w:val="21"/>
          <w:sz w:val="32"/>
          <w:szCs w:val="32"/>
        </w:rPr>
        <w:t>   </w:t>
      </w:r>
      <w:r>
        <w:rPr>
          <w:rStyle w:val="9"/>
          <w:rFonts w:hint="eastAsia" w:ascii="黑体" w:hAnsi="宋体" w:eastAsia="黑体" w:cs="黑体"/>
          <w:b/>
          <w:i w:val="0"/>
          <w:caps w:val="0"/>
          <w:color w:val="000000"/>
          <w:spacing w:val="0"/>
          <w:kern w:val="21"/>
          <w:sz w:val="32"/>
          <w:szCs w:val="32"/>
        </w:rPr>
        <w:t>二、主动公开政府信息情况</w:t>
      </w:r>
    </w:p>
    <w:tbl>
      <w:tblPr>
        <w:tblStyle w:val="6"/>
        <w:tblW w:w="823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09"/>
        <w:gridCol w:w="1842"/>
        <w:gridCol w:w="1888"/>
        <w:gridCol w:w="19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8234" w:type="dxa"/>
            <w:gridSpan w:val="4"/>
            <w:tcBorders>
              <w:bottom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b/>
                <w:bCs/>
                <w:kern w:val="21"/>
                <w:sz w:val="21"/>
                <w:szCs w:val="21"/>
              </w:rPr>
            </w:pPr>
            <w:r>
              <w:rPr>
                <w:rFonts w:hint="eastAsia" w:ascii="黑体" w:hAnsi="黑体" w:eastAsia="黑体" w:cs="黑体"/>
                <w:b/>
                <w:bCs/>
                <w:kern w:val="21"/>
                <w:sz w:val="21"/>
                <w:szCs w:val="21"/>
              </w:rPr>
              <w:t>第二十条第（一）项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本年新制作数量</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本年新公开数量</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对外公开总数量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规章</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hint="eastAsia" w:asciiTheme="minorEastAsia" w:hAnsiTheme="minorEastAsia" w:eastAsiaTheme="minorEastAsia" w:cstheme="minorEastAsia"/>
                <w:bCs/>
                <w:kern w:val="21"/>
                <w:sz w:val="21"/>
                <w:szCs w:val="21"/>
                <w:lang w:val="en-US" w:eastAsia="zh-CN"/>
              </w:rPr>
            </w:pPr>
            <w:r>
              <w:rPr>
                <w:rFonts w:hint="eastAsia" w:asciiTheme="minorEastAsia" w:hAnsiTheme="minorEastAsia" w:eastAsiaTheme="minorEastAsia" w:cstheme="minorEastAsia"/>
                <w:bCs/>
                <w:kern w:val="21"/>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hint="eastAsia" w:asciiTheme="minorEastAsia" w:hAnsiTheme="minorEastAsia" w:eastAsiaTheme="minorEastAsia" w:cstheme="minorEastAsia"/>
                <w:bCs/>
                <w:kern w:val="21"/>
                <w:sz w:val="21"/>
                <w:szCs w:val="21"/>
                <w:lang w:val="en-US" w:eastAsia="zh-CN"/>
              </w:rPr>
            </w:pPr>
            <w:r>
              <w:rPr>
                <w:rFonts w:hint="eastAsia" w:asciiTheme="minorEastAsia" w:hAnsiTheme="minorEastAsia" w:eastAsiaTheme="minorEastAsia" w:cstheme="minorEastAsia"/>
                <w:bCs/>
                <w:kern w:val="21"/>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hint="eastAsia" w:asciiTheme="minorEastAsia" w:hAnsiTheme="minorEastAsia" w:eastAsiaTheme="minorEastAsia" w:cstheme="minorEastAsia"/>
                <w:bCs/>
                <w:kern w:val="21"/>
                <w:sz w:val="21"/>
                <w:szCs w:val="21"/>
                <w:lang w:val="en-US" w:eastAsia="zh-CN"/>
              </w:rPr>
            </w:pPr>
            <w:r>
              <w:rPr>
                <w:rFonts w:hint="eastAsia" w:asciiTheme="minorEastAsia" w:hAnsiTheme="minorEastAsia" w:eastAsiaTheme="minorEastAsia" w:cstheme="minorEastAsia"/>
                <w:bCs/>
                <w:kern w:val="21"/>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规范性文件</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hint="eastAsia" w:asciiTheme="minorEastAsia" w:hAnsiTheme="minorEastAsia" w:eastAsiaTheme="minorEastAsia" w:cstheme="minorEastAsia"/>
                <w:bCs/>
                <w:kern w:val="21"/>
                <w:sz w:val="21"/>
                <w:szCs w:val="21"/>
                <w:lang w:val="en-US" w:eastAsia="zh-CN"/>
              </w:rPr>
            </w:pPr>
            <w:r>
              <w:rPr>
                <w:rFonts w:hint="eastAsia" w:asciiTheme="minorEastAsia" w:hAnsiTheme="minorEastAsia" w:eastAsiaTheme="minorEastAsia" w:cstheme="minorEastAsia"/>
                <w:bCs/>
                <w:kern w:val="21"/>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hint="eastAsia" w:asciiTheme="minorEastAsia" w:hAnsiTheme="minorEastAsia" w:eastAsiaTheme="minorEastAsia" w:cstheme="minorEastAsia"/>
                <w:bCs/>
                <w:kern w:val="21"/>
                <w:sz w:val="21"/>
                <w:szCs w:val="21"/>
                <w:lang w:val="en-US" w:eastAsia="zh-CN"/>
              </w:rPr>
            </w:pPr>
            <w:r>
              <w:rPr>
                <w:rFonts w:hint="eastAsia" w:asciiTheme="minorEastAsia" w:hAnsiTheme="minorEastAsia" w:eastAsiaTheme="minorEastAsia" w:cstheme="minorEastAsia"/>
                <w:bCs/>
                <w:kern w:val="21"/>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hint="eastAsia" w:asciiTheme="minorEastAsia" w:hAnsiTheme="minorEastAsia" w:eastAsiaTheme="minorEastAsia" w:cstheme="minorEastAsia"/>
                <w:bCs/>
                <w:kern w:val="21"/>
                <w:sz w:val="21"/>
                <w:szCs w:val="21"/>
                <w:lang w:val="en-US" w:eastAsia="zh-CN"/>
              </w:rPr>
            </w:pPr>
            <w:r>
              <w:rPr>
                <w:rFonts w:hint="eastAsia" w:asciiTheme="minorEastAsia" w:hAnsiTheme="minorEastAsia" w:eastAsiaTheme="minorEastAsia" w:cstheme="minorEastAsia"/>
                <w:bCs/>
                <w:kern w:val="21"/>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8234" w:type="dxa"/>
            <w:gridSpan w:val="4"/>
            <w:tcBorders>
              <w:top w:val="single" w:color="000000" w:sz="2" w:space="0"/>
              <w:bottom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ascii="黑体" w:hAnsi="黑体" w:eastAsia="黑体" w:cs="黑体"/>
                <w:b/>
                <w:bCs/>
                <w:kern w:val="21"/>
                <w:sz w:val="21"/>
                <w:szCs w:val="21"/>
              </w:rPr>
            </w:pPr>
            <w:r>
              <w:rPr>
                <w:rFonts w:hint="eastAsia" w:ascii="黑体" w:hAnsi="黑体" w:eastAsia="黑体" w:cs="黑体"/>
                <w:b/>
                <w:bCs/>
                <w:kern w:val="21"/>
                <w:sz w:val="21"/>
                <w:szCs w:val="21"/>
              </w:rPr>
              <w:t>第二十条第（五）项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上一年项目数量</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本年增/减</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行政许可</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hint="default" w:asciiTheme="minorEastAsia" w:hAnsiTheme="minorEastAsia" w:eastAsiaTheme="minorEastAsia" w:cstheme="minorEastAsia"/>
                <w:bCs/>
                <w:kern w:val="21"/>
                <w:sz w:val="21"/>
                <w:szCs w:val="21"/>
                <w:lang w:val="en-US" w:eastAsia="zh-CN"/>
              </w:rPr>
            </w:pPr>
            <w:r>
              <w:rPr>
                <w:rFonts w:hint="eastAsia" w:asciiTheme="minorEastAsia" w:hAnsiTheme="minorEastAsia" w:eastAsiaTheme="minorEastAsia" w:cstheme="minorEastAsia"/>
                <w:bCs/>
                <w:kern w:val="21"/>
                <w:sz w:val="21"/>
                <w:szCs w:val="21"/>
                <w:lang w:val="en-US" w:eastAsia="zh-CN"/>
              </w:rPr>
              <w:t>14</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hint="default" w:asciiTheme="minorEastAsia" w:hAnsiTheme="minorEastAsia" w:eastAsiaTheme="minorEastAsia" w:cstheme="minorEastAsia"/>
                <w:bCs/>
                <w:kern w:val="21"/>
                <w:sz w:val="21"/>
                <w:szCs w:val="21"/>
                <w:lang w:val="en-US" w:eastAsia="zh-CN"/>
              </w:rPr>
            </w:pPr>
            <w:r>
              <w:rPr>
                <w:rFonts w:hint="eastAsia" w:asciiTheme="minorEastAsia" w:hAnsiTheme="minorEastAsia" w:eastAsiaTheme="minorEastAsia" w:cstheme="minorEastAsia"/>
                <w:bCs/>
                <w:kern w:val="21"/>
                <w:sz w:val="21"/>
                <w:szCs w:val="21"/>
                <w:lang w:val="en-US" w:eastAsia="zh-CN"/>
              </w:rPr>
              <w:t>-1</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hint="default" w:asciiTheme="minorEastAsia" w:hAnsiTheme="minorEastAsia" w:eastAsiaTheme="minorEastAsia" w:cstheme="minorEastAsia"/>
                <w:bCs/>
                <w:kern w:val="21"/>
                <w:sz w:val="21"/>
                <w:szCs w:val="21"/>
                <w:lang w:val="en-US" w:eastAsia="zh-CN"/>
              </w:rPr>
            </w:pPr>
            <w:r>
              <w:rPr>
                <w:rFonts w:hint="eastAsia" w:asciiTheme="minorEastAsia" w:hAnsiTheme="minorEastAsia" w:eastAsiaTheme="minorEastAsia" w:cstheme="minorEastAsia"/>
                <w:bCs/>
                <w:kern w:val="21"/>
                <w:sz w:val="21"/>
                <w:szCs w:val="21"/>
                <w:lang w:val="en-US" w:eastAsia="zh-CN"/>
              </w:rPr>
              <w:t>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其他对外管理服务事项</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hint="default" w:asciiTheme="minorEastAsia" w:hAnsiTheme="minorEastAsia" w:eastAsiaTheme="minorEastAsia" w:cstheme="minorEastAsia"/>
                <w:bCs/>
                <w:kern w:val="21"/>
                <w:sz w:val="21"/>
                <w:szCs w:val="21"/>
                <w:lang w:val="en-US" w:eastAsia="zh-CN"/>
              </w:rPr>
            </w:pPr>
            <w:r>
              <w:rPr>
                <w:rFonts w:hint="eastAsia" w:asciiTheme="minorEastAsia" w:hAnsiTheme="minorEastAsia" w:eastAsiaTheme="minorEastAsia" w:cstheme="minorEastAsia"/>
                <w:bCs/>
                <w:kern w:val="21"/>
                <w:sz w:val="21"/>
                <w:szCs w:val="21"/>
                <w:lang w:val="en-US" w:eastAsia="zh-CN"/>
              </w:rPr>
              <w:t>3</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hint="default" w:asciiTheme="minorEastAsia" w:hAnsiTheme="minorEastAsia" w:eastAsiaTheme="minorEastAsia" w:cstheme="minorEastAsia"/>
                <w:bCs/>
                <w:kern w:val="21"/>
                <w:sz w:val="21"/>
                <w:szCs w:val="21"/>
                <w:lang w:val="en-US" w:eastAsia="zh-CN"/>
              </w:rPr>
            </w:pPr>
            <w:r>
              <w:rPr>
                <w:rFonts w:hint="eastAsia" w:asciiTheme="minorEastAsia" w:hAnsiTheme="minorEastAsia" w:eastAsiaTheme="minorEastAsia" w:cstheme="minorEastAsia"/>
                <w:bCs/>
                <w:kern w:val="21"/>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hint="default" w:asciiTheme="minorEastAsia" w:hAnsiTheme="minorEastAsia" w:eastAsiaTheme="minorEastAsia" w:cstheme="minorEastAsia"/>
                <w:bCs/>
                <w:kern w:val="21"/>
                <w:sz w:val="21"/>
                <w:szCs w:val="21"/>
                <w:lang w:val="en-US" w:eastAsia="zh-CN"/>
              </w:rPr>
            </w:pPr>
            <w:r>
              <w:rPr>
                <w:rFonts w:hint="eastAsia" w:asciiTheme="minorEastAsia" w:hAnsiTheme="minorEastAsia" w:eastAsiaTheme="minorEastAsia" w:cstheme="minorEastAsia"/>
                <w:bCs/>
                <w:kern w:val="21"/>
                <w:sz w:val="21"/>
                <w:szCs w:val="21"/>
                <w:lang w:val="en-US" w:eastAsia="zh-CN"/>
              </w:rP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8234" w:type="dxa"/>
            <w:gridSpan w:val="4"/>
            <w:tcBorders>
              <w:top w:val="single" w:color="000000" w:sz="2" w:space="0"/>
              <w:bottom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ascii="黑体" w:hAnsi="黑体" w:eastAsia="黑体" w:cs="黑体"/>
                <w:b/>
                <w:bCs/>
                <w:kern w:val="21"/>
                <w:sz w:val="21"/>
                <w:szCs w:val="21"/>
              </w:rPr>
            </w:pPr>
            <w:r>
              <w:rPr>
                <w:rFonts w:hint="eastAsia" w:ascii="黑体" w:hAnsi="黑体" w:eastAsia="黑体" w:cs="黑体"/>
                <w:b/>
                <w:bCs/>
                <w:kern w:val="21"/>
                <w:sz w:val="21"/>
                <w:szCs w:val="21"/>
              </w:rPr>
              <w:t>第二十条第（六）项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上一年项目数量</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本年增/减</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asciiTheme="minorEastAsia" w:hAnsiTheme="minorEastAsia" w:eastAsiaTheme="minorEastAsia" w:cstheme="minorEastAsia"/>
                <w:bCs/>
                <w:color w:val="auto"/>
                <w:kern w:val="21"/>
                <w:sz w:val="21"/>
                <w:szCs w:val="21"/>
              </w:rPr>
            </w:pPr>
            <w:r>
              <w:rPr>
                <w:rFonts w:hint="eastAsia" w:asciiTheme="minorEastAsia" w:hAnsiTheme="minorEastAsia" w:eastAsiaTheme="minorEastAsia" w:cstheme="minorEastAsia"/>
                <w:bCs/>
                <w:color w:val="auto"/>
                <w:kern w:val="21"/>
                <w:sz w:val="21"/>
                <w:szCs w:val="21"/>
              </w:rPr>
              <w:t>行政处罚</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hint="default" w:asciiTheme="minorEastAsia" w:hAnsiTheme="minorEastAsia" w:eastAsiaTheme="minorEastAsia" w:cstheme="minorEastAsia"/>
                <w:bCs/>
                <w:color w:val="auto"/>
                <w:kern w:val="21"/>
                <w:sz w:val="21"/>
                <w:szCs w:val="21"/>
                <w:lang w:val="en-US" w:eastAsia="zh-CN"/>
              </w:rPr>
            </w:pPr>
            <w:r>
              <w:rPr>
                <w:rFonts w:hint="eastAsia" w:asciiTheme="minorEastAsia" w:hAnsiTheme="minorEastAsia" w:eastAsiaTheme="minorEastAsia" w:cstheme="minorEastAsia"/>
                <w:bCs/>
                <w:color w:val="auto"/>
                <w:kern w:val="21"/>
                <w:sz w:val="21"/>
                <w:szCs w:val="21"/>
                <w:lang w:val="en-US" w:eastAsia="zh-CN"/>
              </w:rPr>
              <w:t>64</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hint="default" w:asciiTheme="minorEastAsia" w:hAnsiTheme="minorEastAsia" w:eastAsiaTheme="minorEastAsia" w:cstheme="minorEastAsia"/>
                <w:bCs/>
                <w:color w:val="auto"/>
                <w:kern w:val="21"/>
                <w:sz w:val="21"/>
                <w:szCs w:val="21"/>
                <w:lang w:val="en-US" w:eastAsia="zh-CN"/>
              </w:rPr>
            </w:pPr>
            <w:r>
              <w:rPr>
                <w:rFonts w:hint="eastAsia" w:asciiTheme="minorEastAsia" w:hAnsiTheme="minorEastAsia" w:eastAsiaTheme="minorEastAsia" w:cstheme="minorEastAsia"/>
                <w:bCs/>
                <w:color w:val="auto"/>
                <w:kern w:val="21"/>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hint="default" w:asciiTheme="minorEastAsia" w:hAnsiTheme="minorEastAsia" w:eastAsiaTheme="minorEastAsia" w:cstheme="minorEastAsia"/>
                <w:bCs/>
                <w:color w:val="auto"/>
                <w:kern w:val="21"/>
                <w:sz w:val="21"/>
                <w:szCs w:val="21"/>
                <w:lang w:val="en-US" w:eastAsia="zh-CN"/>
              </w:rPr>
            </w:pPr>
            <w:r>
              <w:rPr>
                <w:rFonts w:hint="eastAsia" w:asciiTheme="minorEastAsia" w:hAnsiTheme="minorEastAsia" w:eastAsiaTheme="minorEastAsia" w:cstheme="minorEastAsia"/>
                <w:bCs/>
                <w:color w:val="auto"/>
                <w:kern w:val="21"/>
                <w:sz w:val="21"/>
                <w:szCs w:val="21"/>
                <w:lang w:val="en-US" w:eastAsia="zh-CN"/>
              </w:rPr>
              <w:t>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行政强制</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hint="eastAsia" w:asciiTheme="minorEastAsia" w:hAnsiTheme="minorEastAsia" w:eastAsiaTheme="minorEastAsia" w:cstheme="minorEastAsia"/>
                <w:bCs/>
                <w:kern w:val="21"/>
                <w:sz w:val="21"/>
                <w:szCs w:val="21"/>
                <w:lang w:val="en-US" w:eastAsia="zh-CN"/>
              </w:rPr>
            </w:pPr>
            <w:r>
              <w:rPr>
                <w:rFonts w:hint="eastAsia" w:asciiTheme="minorEastAsia" w:hAnsiTheme="minorEastAsia" w:eastAsiaTheme="minorEastAsia" w:cstheme="minorEastAsia"/>
                <w:bCs/>
                <w:kern w:val="21"/>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hint="eastAsia" w:asciiTheme="minorEastAsia" w:hAnsiTheme="minorEastAsia" w:eastAsiaTheme="minorEastAsia" w:cstheme="minorEastAsia"/>
                <w:bCs/>
                <w:kern w:val="21"/>
                <w:sz w:val="21"/>
                <w:szCs w:val="21"/>
                <w:lang w:val="en-US" w:eastAsia="zh-CN"/>
              </w:rPr>
            </w:pPr>
            <w:r>
              <w:rPr>
                <w:rFonts w:hint="eastAsia" w:asciiTheme="minorEastAsia" w:hAnsiTheme="minorEastAsia" w:eastAsiaTheme="minorEastAsia" w:cstheme="minorEastAsia"/>
                <w:bCs/>
                <w:kern w:val="21"/>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hint="eastAsia" w:asciiTheme="minorEastAsia" w:hAnsiTheme="minorEastAsia" w:eastAsiaTheme="minorEastAsia" w:cstheme="minorEastAsia"/>
                <w:bCs/>
                <w:kern w:val="21"/>
                <w:sz w:val="21"/>
                <w:szCs w:val="21"/>
                <w:lang w:val="en-US" w:eastAsia="zh-CN"/>
              </w:rPr>
            </w:pPr>
            <w:r>
              <w:rPr>
                <w:rFonts w:hint="eastAsia" w:asciiTheme="minorEastAsia" w:hAnsiTheme="minorEastAsia" w:eastAsiaTheme="minorEastAsia" w:cstheme="minorEastAsia"/>
                <w:bCs/>
                <w:kern w:val="21"/>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8234" w:type="dxa"/>
            <w:gridSpan w:val="4"/>
            <w:tcBorders>
              <w:top w:val="single" w:color="000000" w:sz="2" w:space="0"/>
              <w:bottom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ascii="黑体" w:hAnsi="黑体" w:eastAsia="黑体" w:cs="黑体"/>
                <w:b/>
                <w:bCs/>
                <w:kern w:val="21"/>
                <w:sz w:val="21"/>
                <w:szCs w:val="21"/>
              </w:rPr>
            </w:pPr>
            <w:r>
              <w:rPr>
                <w:rFonts w:hint="eastAsia" w:ascii="黑体" w:hAnsi="黑体" w:eastAsia="黑体" w:cs="黑体"/>
                <w:b/>
                <w:bCs/>
                <w:kern w:val="21"/>
                <w:sz w:val="21"/>
                <w:szCs w:val="21"/>
              </w:rPr>
              <w:t>第二十条第（八）项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上一年项目数量</w:t>
            </w:r>
          </w:p>
        </w:tc>
        <w:tc>
          <w:tcPr>
            <w:tcW w:w="3883" w:type="dxa"/>
            <w:gridSpan w:val="2"/>
            <w:tcBorders>
              <w:top w:val="single" w:color="000000" w:sz="2" w:space="0"/>
              <w:left w:val="single" w:color="000000" w:sz="2" w:space="0"/>
              <w:bottom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本年增/减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行政事业性收费</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hint="eastAsia" w:asciiTheme="minorEastAsia" w:hAnsiTheme="minorEastAsia" w:eastAsiaTheme="minorEastAsia" w:cstheme="minorEastAsia"/>
                <w:bCs/>
                <w:kern w:val="21"/>
                <w:sz w:val="21"/>
                <w:szCs w:val="21"/>
                <w:lang w:val="en-US" w:eastAsia="zh-CN"/>
              </w:rPr>
            </w:pPr>
            <w:r>
              <w:rPr>
                <w:rFonts w:hint="eastAsia" w:asciiTheme="minorEastAsia" w:hAnsiTheme="minorEastAsia" w:eastAsiaTheme="minorEastAsia" w:cstheme="minorEastAsia"/>
                <w:bCs/>
                <w:kern w:val="21"/>
                <w:sz w:val="21"/>
                <w:szCs w:val="21"/>
                <w:lang w:val="en-US" w:eastAsia="zh-CN"/>
              </w:rPr>
              <w:t>0</w:t>
            </w:r>
          </w:p>
        </w:tc>
        <w:tc>
          <w:tcPr>
            <w:tcW w:w="3883" w:type="dxa"/>
            <w:gridSpan w:val="2"/>
            <w:tcBorders>
              <w:top w:val="single" w:color="000000" w:sz="2" w:space="0"/>
              <w:left w:val="single" w:color="000000" w:sz="2" w:space="0"/>
              <w:bottom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hint="eastAsia" w:asciiTheme="minorEastAsia" w:hAnsiTheme="minorEastAsia" w:eastAsiaTheme="minorEastAsia" w:cstheme="minorEastAsia"/>
                <w:bCs/>
                <w:kern w:val="21"/>
                <w:sz w:val="21"/>
                <w:szCs w:val="21"/>
                <w:lang w:val="en-US" w:eastAsia="zh-CN"/>
              </w:rPr>
            </w:pPr>
            <w:r>
              <w:rPr>
                <w:rFonts w:hint="eastAsia" w:asciiTheme="minorEastAsia" w:hAnsiTheme="minorEastAsia" w:eastAsiaTheme="minorEastAsia" w:cstheme="minorEastAsia"/>
                <w:bCs/>
                <w:kern w:val="21"/>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8234" w:type="dxa"/>
            <w:gridSpan w:val="4"/>
            <w:tcBorders>
              <w:top w:val="single" w:color="000000" w:sz="2" w:space="0"/>
              <w:bottom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ascii="黑体" w:hAnsi="黑体" w:eastAsia="黑体" w:cs="黑体"/>
                <w:b/>
                <w:bCs/>
                <w:kern w:val="21"/>
                <w:sz w:val="21"/>
                <w:szCs w:val="21"/>
              </w:rPr>
            </w:pPr>
            <w:r>
              <w:rPr>
                <w:rFonts w:hint="eastAsia" w:ascii="黑体" w:hAnsi="黑体" w:eastAsia="黑体" w:cs="黑体"/>
                <w:b/>
                <w:bCs/>
                <w:kern w:val="21"/>
                <w:sz w:val="21"/>
                <w:szCs w:val="21"/>
              </w:rPr>
              <w:t>第二十条第（九）项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采购项目数量</w:t>
            </w:r>
          </w:p>
        </w:tc>
        <w:tc>
          <w:tcPr>
            <w:tcW w:w="3883" w:type="dxa"/>
            <w:gridSpan w:val="2"/>
            <w:tcBorders>
              <w:top w:val="single" w:color="000000" w:sz="2" w:space="0"/>
              <w:left w:val="single" w:color="000000" w:sz="2" w:space="0"/>
              <w:bottom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采购总金额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2509" w:type="dxa"/>
            <w:tcBorders>
              <w:top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政府集中采购</w:t>
            </w:r>
          </w:p>
        </w:tc>
        <w:tc>
          <w:tcPr>
            <w:tcW w:w="1842" w:type="dxa"/>
            <w:tcBorders>
              <w:top w:val="single" w:color="000000" w:sz="2" w:space="0"/>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hint="eastAsia" w:asciiTheme="minorEastAsia" w:hAnsiTheme="minorEastAsia" w:eastAsiaTheme="minorEastAsia" w:cstheme="minorEastAsia"/>
                <w:bCs/>
                <w:kern w:val="21"/>
                <w:sz w:val="21"/>
                <w:szCs w:val="21"/>
                <w:lang w:val="en-US" w:eastAsia="zh-CN"/>
              </w:rPr>
            </w:pPr>
            <w:r>
              <w:rPr>
                <w:rFonts w:hint="eastAsia" w:asciiTheme="minorEastAsia" w:hAnsiTheme="minorEastAsia" w:eastAsiaTheme="minorEastAsia" w:cstheme="minorEastAsia"/>
                <w:bCs/>
                <w:kern w:val="21"/>
                <w:sz w:val="21"/>
                <w:szCs w:val="21"/>
                <w:lang w:val="en-US" w:eastAsia="zh-CN"/>
              </w:rPr>
              <w:t>0</w:t>
            </w:r>
          </w:p>
        </w:tc>
        <w:tc>
          <w:tcPr>
            <w:tcW w:w="3883" w:type="dxa"/>
            <w:gridSpan w:val="2"/>
            <w:tcBorders>
              <w:top w:val="single" w:color="000000" w:sz="2" w:space="0"/>
              <w:left w:val="single" w:color="000000" w:sz="2" w:space="0"/>
            </w:tcBorders>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hint="eastAsia" w:asciiTheme="minorEastAsia" w:hAnsiTheme="minorEastAsia" w:eastAsiaTheme="minorEastAsia" w:cstheme="minorEastAsia"/>
                <w:bCs/>
                <w:kern w:val="21"/>
                <w:sz w:val="21"/>
                <w:szCs w:val="21"/>
                <w:lang w:val="en-US" w:eastAsia="zh-CN"/>
              </w:rPr>
            </w:pPr>
            <w:r>
              <w:rPr>
                <w:rFonts w:hint="eastAsia" w:asciiTheme="minorEastAsia" w:hAnsiTheme="minorEastAsia" w:eastAsiaTheme="minorEastAsia" w:cstheme="minorEastAsia"/>
                <w:bCs/>
                <w:kern w:val="21"/>
                <w:sz w:val="21"/>
                <w:szCs w:val="21"/>
                <w:lang w:val="en-US" w:eastAsia="zh-CN"/>
              </w:rPr>
              <w:t>0</w:t>
            </w:r>
          </w:p>
        </w:tc>
      </w:tr>
    </w:tbl>
    <w:p>
      <w:pPr>
        <w:keepNext w:val="0"/>
        <w:keepLines w:val="0"/>
        <w:pageBreakBefore w:val="0"/>
        <w:numPr>
          <w:ilvl w:val="0"/>
          <w:numId w:val="0"/>
        </w:numPr>
        <w:tabs>
          <w:tab w:val="left" w:pos="0"/>
        </w:tabs>
        <w:kinsoku/>
        <w:wordWrap/>
        <w:overflowPunct/>
        <w:topLinePunct w:val="0"/>
        <w:bidi w:val="0"/>
        <w:adjustRightInd/>
        <w:snapToGrid/>
        <w:spacing w:line="560" w:lineRule="exact"/>
        <w:ind w:firstLine="643" w:firstLineChars="200"/>
        <w:jc w:val="both"/>
        <w:textAlignment w:val="auto"/>
        <w:rPr>
          <w:rFonts w:ascii="黑体" w:hAnsi="黑体" w:eastAsia="黑体" w:cs="黑体"/>
          <w:b/>
          <w:bCs/>
          <w:kern w:val="21"/>
          <w:sz w:val="32"/>
          <w:szCs w:val="32"/>
        </w:rPr>
      </w:pPr>
      <w:r>
        <w:rPr>
          <w:rFonts w:hint="eastAsia" w:ascii="黑体" w:hAnsi="黑体" w:eastAsia="黑体" w:cs="黑体"/>
          <w:b/>
          <w:bCs/>
          <w:kern w:val="21"/>
          <w:sz w:val="32"/>
          <w:szCs w:val="32"/>
          <w:lang w:eastAsia="zh-CN"/>
        </w:rPr>
        <w:t>三、</w:t>
      </w:r>
      <w:r>
        <w:rPr>
          <w:rFonts w:hint="eastAsia" w:ascii="黑体" w:hAnsi="黑体" w:eastAsia="黑体" w:cs="黑体"/>
          <w:b/>
          <w:bCs/>
          <w:kern w:val="21"/>
          <w:sz w:val="32"/>
          <w:szCs w:val="32"/>
        </w:rPr>
        <w:t>收到和处理政府信息公开申请情况</w:t>
      </w:r>
    </w:p>
    <w:tbl>
      <w:tblPr>
        <w:tblStyle w:val="7"/>
        <w:tblpPr w:leftFromText="181" w:rightFromText="181" w:vertAnchor="text" w:horzAnchor="page" w:tblpXSpec="center" w:tblpY="28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1133"/>
        <w:gridCol w:w="1882"/>
        <w:gridCol w:w="567"/>
        <w:gridCol w:w="636"/>
        <w:gridCol w:w="636"/>
        <w:gridCol w:w="776"/>
        <w:gridCol w:w="776"/>
        <w:gridCol w:w="497"/>
        <w:gridCol w:w="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0" w:type="auto"/>
            <w:gridSpan w:val="3"/>
            <w:vMerge w:val="restart"/>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ascii="黑体" w:hAnsi="黑体" w:eastAsia="黑体" w:cs="黑体"/>
                <w:b/>
                <w:bCs/>
                <w:kern w:val="21"/>
                <w:sz w:val="21"/>
                <w:szCs w:val="21"/>
              </w:rPr>
            </w:pPr>
            <w:r>
              <w:rPr>
                <w:rFonts w:hint="eastAsia" w:ascii="黑体" w:hAnsi="黑体" w:eastAsia="黑体" w:cs="黑体"/>
                <w:b/>
                <w:bCs/>
                <w:kern w:val="21"/>
                <w:sz w:val="21"/>
                <w:szCs w:val="21"/>
              </w:rPr>
              <w:t>（本列数据的勾稽关系为：第一项加第二项之和，等于第三项加第四项之和）</w:t>
            </w:r>
          </w:p>
        </w:tc>
        <w:tc>
          <w:tcPr>
            <w:tcW w:w="0" w:type="auto"/>
            <w:gridSpan w:val="7"/>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ascii="黑体" w:hAnsi="黑体" w:eastAsia="黑体" w:cs="黑体"/>
                <w:b/>
                <w:bCs/>
                <w:kern w:val="21"/>
                <w:sz w:val="21"/>
                <w:szCs w:val="21"/>
              </w:rPr>
            </w:pPr>
            <w:r>
              <w:rPr>
                <w:rFonts w:hint="eastAsia" w:ascii="黑体" w:hAnsi="黑体" w:eastAsia="黑体" w:cs="黑体"/>
                <w:b/>
                <w:bCs/>
                <w:kern w:val="21"/>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0" w:type="auto"/>
            <w:gridSpan w:val="3"/>
            <w:vMerge w:val="continue"/>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ascii="黑体" w:hAnsi="黑体" w:eastAsia="黑体" w:cs="黑体"/>
                <w:b/>
                <w:bCs/>
                <w:kern w:val="21"/>
                <w:sz w:val="21"/>
                <w:szCs w:val="21"/>
              </w:rPr>
            </w:pPr>
          </w:p>
        </w:tc>
        <w:tc>
          <w:tcPr>
            <w:tcW w:w="0" w:type="auto"/>
            <w:vMerge w:val="restart"/>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ascii="黑体" w:hAnsi="黑体" w:eastAsia="黑体" w:cs="黑体"/>
                <w:b/>
                <w:bCs/>
                <w:kern w:val="21"/>
                <w:sz w:val="21"/>
                <w:szCs w:val="21"/>
              </w:rPr>
            </w:pPr>
            <w:r>
              <w:rPr>
                <w:rFonts w:hint="eastAsia" w:ascii="黑体" w:hAnsi="黑体" w:eastAsia="黑体" w:cs="黑体"/>
                <w:b/>
                <w:bCs/>
                <w:kern w:val="21"/>
                <w:sz w:val="21"/>
                <w:szCs w:val="21"/>
              </w:rPr>
              <w:t>自然人</w:t>
            </w:r>
          </w:p>
        </w:tc>
        <w:tc>
          <w:tcPr>
            <w:tcW w:w="0" w:type="auto"/>
            <w:gridSpan w:val="5"/>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ascii="黑体" w:hAnsi="黑体" w:eastAsia="黑体" w:cs="黑体"/>
                <w:b/>
                <w:bCs/>
                <w:kern w:val="21"/>
                <w:sz w:val="21"/>
                <w:szCs w:val="21"/>
              </w:rPr>
            </w:pPr>
            <w:r>
              <w:rPr>
                <w:rFonts w:hint="eastAsia" w:ascii="黑体" w:hAnsi="黑体" w:eastAsia="黑体" w:cs="黑体"/>
                <w:b/>
                <w:bCs/>
                <w:kern w:val="21"/>
                <w:sz w:val="21"/>
                <w:szCs w:val="21"/>
              </w:rPr>
              <w:t>法人或其他组织</w:t>
            </w:r>
          </w:p>
        </w:tc>
        <w:tc>
          <w:tcPr>
            <w:tcW w:w="0" w:type="auto"/>
            <w:vMerge w:val="restart"/>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ascii="黑体" w:hAnsi="黑体" w:eastAsia="黑体" w:cs="黑体"/>
                <w:b/>
                <w:bCs/>
                <w:kern w:val="21"/>
                <w:sz w:val="21"/>
                <w:szCs w:val="21"/>
              </w:rPr>
            </w:pPr>
            <w:r>
              <w:rPr>
                <w:rFonts w:hint="eastAsia" w:ascii="黑体" w:hAnsi="黑体" w:eastAsia="黑体" w:cs="黑体"/>
                <w:b/>
                <w:bCs/>
                <w:kern w:val="21"/>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0" w:type="auto"/>
            <w:gridSpan w:val="3"/>
            <w:vMerge w:val="continue"/>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ascii="黑体" w:hAnsi="黑体" w:eastAsia="黑体" w:cs="黑体"/>
                <w:b/>
                <w:bCs/>
                <w:kern w:val="21"/>
                <w:sz w:val="21"/>
                <w:szCs w:val="21"/>
              </w:rPr>
            </w:pPr>
          </w:p>
        </w:tc>
        <w:tc>
          <w:tcPr>
            <w:tcW w:w="0" w:type="auto"/>
            <w:vMerge w:val="continue"/>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ascii="黑体" w:hAnsi="黑体" w:eastAsia="黑体" w:cs="黑体"/>
                <w:b/>
                <w:bCs/>
                <w:kern w:val="21"/>
                <w:sz w:val="21"/>
                <w:szCs w:val="21"/>
              </w:rPr>
            </w:pPr>
          </w:p>
        </w:tc>
        <w:tc>
          <w:tcPr>
            <w:tcW w:w="0" w:type="auto"/>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ascii="黑体" w:hAnsi="黑体" w:eastAsia="黑体" w:cs="黑体"/>
                <w:b/>
                <w:bCs/>
                <w:kern w:val="21"/>
                <w:sz w:val="21"/>
                <w:szCs w:val="21"/>
              </w:rPr>
            </w:pPr>
            <w:r>
              <w:rPr>
                <w:rFonts w:hint="eastAsia" w:ascii="黑体" w:hAnsi="黑体" w:eastAsia="黑体" w:cs="黑体"/>
                <w:b/>
                <w:bCs/>
                <w:kern w:val="21"/>
                <w:sz w:val="21"/>
                <w:szCs w:val="21"/>
              </w:rPr>
              <w:t>商业企业</w:t>
            </w:r>
          </w:p>
        </w:tc>
        <w:tc>
          <w:tcPr>
            <w:tcW w:w="0" w:type="auto"/>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ascii="黑体" w:hAnsi="黑体" w:eastAsia="黑体" w:cs="黑体"/>
                <w:b/>
                <w:bCs/>
                <w:kern w:val="21"/>
                <w:sz w:val="21"/>
                <w:szCs w:val="21"/>
              </w:rPr>
            </w:pPr>
            <w:r>
              <w:rPr>
                <w:rFonts w:hint="eastAsia" w:ascii="黑体" w:hAnsi="黑体" w:eastAsia="黑体" w:cs="黑体"/>
                <w:b/>
                <w:bCs/>
                <w:kern w:val="21"/>
                <w:sz w:val="21"/>
                <w:szCs w:val="21"/>
              </w:rPr>
              <w:t>科研机构</w:t>
            </w:r>
          </w:p>
        </w:tc>
        <w:tc>
          <w:tcPr>
            <w:tcW w:w="0" w:type="auto"/>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ascii="黑体" w:hAnsi="黑体" w:eastAsia="黑体" w:cs="黑体"/>
                <w:b/>
                <w:bCs/>
                <w:kern w:val="21"/>
                <w:sz w:val="21"/>
                <w:szCs w:val="21"/>
              </w:rPr>
            </w:pPr>
            <w:r>
              <w:rPr>
                <w:rFonts w:hint="eastAsia" w:ascii="黑体" w:hAnsi="黑体" w:eastAsia="黑体" w:cs="黑体"/>
                <w:b/>
                <w:bCs/>
                <w:kern w:val="21"/>
                <w:sz w:val="21"/>
                <w:szCs w:val="21"/>
              </w:rPr>
              <w:t>社会公益组织</w:t>
            </w:r>
          </w:p>
        </w:tc>
        <w:tc>
          <w:tcPr>
            <w:tcW w:w="0" w:type="auto"/>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ascii="黑体" w:hAnsi="黑体" w:eastAsia="黑体" w:cs="黑体"/>
                <w:b/>
                <w:bCs/>
                <w:kern w:val="21"/>
                <w:sz w:val="21"/>
                <w:szCs w:val="21"/>
              </w:rPr>
            </w:pPr>
            <w:r>
              <w:rPr>
                <w:rFonts w:hint="eastAsia" w:ascii="黑体" w:hAnsi="黑体" w:eastAsia="黑体" w:cs="黑体"/>
                <w:b/>
                <w:bCs/>
                <w:kern w:val="21"/>
                <w:sz w:val="21"/>
                <w:szCs w:val="21"/>
              </w:rPr>
              <w:t>法律服务机构</w:t>
            </w:r>
          </w:p>
        </w:tc>
        <w:tc>
          <w:tcPr>
            <w:tcW w:w="0" w:type="auto"/>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ascii="黑体" w:hAnsi="黑体" w:eastAsia="黑体" w:cs="黑体"/>
                <w:b/>
                <w:bCs/>
                <w:kern w:val="21"/>
                <w:sz w:val="21"/>
                <w:szCs w:val="21"/>
              </w:rPr>
            </w:pPr>
            <w:r>
              <w:rPr>
                <w:rFonts w:hint="eastAsia" w:ascii="黑体" w:hAnsi="黑体" w:eastAsia="黑体" w:cs="黑体"/>
                <w:b/>
                <w:bCs/>
                <w:kern w:val="21"/>
                <w:sz w:val="21"/>
                <w:szCs w:val="21"/>
              </w:rPr>
              <w:t>其他</w:t>
            </w:r>
          </w:p>
        </w:tc>
        <w:tc>
          <w:tcPr>
            <w:tcW w:w="0" w:type="auto"/>
            <w:vMerge w:val="continue"/>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asciiTheme="minorHAnsi" w:hAnsiTheme="minorHAnsi" w:eastAsiaTheme="minorEastAsia" w:cstheme="minorBidi"/>
                <w:b/>
                <w:bCs/>
                <w:kern w:val="2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0" w:type="auto"/>
            <w:gridSpan w:val="3"/>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一、本年新收政府信息公开申请数量</w:t>
            </w:r>
          </w:p>
        </w:tc>
        <w:tc>
          <w:tcPr>
            <w:tcW w:w="0" w:type="auto"/>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hint="eastAsia" w:asciiTheme="minorEastAsia" w:hAnsiTheme="minorEastAsia" w:eastAsiaTheme="minorEastAsia" w:cstheme="minorEastAsia"/>
                <w:b/>
                <w:bCs/>
                <w:kern w:val="21"/>
                <w:sz w:val="21"/>
                <w:szCs w:val="21"/>
                <w:lang w:val="en-US" w:eastAsia="zh-CN"/>
              </w:rPr>
            </w:pPr>
            <w:r>
              <w:rPr>
                <w:rFonts w:hint="eastAsia" w:asciiTheme="minorEastAsia" w:hAnsiTheme="minorEastAsia" w:eastAsiaTheme="minorEastAsia" w:cstheme="minorEastAsia"/>
                <w:b/>
                <w:bCs/>
                <w:kern w:val="21"/>
                <w:sz w:val="21"/>
                <w:szCs w:val="21"/>
                <w:lang w:val="en-US" w:eastAsia="zh-CN"/>
              </w:rPr>
              <w:t>0</w:t>
            </w:r>
          </w:p>
        </w:tc>
        <w:tc>
          <w:tcPr>
            <w:tcW w:w="0" w:type="auto"/>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hint="eastAsia" w:asciiTheme="minorEastAsia" w:hAnsiTheme="minorEastAsia" w:eastAsiaTheme="minorEastAsia" w:cstheme="minorEastAsia"/>
                <w:b/>
                <w:bCs/>
                <w:kern w:val="21"/>
                <w:sz w:val="21"/>
                <w:szCs w:val="21"/>
                <w:lang w:val="en-US" w:eastAsia="zh-CN"/>
              </w:rPr>
            </w:pPr>
            <w:r>
              <w:rPr>
                <w:rFonts w:hint="eastAsia" w:asciiTheme="minorEastAsia" w:hAnsiTheme="minorEastAsia" w:eastAsiaTheme="minorEastAsia" w:cstheme="minorEastAsia"/>
                <w:b/>
                <w:bCs/>
                <w:kern w:val="21"/>
                <w:sz w:val="21"/>
                <w:szCs w:val="21"/>
                <w:lang w:val="en-US" w:eastAsia="zh-CN"/>
              </w:rPr>
              <w:t>0</w:t>
            </w:r>
          </w:p>
        </w:tc>
        <w:tc>
          <w:tcPr>
            <w:tcW w:w="0" w:type="auto"/>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hint="eastAsia" w:asciiTheme="minorEastAsia" w:hAnsiTheme="minorEastAsia" w:eastAsiaTheme="minorEastAsia" w:cstheme="minorEastAsia"/>
                <w:b/>
                <w:bCs/>
                <w:kern w:val="21"/>
                <w:sz w:val="21"/>
                <w:szCs w:val="21"/>
                <w:lang w:val="en-US" w:eastAsia="zh-CN"/>
              </w:rPr>
            </w:pPr>
            <w:r>
              <w:rPr>
                <w:rFonts w:hint="eastAsia" w:asciiTheme="minorEastAsia" w:hAnsiTheme="minorEastAsia" w:eastAsiaTheme="minorEastAsia" w:cstheme="minorEastAsia"/>
                <w:b/>
                <w:bCs/>
                <w:kern w:val="21"/>
                <w:sz w:val="21"/>
                <w:szCs w:val="21"/>
                <w:lang w:val="en-US" w:eastAsia="zh-CN"/>
              </w:rPr>
              <w:t>0</w:t>
            </w:r>
          </w:p>
        </w:tc>
        <w:tc>
          <w:tcPr>
            <w:tcW w:w="0" w:type="auto"/>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hint="eastAsia" w:asciiTheme="minorEastAsia" w:hAnsiTheme="minorEastAsia" w:eastAsiaTheme="minorEastAsia" w:cstheme="minorEastAsia"/>
                <w:b/>
                <w:bCs/>
                <w:kern w:val="21"/>
                <w:sz w:val="21"/>
                <w:szCs w:val="21"/>
                <w:lang w:val="en-US" w:eastAsia="zh-CN"/>
              </w:rPr>
            </w:pPr>
            <w:r>
              <w:rPr>
                <w:rFonts w:hint="eastAsia" w:asciiTheme="minorEastAsia" w:hAnsiTheme="minorEastAsia" w:eastAsiaTheme="minorEastAsia" w:cstheme="minorEastAsia"/>
                <w:b/>
                <w:bCs/>
                <w:kern w:val="21"/>
                <w:sz w:val="21"/>
                <w:szCs w:val="21"/>
                <w:lang w:val="en-US" w:eastAsia="zh-CN"/>
              </w:rPr>
              <w:t>0</w:t>
            </w:r>
          </w:p>
        </w:tc>
        <w:tc>
          <w:tcPr>
            <w:tcW w:w="0" w:type="auto"/>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hint="eastAsia" w:asciiTheme="minorEastAsia" w:hAnsiTheme="minorEastAsia" w:eastAsiaTheme="minorEastAsia" w:cstheme="minorEastAsia"/>
                <w:b/>
                <w:bCs/>
                <w:kern w:val="21"/>
                <w:sz w:val="21"/>
                <w:szCs w:val="21"/>
                <w:lang w:val="en-US" w:eastAsia="zh-CN"/>
              </w:rPr>
            </w:pPr>
            <w:r>
              <w:rPr>
                <w:rFonts w:hint="eastAsia" w:asciiTheme="minorEastAsia" w:hAnsiTheme="minorEastAsia" w:eastAsiaTheme="minorEastAsia" w:cstheme="minorEastAsia"/>
                <w:b/>
                <w:bCs/>
                <w:kern w:val="21"/>
                <w:sz w:val="21"/>
                <w:szCs w:val="21"/>
                <w:lang w:val="en-US" w:eastAsia="zh-CN"/>
              </w:rPr>
              <w:t>0</w:t>
            </w:r>
          </w:p>
        </w:tc>
        <w:tc>
          <w:tcPr>
            <w:tcW w:w="0" w:type="auto"/>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hint="eastAsia" w:asciiTheme="minorEastAsia" w:hAnsiTheme="minorEastAsia" w:eastAsiaTheme="minorEastAsia" w:cstheme="minorEastAsia"/>
                <w:b/>
                <w:bCs/>
                <w:kern w:val="21"/>
                <w:sz w:val="21"/>
                <w:szCs w:val="21"/>
                <w:lang w:val="en-US" w:eastAsia="zh-CN"/>
              </w:rPr>
            </w:pPr>
            <w:r>
              <w:rPr>
                <w:rFonts w:hint="eastAsia" w:asciiTheme="minorEastAsia" w:hAnsiTheme="minorEastAsia" w:eastAsiaTheme="minorEastAsia" w:cstheme="minorEastAsia"/>
                <w:b/>
                <w:bCs/>
                <w:kern w:val="21"/>
                <w:sz w:val="21"/>
                <w:szCs w:val="21"/>
                <w:lang w:val="en-US" w:eastAsia="zh-CN"/>
              </w:rPr>
              <w:t>0</w:t>
            </w:r>
          </w:p>
        </w:tc>
        <w:tc>
          <w:tcPr>
            <w:tcW w:w="0" w:type="auto"/>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hint="eastAsia" w:asciiTheme="minorEastAsia" w:hAnsiTheme="minorEastAsia" w:eastAsiaTheme="minorEastAsia" w:cstheme="minorEastAsia"/>
                <w:b/>
                <w:bCs/>
                <w:kern w:val="21"/>
                <w:sz w:val="21"/>
                <w:szCs w:val="21"/>
                <w:lang w:val="en-US" w:eastAsia="zh-CN"/>
              </w:rPr>
            </w:pPr>
            <w:r>
              <w:rPr>
                <w:rFonts w:hint="eastAsia" w:asciiTheme="minorEastAsia" w:hAnsiTheme="minorEastAsia" w:eastAsiaTheme="minorEastAsia" w:cstheme="minorEastAsia"/>
                <w:b/>
                <w:bCs/>
                <w:kern w:val="21"/>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0" w:type="auto"/>
            <w:gridSpan w:val="3"/>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二、上年结转政府信息公开申请数量</w:t>
            </w:r>
          </w:p>
        </w:tc>
        <w:tc>
          <w:tcPr>
            <w:tcW w:w="0" w:type="auto"/>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hint="eastAsia" w:asciiTheme="minorEastAsia" w:hAnsiTheme="minorEastAsia" w:eastAsiaTheme="minorEastAsia" w:cstheme="minorEastAsia"/>
                <w:b/>
                <w:bCs/>
                <w:kern w:val="21"/>
                <w:sz w:val="21"/>
                <w:szCs w:val="21"/>
                <w:lang w:val="en-US" w:eastAsia="zh-CN"/>
              </w:rPr>
            </w:pPr>
            <w:r>
              <w:rPr>
                <w:rFonts w:hint="eastAsia" w:asciiTheme="minorEastAsia" w:hAnsiTheme="minorEastAsia" w:eastAsiaTheme="minorEastAsia" w:cstheme="minorEastAsia"/>
                <w:b/>
                <w:bCs/>
                <w:kern w:val="21"/>
                <w:sz w:val="21"/>
                <w:szCs w:val="21"/>
                <w:lang w:val="en-US" w:eastAsia="zh-CN"/>
              </w:rPr>
              <w:t>0</w:t>
            </w:r>
          </w:p>
        </w:tc>
        <w:tc>
          <w:tcPr>
            <w:tcW w:w="0" w:type="auto"/>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hint="eastAsia" w:asciiTheme="minorEastAsia" w:hAnsiTheme="minorEastAsia" w:eastAsiaTheme="minorEastAsia" w:cstheme="minorEastAsia"/>
                <w:b/>
                <w:bCs/>
                <w:kern w:val="21"/>
                <w:sz w:val="21"/>
                <w:szCs w:val="21"/>
                <w:lang w:val="en-US" w:eastAsia="zh-CN"/>
              </w:rPr>
            </w:pPr>
            <w:r>
              <w:rPr>
                <w:rFonts w:hint="eastAsia" w:asciiTheme="minorEastAsia" w:hAnsiTheme="minorEastAsia" w:eastAsiaTheme="minorEastAsia" w:cstheme="minorEastAsia"/>
                <w:b/>
                <w:bCs/>
                <w:kern w:val="21"/>
                <w:sz w:val="21"/>
                <w:szCs w:val="21"/>
                <w:lang w:val="en-US" w:eastAsia="zh-CN"/>
              </w:rPr>
              <w:t>0</w:t>
            </w:r>
          </w:p>
        </w:tc>
        <w:tc>
          <w:tcPr>
            <w:tcW w:w="0" w:type="auto"/>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hint="eastAsia" w:asciiTheme="minorEastAsia" w:hAnsiTheme="minorEastAsia" w:eastAsiaTheme="minorEastAsia" w:cstheme="minorEastAsia"/>
                <w:b/>
                <w:bCs/>
                <w:kern w:val="21"/>
                <w:sz w:val="21"/>
                <w:szCs w:val="21"/>
                <w:lang w:val="en-US" w:eastAsia="zh-CN"/>
              </w:rPr>
            </w:pPr>
            <w:r>
              <w:rPr>
                <w:rFonts w:hint="eastAsia" w:asciiTheme="minorEastAsia" w:hAnsiTheme="minorEastAsia" w:eastAsiaTheme="minorEastAsia" w:cstheme="minorEastAsia"/>
                <w:b/>
                <w:bCs/>
                <w:kern w:val="21"/>
                <w:sz w:val="21"/>
                <w:szCs w:val="21"/>
                <w:lang w:val="en-US" w:eastAsia="zh-CN"/>
              </w:rPr>
              <w:t>0</w:t>
            </w:r>
          </w:p>
        </w:tc>
        <w:tc>
          <w:tcPr>
            <w:tcW w:w="0" w:type="auto"/>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hint="eastAsia" w:asciiTheme="minorEastAsia" w:hAnsiTheme="minorEastAsia" w:eastAsiaTheme="minorEastAsia" w:cstheme="minorEastAsia"/>
                <w:b/>
                <w:bCs/>
                <w:kern w:val="21"/>
                <w:sz w:val="21"/>
                <w:szCs w:val="21"/>
                <w:lang w:val="en-US" w:eastAsia="zh-CN"/>
              </w:rPr>
            </w:pPr>
            <w:r>
              <w:rPr>
                <w:rFonts w:hint="eastAsia" w:asciiTheme="minorEastAsia" w:hAnsiTheme="minorEastAsia" w:eastAsiaTheme="minorEastAsia" w:cstheme="minorEastAsia"/>
                <w:b/>
                <w:bCs/>
                <w:kern w:val="21"/>
                <w:sz w:val="21"/>
                <w:szCs w:val="21"/>
                <w:lang w:val="en-US" w:eastAsia="zh-CN"/>
              </w:rPr>
              <w:t>0</w:t>
            </w:r>
          </w:p>
        </w:tc>
        <w:tc>
          <w:tcPr>
            <w:tcW w:w="0" w:type="auto"/>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hint="eastAsia" w:asciiTheme="minorEastAsia" w:hAnsiTheme="minorEastAsia" w:eastAsiaTheme="minorEastAsia" w:cstheme="minorEastAsia"/>
                <w:b/>
                <w:bCs/>
                <w:kern w:val="21"/>
                <w:sz w:val="21"/>
                <w:szCs w:val="21"/>
                <w:lang w:val="en-US" w:eastAsia="zh-CN"/>
              </w:rPr>
            </w:pPr>
            <w:r>
              <w:rPr>
                <w:rFonts w:hint="eastAsia" w:asciiTheme="minorEastAsia" w:hAnsiTheme="minorEastAsia" w:eastAsiaTheme="minorEastAsia" w:cstheme="minorEastAsia"/>
                <w:b/>
                <w:bCs/>
                <w:kern w:val="21"/>
                <w:sz w:val="21"/>
                <w:szCs w:val="21"/>
                <w:lang w:val="en-US" w:eastAsia="zh-CN"/>
              </w:rPr>
              <w:t>0</w:t>
            </w:r>
          </w:p>
        </w:tc>
        <w:tc>
          <w:tcPr>
            <w:tcW w:w="0" w:type="auto"/>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hint="eastAsia" w:asciiTheme="minorEastAsia" w:hAnsiTheme="minorEastAsia" w:eastAsiaTheme="minorEastAsia" w:cstheme="minorEastAsia"/>
                <w:b/>
                <w:bCs/>
                <w:kern w:val="21"/>
                <w:sz w:val="21"/>
                <w:szCs w:val="21"/>
                <w:lang w:val="en-US" w:eastAsia="zh-CN"/>
              </w:rPr>
            </w:pPr>
            <w:r>
              <w:rPr>
                <w:rFonts w:hint="eastAsia" w:asciiTheme="minorEastAsia" w:hAnsiTheme="minorEastAsia" w:eastAsiaTheme="minorEastAsia" w:cstheme="minorEastAsia"/>
                <w:b/>
                <w:bCs/>
                <w:kern w:val="21"/>
                <w:sz w:val="21"/>
                <w:szCs w:val="21"/>
                <w:lang w:val="en-US" w:eastAsia="zh-CN"/>
              </w:rPr>
              <w:t>0</w:t>
            </w:r>
          </w:p>
        </w:tc>
        <w:tc>
          <w:tcPr>
            <w:tcW w:w="0" w:type="auto"/>
            <w:vAlign w:val="center"/>
          </w:tcPr>
          <w:p>
            <w:pPr>
              <w:keepNext w:val="0"/>
              <w:keepLines w:val="0"/>
              <w:pageBreakBefore w:val="0"/>
              <w:kinsoku/>
              <w:wordWrap/>
              <w:overflowPunct/>
              <w:topLinePunct w:val="0"/>
              <w:bidi w:val="0"/>
              <w:adjustRightInd/>
              <w:snapToGrid/>
              <w:spacing w:line="560" w:lineRule="exact"/>
              <w:ind w:left="0"/>
              <w:jc w:val="center"/>
              <w:textAlignment w:val="auto"/>
              <w:rPr>
                <w:rFonts w:hint="eastAsia" w:asciiTheme="minorEastAsia" w:hAnsiTheme="minorEastAsia" w:eastAsiaTheme="minorEastAsia" w:cstheme="minorEastAsia"/>
                <w:b/>
                <w:bCs/>
                <w:kern w:val="21"/>
                <w:sz w:val="21"/>
                <w:szCs w:val="21"/>
                <w:lang w:val="en-US" w:eastAsia="zh-CN"/>
              </w:rPr>
            </w:pPr>
            <w:r>
              <w:rPr>
                <w:rFonts w:hint="eastAsia" w:asciiTheme="minorEastAsia" w:hAnsiTheme="minorEastAsia" w:eastAsiaTheme="minorEastAsia" w:cstheme="minorEastAsia"/>
                <w:b/>
                <w:bCs/>
                <w:kern w:val="21"/>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0" w:type="auto"/>
            <w:vMerge w:val="restart"/>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三、本年度办理结果</w:t>
            </w:r>
          </w:p>
        </w:tc>
        <w:tc>
          <w:tcPr>
            <w:tcW w:w="0" w:type="auto"/>
            <w:gridSpan w:val="2"/>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（一）予以公开</w:t>
            </w:r>
          </w:p>
        </w:tc>
        <w:tc>
          <w:tcPr>
            <w:tcW w:w="56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63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63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77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77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49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49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0" w:type="auto"/>
            <w:vMerge w:val="continue"/>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p>
        </w:tc>
        <w:tc>
          <w:tcPr>
            <w:tcW w:w="0" w:type="auto"/>
            <w:gridSpan w:val="2"/>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（二）部分公开（区分处理的，只计这一情形，不计其他情形）</w:t>
            </w:r>
          </w:p>
        </w:tc>
        <w:tc>
          <w:tcPr>
            <w:tcW w:w="56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63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63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77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77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49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49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0" w:type="auto"/>
            <w:vMerge w:val="continue"/>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p>
        </w:tc>
        <w:tc>
          <w:tcPr>
            <w:tcW w:w="0" w:type="auto"/>
            <w:vMerge w:val="restart"/>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（三）不予公开</w:t>
            </w:r>
          </w:p>
        </w:tc>
        <w:tc>
          <w:tcPr>
            <w:tcW w:w="0" w:type="auto"/>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1．属于国家秘密</w:t>
            </w:r>
          </w:p>
        </w:tc>
        <w:tc>
          <w:tcPr>
            <w:tcW w:w="56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63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63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77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77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49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49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0" w:type="auto"/>
            <w:vMerge w:val="continue"/>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p>
        </w:tc>
        <w:tc>
          <w:tcPr>
            <w:tcW w:w="0" w:type="auto"/>
            <w:vMerge w:val="continue"/>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p>
        </w:tc>
        <w:tc>
          <w:tcPr>
            <w:tcW w:w="0" w:type="auto"/>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2．其他法律行政法规禁止公开</w:t>
            </w:r>
          </w:p>
        </w:tc>
        <w:tc>
          <w:tcPr>
            <w:tcW w:w="56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63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63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77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77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49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49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0" w:type="auto"/>
            <w:vMerge w:val="continue"/>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p>
        </w:tc>
        <w:tc>
          <w:tcPr>
            <w:tcW w:w="0" w:type="auto"/>
            <w:vMerge w:val="continue"/>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p>
        </w:tc>
        <w:tc>
          <w:tcPr>
            <w:tcW w:w="0" w:type="auto"/>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3．危及“三安全一稳定”</w:t>
            </w:r>
          </w:p>
        </w:tc>
        <w:tc>
          <w:tcPr>
            <w:tcW w:w="56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63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63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77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77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49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49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p>
        </w:tc>
        <w:tc>
          <w:tcPr>
            <w:tcW w:w="0" w:type="auto"/>
            <w:vMerge w:val="continue"/>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p>
        </w:tc>
        <w:tc>
          <w:tcPr>
            <w:tcW w:w="0" w:type="auto"/>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4．保护第三方合法权益</w:t>
            </w:r>
          </w:p>
        </w:tc>
        <w:tc>
          <w:tcPr>
            <w:tcW w:w="56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63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63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77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77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49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49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0" w:type="auto"/>
            <w:vMerge w:val="continue"/>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p>
        </w:tc>
        <w:tc>
          <w:tcPr>
            <w:tcW w:w="0" w:type="auto"/>
            <w:vMerge w:val="continue"/>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p>
        </w:tc>
        <w:tc>
          <w:tcPr>
            <w:tcW w:w="0" w:type="auto"/>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5．属于三类内部事务信息</w:t>
            </w:r>
          </w:p>
        </w:tc>
        <w:tc>
          <w:tcPr>
            <w:tcW w:w="56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63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63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77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77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49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49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0" w:type="auto"/>
            <w:vMerge w:val="continue"/>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p>
        </w:tc>
        <w:tc>
          <w:tcPr>
            <w:tcW w:w="0" w:type="auto"/>
            <w:vMerge w:val="continue"/>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p>
        </w:tc>
        <w:tc>
          <w:tcPr>
            <w:tcW w:w="0" w:type="auto"/>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6．属于四类过程性信息</w:t>
            </w:r>
          </w:p>
        </w:tc>
        <w:tc>
          <w:tcPr>
            <w:tcW w:w="56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63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63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77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77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49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49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0" w:type="auto"/>
            <w:vMerge w:val="continue"/>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p>
        </w:tc>
        <w:tc>
          <w:tcPr>
            <w:tcW w:w="0" w:type="auto"/>
            <w:vMerge w:val="continue"/>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p>
        </w:tc>
        <w:tc>
          <w:tcPr>
            <w:tcW w:w="0" w:type="auto"/>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7．属于行政执法案卷</w:t>
            </w:r>
          </w:p>
        </w:tc>
        <w:tc>
          <w:tcPr>
            <w:tcW w:w="56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63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63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77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77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49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49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0" w:type="auto"/>
            <w:vMerge w:val="continue"/>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p>
        </w:tc>
        <w:tc>
          <w:tcPr>
            <w:tcW w:w="0" w:type="auto"/>
            <w:vMerge w:val="continue"/>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p>
        </w:tc>
        <w:tc>
          <w:tcPr>
            <w:tcW w:w="0" w:type="auto"/>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8．属于行政查询事项</w:t>
            </w:r>
          </w:p>
        </w:tc>
        <w:tc>
          <w:tcPr>
            <w:tcW w:w="56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63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63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77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77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49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49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0" w:type="auto"/>
            <w:vMerge w:val="continue"/>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p>
        </w:tc>
        <w:tc>
          <w:tcPr>
            <w:tcW w:w="0" w:type="auto"/>
            <w:vMerge w:val="restart"/>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（四）无法提供</w:t>
            </w:r>
          </w:p>
        </w:tc>
        <w:tc>
          <w:tcPr>
            <w:tcW w:w="0" w:type="auto"/>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1．本单位不掌握相关政府信息</w:t>
            </w:r>
          </w:p>
        </w:tc>
        <w:tc>
          <w:tcPr>
            <w:tcW w:w="56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63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63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77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77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49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49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0" w:type="auto"/>
            <w:vMerge w:val="continue"/>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p>
        </w:tc>
        <w:tc>
          <w:tcPr>
            <w:tcW w:w="0" w:type="auto"/>
            <w:vMerge w:val="continue"/>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p>
        </w:tc>
        <w:tc>
          <w:tcPr>
            <w:tcW w:w="0" w:type="auto"/>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2．没有现成信息需要另行制作</w:t>
            </w:r>
          </w:p>
        </w:tc>
        <w:tc>
          <w:tcPr>
            <w:tcW w:w="56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63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63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77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77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49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49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0" w:type="auto"/>
            <w:vMerge w:val="continue"/>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p>
        </w:tc>
        <w:tc>
          <w:tcPr>
            <w:tcW w:w="0" w:type="auto"/>
            <w:vMerge w:val="continue"/>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p>
        </w:tc>
        <w:tc>
          <w:tcPr>
            <w:tcW w:w="0" w:type="auto"/>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3．补正后申请内容仍不明确</w:t>
            </w:r>
          </w:p>
        </w:tc>
        <w:tc>
          <w:tcPr>
            <w:tcW w:w="56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63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63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77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77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49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49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0" w:type="auto"/>
            <w:vMerge w:val="continue"/>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p>
        </w:tc>
        <w:tc>
          <w:tcPr>
            <w:tcW w:w="0" w:type="auto"/>
            <w:vMerge w:val="restart"/>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（五）不予处理</w:t>
            </w:r>
          </w:p>
        </w:tc>
        <w:tc>
          <w:tcPr>
            <w:tcW w:w="0" w:type="auto"/>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1．信访举报投诉类申请</w:t>
            </w:r>
          </w:p>
        </w:tc>
        <w:tc>
          <w:tcPr>
            <w:tcW w:w="56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63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63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77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77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49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49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0" w:type="auto"/>
            <w:vMerge w:val="continue"/>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p>
        </w:tc>
        <w:tc>
          <w:tcPr>
            <w:tcW w:w="0" w:type="auto"/>
            <w:vMerge w:val="continue"/>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p>
        </w:tc>
        <w:tc>
          <w:tcPr>
            <w:tcW w:w="0" w:type="auto"/>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2．重复申请</w:t>
            </w:r>
          </w:p>
        </w:tc>
        <w:tc>
          <w:tcPr>
            <w:tcW w:w="56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63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63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77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77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49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49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0" w:type="auto"/>
            <w:vMerge w:val="continue"/>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p>
        </w:tc>
        <w:tc>
          <w:tcPr>
            <w:tcW w:w="0" w:type="auto"/>
            <w:vMerge w:val="continue"/>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p>
        </w:tc>
        <w:tc>
          <w:tcPr>
            <w:tcW w:w="0" w:type="auto"/>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3．要求提供公开出版物</w:t>
            </w:r>
          </w:p>
        </w:tc>
        <w:tc>
          <w:tcPr>
            <w:tcW w:w="56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63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63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77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77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49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49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0" w:type="auto"/>
            <w:vMerge w:val="continue"/>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p>
        </w:tc>
        <w:tc>
          <w:tcPr>
            <w:tcW w:w="0" w:type="auto"/>
            <w:vMerge w:val="continue"/>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p>
        </w:tc>
        <w:tc>
          <w:tcPr>
            <w:tcW w:w="0" w:type="auto"/>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4．无正当理由大量反复申请</w:t>
            </w:r>
          </w:p>
        </w:tc>
        <w:tc>
          <w:tcPr>
            <w:tcW w:w="56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63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63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77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77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49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49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0" w:type="auto"/>
            <w:vMerge w:val="continue"/>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p>
        </w:tc>
        <w:tc>
          <w:tcPr>
            <w:tcW w:w="0" w:type="auto"/>
            <w:vMerge w:val="continue"/>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p>
        </w:tc>
        <w:tc>
          <w:tcPr>
            <w:tcW w:w="0" w:type="auto"/>
          </w:tcPr>
          <w:p>
            <w:pPr>
              <w:keepNext w:val="0"/>
              <w:keepLines w:val="0"/>
              <w:pageBreakBefore w:val="0"/>
              <w:kinsoku/>
              <w:wordWrap/>
              <w:overflowPunct/>
              <w:topLinePunct w:val="0"/>
              <w:bidi w:val="0"/>
              <w:adjustRightInd/>
              <w:snapToGrid/>
              <w:spacing w:line="560" w:lineRule="exact"/>
              <w:ind w:left="0" w:hanging="210" w:hangingChars="100"/>
              <w:jc w:val="both"/>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5．要求行政机关确认或重新出具已获取信息</w:t>
            </w:r>
          </w:p>
        </w:tc>
        <w:tc>
          <w:tcPr>
            <w:tcW w:w="56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63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63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77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77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49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49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0" w:type="auto"/>
            <w:vMerge w:val="continue"/>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p>
        </w:tc>
        <w:tc>
          <w:tcPr>
            <w:tcW w:w="0" w:type="auto"/>
            <w:gridSpan w:val="2"/>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（六）其他处理</w:t>
            </w:r>
          </w:p>
        </w:tc>
        <w:tc>
          <w:tcPr>
            <w:tcW w:w="56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63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63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77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77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49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49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0" w:type="auto"/>
            <w:vMerge w:val="continue"/>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p>
        </w:tc>
        <w:tc>
          <w:tcPr>
            <w:tcW w:w="0" w:type="auto"/>
            <w:gridSpan w:val="2"/>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（七）总计</w:t>
            </w:r>
          </w:p>
        </w:tc>
        <w:tc>
          <w:tcPr>
            <w:tcW w:w="56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63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63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77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77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49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49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lang w:val="en-US"/>
              </w:rPr>
            </w:pPr>
            <w:r>
              <w:rPr>
                <w:rFonts w:hint="eastAsia" w:asciiTheme="minorEastAsia" w:hAnsiTheme="minorEastAsia" w:eastAsiaTheme="minorEastAsia" w:cstheme="minorEastAsia"/>
                <w:b/>
                <w:bCs/>
                <w:kern w:val="21"/>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0" w:type="auto"/>
            <w:gridSpan w:val="3"/>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asciiTheme="minorEastAsia" w:hAnsiTheme="minorEastAsia" w:eastAsiaTheme="minorEastAsia" w:cstheme="minorEastAsia"/>
                <w:bCs/>
                <w:kern w:val="21"/>
                <w:sz w:val="21"/>
                <w:szCs w:val="21"/>
              </w:rPr>
            </w:pPr>
            <w:r>
              <w:rPr>
                <w:rFonts w:hint="eastAsia" w:asciiTheme="minorEastAsia" w:hAnsiTheme="minorEastAsia" w:eastAsiaTheme="minorEastAsia" w:cstheme="minorEastAsia"/>
                <w:bCs/>
                <w:kern w:val="21"/>
                <w:sz w:val="21"/>
                <w:szCs w:val="21"/>
              </w:rPr>
              <w:t>四、结转下年度继续办理</w:t>
            </w:r>
          </w:p>
        </w:tc>
        <w:tc>
          <w:tcPr>
            <w:tcW w:w="56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63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63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77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776"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49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c>
          <w:tcPr>
            <w:tcW w:w="497" w:type="dxa"/>
            <w:vAlign w:val="center"/>
          </w:tcPr>
          <w:p>
            <w:pPr>
              <w:keepNext w:val="0"/>
              <w:keepLines w:val="0"/>
              <w:pageBreakBefore w:val="0"/>
              <w:kinsoku/>
              <w:wordWrap/>
              <w:overflowPunct/>
              <w:topLinePunct w:val="0"/>
              <w:bidi w:val="0"/>
              <w:adjustRightInd/>
              <w:snapToGrid/>
              <w:spacing w:line="560" w:lineRule="exact"/>
              <w:ind w:left="0" w:leftChars="0"/>
              <w:jc w:val="center"/>
              <w:textAlignment w:val="auto"/>
              <w:rPr>
                <w:rFonts w:asciiTheme="minorEastAsia" w:hAnsiTheme="minorEastAsia" w:eastAsiaTheme="minorEastAsia" w:cstheme="minorEastAsia"/>
                <w:b/>
                <w:bCs/>
                <w:kern w:val="21"/>
                <w:sz w:val="21"/>
                <w:szCs w:val="21"/>
              </w:rPr>
            </w:pPr>
            <w:r>
              <w:rPr>
                <w:rFonts w:hint="eastAsia" w:asciiTheme="minorEastAsia" w:hAnsiTheme="minorEastAsia" w:eastAsiaTheme="minorEastAsia" w:cstheme="minorEastAsia"/>
                <w:b/>
                <w:bCs/>
                <w:kern w:val="21"/>
                <w:sz w:val="21"/>
                <w:szCs w:val="21"/>
                <w:lang w:val="en-US" w:eastAsia="zh-CN"/>
              </w:rPr>
              <w:t>0</w:t>
            </w:r>
          </w:p>
        </w:tc>
      </w:tr>
    </w:tbl>
    <w:p>
      <w:pPr>
        <w:keepNext w:val="0"/>
        <w:keepLines w:val="0"/>
        <w:pageBreakBefore w:val="0"/>
        <w:numPr>
          <w:ilvl w:val="0"/>
          <w:numId w:val="0"/>
        </w:numPr>
        <w:tabs>
          <w:tab w:val="left" w:pos="0"/>
        </w:tabs>
        <w:kinsoku/>
        <w:wordWrap/>
        <w:overflowPunct/>
        <w:topLinePunct w:val="0"/>
        <w:bidi w:val="0"/>
        <w:adjustRightInd/>
        <w:snapToGrid/>
        <w:spacing w:line="560" w:lineRule="exact"/>
        <w:ind w:firstLine="643" w:firstLineChars="200"/>
        <w:jc w:val="both"/>
        <w:textAlignment w:val="auto"/>
        <w:rPr>
          <w:rFonts w:ascii="仿宋_GB2312" w:hAnsi="仿宋_GB2312" w:eastAsia="仿宋_GB2312" w:cs="仿宋_GB2312"/>
          <w:b/>
          <w:bCs/>
          <w:kern w:val="21"/>
          <w:sz w:val="32"/>
          <w:szCs w:val="32"/>
        </w:rPr>
      </w:pPr>
      <w:r>
        <w:rPr>
          <w:rFonts w:hint="eastAsia" w:ascii="黑体" w:hAnsi="黑体" w:eastAsia="黑体" w:cs="黑体"/>
          <w:b/>
          <w:bCs/>
          <w:kern w:val="21"/>
          <w:sz w:val="32"/>
          <w:szCs w:val="32"/>
          <w:lang w:eastAsia="zh-CN"/>
        </w:rPr>
        <w:t>四、</w:t>
      </w:r>
      <w:r>
        <w:rPr>
          <w:rFonts w:hint="eastAsia" w:ascii="黑体" w:hAnsi="黑体" w:eastAsia="黑体" w:cs="黑体"/>
          <w:b/>
          <w:bCs/>
          <w:kern w:val="21"/>
          <w:sz w:val="32"/>
          <w:szCs w:val="32"/>
        </w:rPr>
        <w:t>政府信息公开行政复议、行政诉讼情况</w:t>
      </w:r>
    </w:p>
    <w:tbl>
      <w:tblPr>
        <w:tblStyle w:val="7"/>
        <w:tblpPr w:leftFromText="180" w:rightFromText="180" w:vertAnchor="text" w:horzAnchor="page" w:tblpX="1890" w:tblpY="4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594"/>
        <w:gridCol w:w="594"/>
        <w:gridCol w:w="594"/>
        <w:gridCol w:w="463"/>
        <w:gridCol w:w="594"/>
        <w:gridCol w:w="594"/>
        <w:gridCol w:w="594"/>
        <w:gridCol w:w="594"/>
        <w:gridCol w:w="463"/>
        <w:gridCol w:w="595"/>
        <w:gridCol w:w="595"/>
        <w:gridCol w:w="595"/>
        <w:gridCol w:w="595"/>
        <w:gridCol w:w="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0" w:type="auto"/>
            <w:gridSpan w:val="5"/>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ascii="黑体" w:hAnsi="黑体" w:eastAsia="黑体" w:cs="黑体"/>
                <w:b/>
                <w:bCs/>
                <w:kern w:val="21"/>
                <w:sz w:val="18"/>
                <w:szCs w:val="18"/>
              </w:rPr>
            </w:pPr>
            <w:r>
              <w:rPr>
                <w:rFonts w:hint="eastAsia" w:ascii="黑体" w:hAnsi="黑体" w:eastAsia="黑体" w:cs="黑体"/>
                <w:b/>
                <w:bCs/>
                <w:kern w:val="21"/>
                <w:sz w:val="18"/>
                <w:szCs w:val="18"/>
              </w:rPr>
              <w:t>行政复议</w:t>
            </w:r>
          </w:p>
        </w:tc>
        <w:tc>
          <w:tcPr>
            <w:tcW w:w="0" w:type="auto"/>
            <w:gridSpan w:val="1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ascii="黑体" w:hAnsi="黑体" w:eastAsia="黑体" w:cs="黑体"/>
                <w:b/>
                <w:bCs/>
                <w:kern w:val="21"/>
                <w:sz w:val="18"/>
                <w:szCs w:val="18"/>
              </w:rPr>
            </w:pPr>
            <w:r>
              <w:rPr>
                <w:rFonts w:hint="eastAsia" w:ascii="黑体" w:hAnsi="黑体" w:eastAsia="黑体" w:cs="黑体"/>
                <w:b/>
                <w:bCs/>
                <w:kern w:val="21"/>
                <w:sz w:val="18"/>
                <w:szCs w:val="18"/>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0" w:type="auto"/>
            <w:vMerge w:val="restart"/>
            <w:vAlign w:val="center"/>
          </w:tcPr>
          <w:p>
            <w:pPr>
              <w:keepNext w:val="0"/>
              <w:keepLines w:val="0"/>
              <w:pageBreakBefore w:val="0"/>
              <w:kinsoku/>
              <w:wordWrap/>
              <w:overflowPunct/>
              <w:topLinePunct w:val="0"/>
              <w:autoSpaceDE/>
              <w:autoSpaceDN/>
              <w:bidi w:val="0"/>
              <w:adjustRightInd/>
              <w:snapToGrid/>
              <w:spacing w:line="560" w:lineRule="exact"/>
              <w:ind w:left="0"/>
              <w:jc w:val="both"/>
              <w:textAlignment w:val="auto"/>
              <w:rPr>
                <w:rFonts w:ascii="黑体" w:hAnsi="黑体" w:eastAsia="黑体" w:cs="黑体"/>
                <w:b/>
                <w:bCs/>
                <w:kern w:val="21"/>
                <w:sz w:val="18"/>
                <w:szCs w:val="18"/>
              </w:rPr>
            </w:pPr>
            <w:r>
              <w:rPr>
                <w:rFonts w:hint="eastAsia" w:ascii="黑体" w:hAnsi="黑体" w:eastAsia="黑体" w:cs="黑体"/>
                <w:b/>
                <w:bCs/>
                <w:kern w:val="21"/>
                <w:sz w:val="18"/>
                <w:szCs w:val="18"/>
              </w:rPr>
              <w:t>结果维持</w:t>
            </w:r>
          </w:p>
        </w:tc>
        <w:tc>
          <w:tcPr>
            <w:tcW w:w="0" w:type="auto"/>
            <w:vMerge w:val="restart"/>
            <w:vAlign w:val="center"/>
          </w:tcPr>
          <w:p>
            <w:pPr>
              <w:keepNext w:val="0"/>
              <w:keepLines w:val="0"/>
              <w:pageBreakBefore w:val="0"/>
              <w:kinsoku/>
              <w:wordWrap/>
              <w:overflowPunct/>
              <w:topLinePunct w:val="0"/>
              <w:autoSpaceDE/>
              <w:autoSpaceDN/>
              <w:bidi w:val="0"/>
              <w:adjustRightInd/>
              <w:snapToGrid/>
              <w:spacing w:line="560" w:lineRule="exact"/>
              <w:ind w:left="0"/>
              <w:jc w:val="both"/>
              <w:textAlignment w:val="auto"/>
              <w:rPr>
                <w:rFonts w:ascii="黑体" w:hAnsi="黑体" w:eastAsia="黑体" w:cs="黑体"/>
                <w:b/>
                <w:bCs/>
                <w:kern w:val="21"/>
                <w:sz w:val="18"/>
                <w:szCs w:val="18"/>
              </w:rPr>
            </w:pPr>
            <w:r>
              <w:rPr>
                <w:rFonts w:hint="eastAsia" w:ascii="黑体" w:hAnsi="黑体" w:eastAsia="黑体" w:cs="黑体"/>
                <w:b/>
                <w:bCs/>
                <w:kern w:val="21"/>
                <w:sz w:val="18"/>
                <w:szCs w:val="18"/>
              </w:rPr>
              <w:t>结果纠正</w:t>
            </w:r>
          </w:p>
        </w:tc>
        <w:tc>
          <w:tcPr>
            <w:tcW w:w="0" w:type="auto"/>
            <w:vMerge w:val="restart"/>
            <w:vAlign w:val="center"/>
          </w:tcPr>
          <w:p>
            <w:pPr>
              <w:keepNext w:val="0"/>
              <w:keepLines w:val="0"/>
              <w:pageBreakBefore w:val="0"/>
              <w:kinsoku/>
              <w:wordWrap/>
              <w:overflowPunct/>
              <w:topLinePunct w:val="0"/>
              <w:autoSpaceDE/>
              <w:autoSpaceDN/>
              <w:bidi w:val="0"/>
              <w:adjustRightInd/>
              <w:snapToGrid/>
              <w:spacing w:line="560" w:lineRule="exact"/>
              <w:ind w:left="0"/>
              <w:jc w:val="both"/>
              <w:textAlignment w:val="auto"/>
              <w:rPr>
                <w:rFonts w:ascii="黑体" w:hAnsi="黑体" w:eastAsia="黑体" w:cs="黑体"/>
                <w:b/>
                <w:bCs/>
                <w:kern w:val="21"/>
                <w:sz w:val="18"/>
                <w:szCs w:val="18"/>
              </w:rPr>
            </w:pPr>
            <w:r>
              <w:rPr>
                <w:rFonts w:hint="eastAsia" w:ascii="黑体" w:hAnsi="黑体" w:eastAsia="黑体" w:cs="黑体"/>
                <w:b/>
                <w:bCs/>
                <w:kern w:val="21"/>
                <w:sz w:val="18"/>
                <w:szCs w:val="18"/>
              </w:rPr>
              <w:t>其他结果</w:t>
            </w:r>
          </w:p>
        </w:tc>
        <w:tc>
          <w:tcPr>
            <w:tcW w:w="0" w:type="auto"/>
            <w:vMerge w:val="restart"/>
            <w:vAlign w:val="center"/>
          </w:tcPr>
          <w:p>
            <w:pPr>
              <w:keepNext w:val="0"/>
              <w:keepLines w:val="0"/>
              <w:pageBreakBefore w:val="0"/>
              <w:kinsoku/>
              <w:wordWrap/>
              <w:overflowPunct/>
              <w:topLinePunct w:val="0"/>
              <w:autoSpaceDE/>
              <w:autoSpaceDN/>
              <w:bidi w:val="0"/>
              <w:adjustRightInd/>
              <w:snapToGrid/>
              <w:spacing w:line="560" w:lineRule="exact"/>
              <w:ind w:left="0"/>
              <w:jc w:val="both"/>
              <w:textAlignment w:val="auto"/>
              <w:rPr>
                <w:rFonts w:ascii="黑体" w:hAnsi="黑体" w:eastAsia="黑体" w:cs="黑体"/>
                <w:b/>
                <w:bCs/>
                <w:kern w:val="21"/>
                <w:sz w:val="18"/>
                <w:szCs w:val="18"/>
              </w:rPr>
            </w:pPr>
            <w:r>
              <w:rPr>
                <w:rFonts w:hint="eastAsia" w:ascii="黑体" w:hAnsi="黑体" w:eastAsia="黑体" w:cs="黑体"/>
                <w:b/>
                <w:bCs/>
                <w:kern w:val="21"/>
                <w:sz w:val="18"/>
                <w:szCs w:val="18"/>
              </w:rPr>
              <w:t>尚未审结</w:t>
            </w:r>
          </w:p>
        </w:tc>
        <w:tc>
          <w:tcPr>
            <w:tcW w:w="0" w:type="auto"/>
            <w:vMerge w:val="restart"/>
            <w:vAlign w:val="center"/>
          </w:tcPr>
          <w:p>
            <w:pPr>
              <w:keepNext w:val="0"/>
              <w:keepLines w:val="0"/>
              <w:pageBreakBefore w:val="0"/>
              <w:kinsoku/>
              <w:wordWrap/>
              <w:overflowPunct/>
              <w:topLinePunct w:val="0"/>
              <w:autoSpaceDE/>
              <w:autoSpaceDN/>
              <w:bidi w:val="0"/>
              <w:adjustRightInd/>
              <w:snapToGrid/>
              <w:spacing w:line="560" w:lineRule="exact"/>
              <w:ind w:left="0"/>
              <w:jc w:val="both"/>
              <w:textAlignment w:val="auto"/>
              <w:rPr>
                <w:rFonts w:ascii="黑体" w:hAnsi="黑体" w:eastAsia="黑体" w:cs="黑体"/>
                <w:b/>
                <w:bCs/>
                <w:kern w:val="21"/>
                <w:sz w:val="18"/>
                <w:szCs w:val="18"/>
              </w:rPr>
            </w:pPr>
            <w:r>
              <w:rPr>
                <w:rFonts w:hint="eastAsia" w:ascii="黑体" w:hAnsi="黑体" w:eastAsia="黑体" w:cs="黑体"/>
                <w:b/>
                <w:bCs/>
                <w:kern w:val="21"/>
                <w:sz w:val="18"/>
                <w:szCs w:val="18"/>
              </w:rPr>
              <w:t>总计</w:t>
            </w:r>
          </w:p>
        </w:tc>
        <w:tc>
          <w:tcPr>
            <w:tcW w:w="0" w:type="auto"/>
            <w:gridSpan w:val="5"/>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ascii="黑体" w:hAnsi="黑体" w:eastAsia="黑体" w:cs="黑体"/>
                <w:b/>
                <w:bCs/>
                <w:kern w:val="21"/>
                <w:sz w:val="18"/>
                <w:szCs w:val="18"/>
              </w:rPr>
            </w:pPr>
            <w:r>
              <w:rPr>
                <w:rFonts w:hint="eastAsia" w:ascii="黑体" w:hAnsi="黑体" w:eastAsia="黑体" w:cs="黑体"/>
                <w:b/>
                <w:bCs/>
                <w:kern w:val="21"/>
                <w:sz w:val="18"/>
                <w:szCs w:val="18"/>
              </w:rPr>
              <w:t>未经复议直接起诉</w:t>
            </w:r>
          </w:p>
        </w:tc>
        <w:tc>
          <w:tcPr>
            <w:tcW w:w="0" w:type="auto"/>
            <w:gridSpan w:val="5"/>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ascii="黑体" w:hAnsi="黑体" w:eastAsia="黑体" w:cs="黑体"/>
                <w:b/>
                <w:bCs/>
                <w:kern w:val="21"/>
                <w:sz w:val="18"/>
                <w:szCs w:val="18"/>
              </w:rPr>
            </w:pPr>
            <w:r>
              <w:rPr>
                <w:rFonts w:hint="eastAsia" w:ascii="黑体" w:hAnsi="黑体" w:eastAsia="黑体" w:cs="黑体"/>
                <w:b/>
                <w:bCs/>
                <w:kern w:val="21"/>
                <w:sz w:val="18"/>
                <w:szCs w:val="18"/>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ascii="黑体" w:hAnsi="黑体" w:eastAsia="黑体" w:cs="黑体"/>
                <w:b/>
                <w:bCs/>
                <w:kern w:val="21"/>
                <w:sz w:val="18"/>
                <w:szCs w:val="18"/>
              </w:rPr>
            </w:pPr>
          </w:p>
        </w:tc>
        <w:tc>
          <w:tcPr>
            <w:tcW w:w="0" w:type="auto"/>
            <w:vMerge w:val="continue"/>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ascii="黑体" w:hAnsi="黑体" w:eastAsia="黑体" w:cs="黑体"/>
                <w:b/>
                <w:bCs/>
                <w:kern w:val="21"/>
                <w:sz w:val="18"/>
                <w:szCs w:val="18"/>
              </w:rPr>
            </w:pPr>
          </w:p>
        </w:tc>
        <w:tc>
          <w:tcPr>
            <w:tcW w:w="0" w:type="auto"/>
            <w:vMerge w:val="continue"/>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ascii="黑体" w:hAnsi="黑体" w:eastAsia="黑体" w:cs="黑体"/>
                <w:b/>
                <w:bCs/>
                <w:kern w:val="21"/>
                <w:sz w:val="18"/>
                <w:szCs w:val="18"/>
              </w:rPr>
            </w:pPr>
          </w:p>
        </w:tc>
        <w:tc>
          <w:tcPr>
            <w:tcW w:w="0" w:type="auto"/>
            <w:vMerge w:val="continue"/>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ascii="黑体" w:hAnsi="黑体" w:eastAsia="黑体" w:cs="黑体"/>
                <w:b/>
                <w:bCs/>
                <w:kern w:val="21"/>
                <w:sz w:val="18"/>
                <w:szCs w:val="18"/>
              </w:rPr>
            </w:pPr>
          </w:p>
        </w:tc>
        <w:tc>
          <w:tcPr>
            <w:tcW w:w="0" w:type="auto"/>
            <w:vMerge w:val="continue"/>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ascii="黑体" w:hAnsi="黑体" w:eastAsia="黑体" w:cs="黑体"/>
                <w:b/>
                <w:bCs/>
                <w:kern w:val="21"/>
                <w:sz w:val="18"/>
                <w:szCs w:val="18"/>
              </w:rPr>
            </w:pPr>
          </w:p>
        </w:tc>
        <w:tc>
          <w:tcPr>
            <w:tcW w:w="0" w:type="auto"/>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ascii="黑体" w:hAnsi="黑体" w:eastAsia="黑体" w:cs="黑体"/>
                <w:b/>
                <w:bCs/>
                <w:kern w:val="21"/>
                <w:sz w:val="18"/>
                <w:szCs w:val="18"/>
              </w:rPr>
            </w:pPr>
            <w:r>
              <w:rPr>
                <w:rFonts w:hint="eastAsia" w:ascii="黑体" w:hAnsi="黑体" w:eastAsia="黑体" w:cs="黑体"/>
                <w:b/>
                <w:bCs/>
                <w:kern w:val="21"/>
                <w:sz w:val="18"/>
                <w:szCs w:val="18"/>
              </w:rPr>
              <w:t>结果维持</w:t>
            </w:r>
          </w:p>
        </w:tc>
        <w:tc>
          <w:tcPr>
            <w:tcW w:w="0" w:type="auto"/>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ascii="黑体" w:hAnsi="黑体" w:eastAsia="黑体" w:cs="黑体"/>
                <w:b/>
                <w:bCs/>
                <w:kern w:val="21"/>
                <w:sz w:val="18"/>
                <w:szCs w:val="18"/>
              </w:rPr>
            </w:pPr>
            <w:r>
              <w:rPr>
                <w:rFonts w:hint="eastAsia" w:ascii="黑体" w:hAnsi="黑体" w:eastAsia="黑体" w:cs="黑体"/>
                <w:b/>
                <w:bCs/>
                <w:kern w:val="21"/>
                <w:sz w:val="18"/>
                <w:szCs w:val="18"/>
              </w:rPr>
              <w:t>结果纠正</w:t>
            </w:r>
          </w:p>
        </w:tc>
        <w:tc>
          <w:tcPr>
            <w:tcW w:w="0" w:type="auto"/>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ascii="黑体" w:hAnsi="黑体" w:eastAsia="黑体" w:cs="黑体"/>
                <w:b/>
                <w:bCs/>
                <w:kern w:val="21"/>
                <w:sz w:val="18"/>
                <w:szCs w:val="18"/>
              </w:rPr>
            </w:pPr>
            <w:r>
              <w:rPr>
                <w:rFonts w:hint="eastAsia" w:ascii="黑体" w:hAnsi="黑体" w:eastAsia="黑体" w:cs="黑体"/>
                <w:b/>
                <w:bCs/>
                <w:kern w:val="21"/>
                <w:sz w:val="18"/>
                <w:szCs w:val="18"/>
              </w:rPr>
              <w:t>其他结果</w:t>
            </w:r>
          </w:p>
        </w:tc>
        <w:tc>
          <w:tcPr>
            <w:tcW w:w="0" w:type="auto"/>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ascii="黑体" w:hAnsi="黑体" w:eastAsia="黑体" w:cs="黑体"/>
                <w:b/>
                <w:bCs/>
                <w:kern w:val="21"/>
                <w:sz w:val="18"/>
                <w:szCs w:val="18"/>
              </w:rPr>
            </w:pPr>
            <w:r>
              <w:rPr>
                <w:rFonts w:hint="eastAsia" w:ascii="黑体" w:hAnsi="黑体" w:eastAsia="黑体" w:cs="黑体"/>
                <w:b/>
                <w:bCs/>
                <w:kern w:val="21"/>
                <w:sz w:val="18"/>
                <w:szCs w:val="18"/>
              </w:rPr>
              <w:t>尚未审结</w:t>
            </w:r>
          </w:p>
        </w:tc>
        <w:tc>
          <w:tcPr>
            <w:tcW w:w="0" w:type="auto"/>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ascii="黑体" w:hAnsi="黑体" w:eastAsia="黑体" w:cs="黑体"/>
                <w:b/>
                <w:bCs/>
                <w:kern w:val="21"/>
                <w:sz w:val="18"/>
                <w:szCs w:val="18"/>
              </w:rPr>
            </w:pPr>
            <w:r>
              <w:rPr>
                <w:rFonts w:hint="eastAsia" w:ascii="黑体" w:hAnsi="黑体" w:eastAsia="黑体" w:cs="黑体"/>
                <w:b/>
                <w:bCs/>
                <w:kern w:val="21"/>
                <w:sz w:val="18"/>
                <w:szCs w:val="18"/>
              </w:rPr>
              <w:t>总计</w:t>
            </w:r>
          </w:p>
        </w:tc>
        <w:tc>
          <w:tcPr>
            <w:tcW w:w="0" w:type="auto"/>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ascii="黑体" w:hAnsi="黑体" w:eastAsia="黑体" w:cs="黑体"/>
                <w:b/>
                <w:bCs/>
                <w:kern w:val="21"/>
                <w:sz w:val="18"/>
                <w:szCs w:val="18"/>
              </w:rPr>
            </w:pPr>
            <w:r>
              <w:rPr>
                <w:rFonts w:hint="eastAsia" w:ascii="黑体" w:hAnsi="黑体" w:eastAsia="黑体" w:cs="黑体"/>
                <w:b/>
                <w:bCs/>
                <w:kern w:val="21"/>
                <w:sz w:val="18"/>
                <w:szCs w:val="18"/>
              </w:rPr>
              <w:t>结果维持</w:t>
            </w:r>
          </w:p>
        </w:tc>
        <w:tc>
          <w:tcPr>
            <w:tcW w:w="0" w:type="auto"/>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ascii="黑体" w:hAnsi="黑体" w:eastAsia="黑体" w:cs="黑体"/>
                <w:b/>
                <w:bCs/>
                <w:kern w:val="21"/>
                <w:sz w:val="18"/>
                <w:szCs w:val="18"/>
              </w:rPr>
            </w:pPr>
            <w:r>
              <w:rPr>
                <w:rFonts w:hint="eastAsia" w:ascii="黑体" w:hAnsi="黑体" w:eastAsia="黑体" w:cs="黑体"/>
                <w:b/>
                <w:bCs/>
                <w:kern w:val="21"/>
                <w:sz w:val="18"/>
                <w:szCs w:val="18"/>
              </w:rPr>
              <w:t>结果纠正</w:t>
            </w:r>
          </w:p>
        </w:tc>
        <w:tc>
          <w:tcPr>
            <w:tcW w:w="0" w:type="auto"/>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ascii="黑体" w:hAnsi="黑体" w:eastAsia="黑体" w:cs="黑体"/>
                <w:b/>
                <w:bCs/>
                <w:kern w:val="21"/>
                <w:sz w:val="18"/>
                <w:szCs w:val="18"/>
              </w:rPr>
            </w:pPr>
            <w:r>
              <w:rPr>
                <w:rFonts w:hint="eastAsia" w:ascii="黑体" w:hAnsi="黑体" w:eastAsia="黑体" w:cs="黑体"/>
                <w:b/>
                <w:bCs/>
                <w:kern w:val="21"/>
                <w:sz w:val="18"/>
                <w:szCs w:val="18"/>
              </w:rPr>
              <w:t>其他结果</w:t>
            </w:r>
          </w:p>
        </w:tc>
        <w:tc>
          <w:tcPr>
            <w:tcW w:w="0" w:type="auto"/>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ascii="黑体" w:hAnsi="黑体" w:eastAsia="黑体" w:cs="黑体"/>
                <w:b/>
                <w:bCs/>
                <w:kern w:val="21"/>
                <w:sz w:val="18"/>
                <w:szCs w:val="18"/>
              </w:rPr>
            </w:pPr>
            <w:r>
              <w:rPr>
                <w:rFonts w:hint="eastAsia" w:ascii="黑体" w:hAnsi="黑体" w:eastAsia="黑体" w:cs="黑体"/>
                <w:b/>
                <w:bCs/>
                <w:kern w:val="21"/>
                <w:sz w:val="18"/>
                <w:szCs w:val="18"/>
              </w:rPr>
              <w:t>尚未审结</w:t>
            </w:r>
          </w:p>
        </w:tc>
        <w:tc>
          <w:tcPr>
            <w:tcW w:w="0" w:type="auto"/>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ascii="黑体" w:hAnsi="黑体" w:eastAsia="黑体" w:cs="黑体"/>
                <w:b/>
                <w:bCs/>
                <w:kern w:val="21"/>
                <w:sz w:val="18"/>
                <w:szCs w:val="18"/>
              </w:rPr>
            </w:pPr>
            <w:r>
              <w:rPr>
                <w:rFonts w:hint="eastAsia" w:ascii="黑体" w:hAnsi="黑体" w:eastAsia="黑体" w:cs="黑体"/>
                <w:b/>
                <w:bCs/>
                <w:kern w:val="21"/>
                <w:sz w:val="18"/>
                <w:szCs w:val="18"/>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0" w:type="auto"/>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hint="eastAsia" w:ascii="仿宋_GB2312" w:hAnsi="仿宋_GB2312" w:eastAsia="仿宋_GB2312" w:cs="仿宋_GB2312"/>
                <w:b/>
                <w:bCs/>
                <w:kern w:val="21"/>
                <w:sz w:val="18"/>
                <w:szCs w:val="18"/>
                <w:lang w:val="en-US" w:eastAsia="zh-CN"/>
              </w:rPr>
            </w:pPr>
            <w:r>
              <w:rPr>
                <w:rFonts w:hint="eastAsia" w:ascii="仿宋_GB2312" w:hAnsi="仿宋_GB2312" w:eastAsia="仿宋_GB2312" w:cs="仿宋_GB2312"/>
                <w:b/>
                <w:bCs/>
                <w:kern w:val="21"/>
                <w:sz w:val="18"/>
                <w:szCs w:val="18"/>
                <w:lang w:val="en-US" w:eastAsia="zh-CN"/>
              </w:rPr>
              <w:t>0</w:t>
            </w:r>
          </w:p>
        </w:tc>
        <w:tc>
          <w:tcPr>
            <w:tcW w:w="0" w:type="auto"/>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hint="eastAsia" w:ascii="仿宋_GB2312" w:hAnsi="仿宋_GB2312" w:eastAsia="仿宋_GB2312" w:cs="仿宋_GB2312"/>
                <w:b/>
                <w:bCs/>
                <w:kern w:val="21"/>
                <w:sz w:val="18"/>
                <w:szCs w:val="18"/>
                <w:lang w:val="en-US" w:eastAsia="zh-CN"/>
              </w:rPr>
            </w:pPr>
            <w:r>
              <w:rPr>
                <w:rFonts w:hint="eastAsia" w:ascii="仿宋_GB2312" w:hAnsi="仿宋_GB2312" w:eastAsia="仿宋_GB2312" w:cs="仿宋_GB2312"/>
                <w:b/>
                <w:bCs/>
                <w:kern w:val="21"/>
                <w:sz w:val="18"/>
                <w:szCs w:val="18"/>
                <w:lang w:val="en-US" w:eastAsia="zh-CN"/>
              </w:rPr>
              <w:t>0</w:t>
            </w:r>
          </w:p>
        </w:tc>
        <w:tc>
          <w:tcPr>
            <w:tcW w:w="0" w:type="auto"/>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hint="eastAsia" w:ascii="仿宋_GB2312" w:hAnsi="仿宋_GB2312" w:eastAsia="仿宋_GB2312" w:cs="仿宋_GB2312"/>
                <w:b/>
                <w:bCs/>
                <w:kern w:val="21"/>
                <w:sz w:val="18"/>
                <w:szCs w:val="18"/>
                <w:lang w:val="en-US" w:eastAsia="zh-CN"/>
              </w:rPr>
            </w:pPr>
            <w:r>
              <w:rPr>
                <w:rFonts w:hint="eastAsia" w:ascii="仿宋_GB2312" w:hAnsi="仿宋_GB2312" w:eastAsia="仿宋_GB2312" w:cs="仿宋_GB2312"/>
                <w:b/>
                <w:bCs/>
                <w:kern w:val="21"/>
                <w:sz w:val="18"/>
                <w:szCs w:val="18"/>
                <w:lang w:val="en-US" w:eastAsia="zh-CN"/>
              </w:rPr>
              <w:t>0</w:t>
            </w:r>
          </w:p>
        </w:tc>
        <w:tc>
          <w:tcPr>
            <w:tcW w:w="0" w:type="auto"/>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hint="eastAsia" w:ascii="仿宋_GB2312" w:hAnsi="仿宋_GB2312" w:eastAsia="仿宋_GB2312" w:cs="仿宋_GB2312"/>
                <w:b/>
                <w:bCs/>
                <w:kern w:val="21"/>
                <w:sz w:val="18"/>
                <w:szCs w:val="18"/>
                <w:lang w:val="en-US" w:eastAsia="zh-CN"/>
              </w:rPr>
            </w:pPr>
            <w:r>
              <w:rPr>
                <w:rFonts w:hint="eastAsia" w:ascii="仿宋_GB2312" w:hAnsi="仿宋_GB2312" w:eastAsia="仿宋_GB2312" w:cs="仿宋_GB2312"/>
                <w:b/>
                <w:bCs/>
                <w:kern w:val="21"/>
                <w:sz w:val="18"/>
                <w:szCs w:val="18"/>
                <w:lang w:val="en-US" w:eastAsia="zh-CN"/>
              </w:rPr>
              <w:t>0</w:t>
            </w:r>
          </w:p>
        </w:tc>
        <w:tc>
          <w:tcPr>
            <w:tcW w:w="0" w:type="auto"/>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hint="eastAsia" w:ascii="仿宋_GB2312" w:hAnsi="仿宋_GB2312" w:eastAsia="仿宋_GB2312" w:cs="仿宋_GB2312"/>
                <w:b/>
                <w:bCs/>
                <w:kern w:val="21"/>
                <w:sz w:val="18"/>
                <w:szCs w:val="18"/>
                <w:lang w:val="en-US" w:eastAsia="zh-CN"/>
              </w:rPr>
            </w:pPr>
            <w:r>
              <w:rPr>
                <w:rFonts w:hint="eastAsia" w:ascii="仿宋_GB2312" w:hAnsi="仿宋_GB2312" w:eastAsia="仿宋_GB2312" w:cs="仿宋_GB2312"/>
                <w:b/>
                <w:bCs/>
                <w:kern w:val="21"/>
                <w:sz w:val="18"/>
                <w:szCs w:val="18"/>
                <w:lang w:val="en-US" w:eastAsia="zh-CN"/>
              </w:rPr>
              <w:t>0</w:t>
            </w:r>
          </w:p>
        </w:tc>
        <w:tc>
          <w:tcPr>
            <w:tcW w:w="0" w:type="auto"/>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hint="eastAsia" w:ascii="仿宋_GB2312" w:hAnsi="仿宋_GB2312" w:eastAsia="仿宋_GB2312" w:cs="仿宋_GB2312"/>
                <w:b/>
                <w:bCs/>
                <w:kern w:val="21"/>
                <w:sz w:val="18"/>
                <w:szCs w:val="18"/>
                <w:lang w:val="en-US" w:eastAsia="zh-CN"/>
              </w:rPr>
            </w:pPr>
            <w:r>
              <w:rPr>
                <w:rFonts w:hint="eastAsia" w:ascii="仿宋_GB2312" w:hAnsi="仿宋_GB2312" w:eastAsia="仿宋_GB2312" w:cs="仿宋_GB2312"/>
                <w:b/>
                <w:bCs/>
                <w:kern w:val="21"/>
                <w:sz w:val="18"/>
                <w:szCs w:val="18"/>
                <w:lang w:val="en-US" w:eastAsia="zh-CN"/>
              </w:rPr>
              <w:t>0</w:t>
            </w:r>
          </w:p>
        </w:tc>
        <w:tc>
          <w:tcPr>
            <w:tcW w:w="0" w:type="auto"/>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hint="eastAsia" w:ascii="仿宋_GB2312" w:hAnsi="仿宋_GB2312" w:eastAsia="仿宋_GB2312" w:cs="仿宋_GB2312"/>
                <w:b/>
                <w:bCs/>
                <w:kern w:val="21"/>
                <w:sz w:val="18"/>
                <w:szCs w:val="18"/>
                <w:lang w:val="en-US" w:eastAsia="zh-CN"/>
              </w:rPr>
            </w:pPr>
            <w:r>
              <w:rPr>
                <w:rFonts w:hint="eastAsia" w:ascii="仿宋_GB2312" w:hAnsi="仿宋_GB2312" w:eastAsia="仿宋_GB2312" w:cs="仿宋_GB2312"/>
                <w:b/>
                <w:bCs/>
                <w:kern w:val="21"/>
                <w:sz w:val="18"/>
                <w:szCs w:val="18"/>
                <w:lang w:val="en-US" w:eastAsia="zh-CN"/>
              </w:rPr>
              <w:t>0</w:t>
            </w:r>
          </w:p>
        </w:tc>
        <w:tc>
          <w:tcPr>
            <w:tcW w:w="0" w:type="auto"/>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hint="eastAsia" w:ascii="仿宋_GB2312" w:hAnsi="仿宋_GB2312" w:eastAsia="仿宋_GB2312" w:cs="仿宋_GB2312"/>
                <w:b/>
                <w:bCs/>
                <w:kern w:val="21"/>
                <w:sz w:val="18"/>
                <w:szCs w:val="18"/>
                <w:lang w:val="en-US" w:eastAsia="zh-CN"/>
              </w:rPr>
            </w:pPr>
            <w:r>
              <w:rPr>
                <w:rFonts w:hint="eastAsia" w:ascii="仿宋_GB2312" w:hAnsi="仿宋_GB2312" w:eastAsia="仿宋_GB2312" w:cs="仿宋_GB2312"/>
                <w:b/>
                <w:bCs/>
                <w:kern w:val="21"/>
                <w:sz w:val="18"/>
                <w:szCs w:val="18"/>
                <w:lang w:val="en-US" w:eastAsia="zh-CN"/>
              </w:rPr>
              <w:t>0</w:t>
            </w:r>
          </w:p>
        </w:tc>
        <w:tc>
          <w:tcPr>
            <w:tcW w:w="0" w:type="auto"/>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hint="eastAsia" w:ascii="仿宋_GB2312" w:hAnsi="仿宋_GB2312" w:eastAsia="仿宋_GB2312" w:cs="仿宋_GB2312"/>
                <w:b/>
                <w:bCs/>
                <w:kern w:val="21"/>
                <w:sz w:val="18"/>
                <w:szCs w:val="18"/>
                <w:lang w:val="en-US" w:eastAsia="zh-CN"/>
              </w:rPr>
            </w:pPr>
            <w:r>
              <w:rPr>
                <w:rFonts w:hint="eastAsia" w:ascii="仿宋_GB2312" w:hAnsi="仿宋_GB2312" w:eastAsia="仿宋_GB2312" w:cs="仿宋_GB2312"/>
                <w:b/>
                <w:bCs/>
                <w:kern w:val="21"/>
                <w:sz w:val="18"/>
                <w:szCs w:val="18"/>
                <w:lang w:val="en-US" w:eastAsia="zh-CN"/>
              </w:rPr>
              <w:t>0</w:t>
            </w:r>
          </w:p>
        </w:tc>
        <w:tc>
          <w:tcPr>
            <w:tcW w:w="0" w:type="auto"/>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hint="eastAsia" w:ascii="仿宋_GB2312" w:hAnsi="仿宋_GB2312" w:eastAsia="仿宋_GB2312" w:cs="仿宋_GB2312"/>
                <w:b/>
                <w:bCs/>
                <w:kern w:val="21"/>
                <w:sz w:val="18"/>
                <w:szCs w:val="18"/>
                <w:lang w:val="en-US" w:eastAsia="zh-CN"/>
              </w:rPr>
            </w:pPr>
            <w:r>
              <w:rPr>
                <w:rFonts w:hint="eastAsia" w:ascii="仿宋_GB2312" w:hAnsi="仿宋_GB2312" w:eastAsia="仿宋_GB2312" w:cs="仿宋_GB2312"/>
                <w:b/>
                <w:bCs/>
                <w:kern w:val="21"/>
                <w:sz w:val="18"/>
                <w:szCs w:val="18"/>
                <w:lang w:val="en-US" w:eastAsia="zh-CN"/>
              </w:rPr>
              <w:t>0</w:t>
            </w:r>
          </w:p>
        </w:tc>
        <w:tc>
          <w:tcPr>
            <w:tcW w:w="0" w:type="auto"/>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hint="eastAsia" w:ascii="仿宋_GB2312" w:hAnsi="仿宋_GB2312" w:eastAsia="仿宋_GB2312" w:cs="仿宋_GB2312"/>
                <w:b/>
                <w:bCs/>
                <w:kern w:val="21"/>
                <w:sz w:val="18"/>
                <w:szCs w:val="18"/>
                <w:lang w:val="en-US" w:eastAsia="zh-CN"/>
              </w:rPr>
            </w:pPr>
            <w:r>
              <w:rPr>
                <w:rFonts w:hint="eastAsia" w:ascii="仿宋_GB2312" w:hAnsi="仿宋_GB2312" w:eastAsia="仿宋_GB2312" w:cs="仿宋_GB2312"/>
                <w:b/>
                <w:bCs/>
                <w:kern w:val="21"/>
                <w:sz w:val="18"/>
                <w:szCs w:val="18"/>
                <w:lang w:val="en-US" w:eastAsia="zh-CN"/>
              </w:rPr>
              <w:t>0</w:t>
            </w:r>
          </w:p>
        </w:tc>
        <w:tc>
          <w:tcPr>
            <w:tcW w:w="0" w:type="auto"/>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hint="eastAsia" w:ascii="仿宋_GB2312" w:hAnsi="仿宋_GB2312" w:eastAsia="仿宋_GB2312" w:cs="仿宋_GB2312"/>
                <w:b/>
                <w:bCs/>
                <w:kern w:val="21"/>
                <w:sz w:val="18"/>
                <w:szCs w:val="18"/>
                <w:lang w:val="en-US" w:eastAsia="zh-CN"/>
              </w:rPr>
            </w:pPr>
            <w:r>
              <w:rPr>
                <w:rFonts w:hint="eastAsia" w:ascii="仿宋_GB2312" w:hAnsi="仿宋_GB2312" w:eastAsia="仿宋_GB2312" w:cs="仿宋_GB2312"/>
                <w:b/>
                <w:bCs/>
                <w:kern w:val="21"/>
                <w:sz w:val="18"/>
                <w:szCs w:val="18"/>
                <w:lang w:val="en-US" w:eastAsia="zh-CN"/>
              </w:rPr>
              <w:t>0</w:t>
            </w:r>
          </w:p>
        </w:tc>
        <w:tc>
          <w:tcPr>
            <w:tcW w:w="0" w:type="auto"/>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hint="eastAsia" w:ascii="仿宋_GB2312" w:hAnsi="仿宋_GB2312" w:eastAsia="仿宋_GB2312" w:cs="仿宋_GB2312"/>
                <w:b/>
                <w:bCs/>
                <w:kern w:val="21"/>
                <w:sz w:val="18"/>
                <w:szCs w:val="18"/>
                <w:lang w:val="en-US" w:eastAsia="zh-CN"/>
              </w:rPr>
            </w:pPr>
            <w:r>
              <w:rPr>
                <w:rFonts w:hint="eastAsia" w:ascii="仿宋_GB2312" w:hAnsi="仿宋_GB2312" w:eastAsia="仿宋_GB2312" w:cs="仿宋_GB2312"/>
                <w:b/>
                <w:bCs/>
                <w:kern w:val="21"/>
                <w:sz w:val="18"/>
                <w:szCs w:val="18"/>
                <w:lang w:val="en-US" w:eastAsia="zh-CN"/>
              </w:rPr>
              <w:t>0</w:t>
            </w:r>
          </w:p>
        </w:tc>
        <w:tc>
          <w:tcPr>
            <w:tcW w:w="0" w:type="auto"/>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hint="eastAsia" w:ascii="仿宋_GB2312" w:hAnsi="仿宋_GB2312" w:eastAsia="仿宋_GB2312" w:cs="仿宋_GB2312"/>
                <w:b/>
                <w:bCs/>
                <w:kern w:val="21"/>
                <w:sz w:val="18"/>
                <w:szCs w:val="18"/>
                <w:lang w:val="en-US" w:eastAsia="zh-CN"/>
              </w:rPr>
            </w:pPr>
            <w:r>
              <w:rPr>
                <w:rFonts w:hint="eastAsia" w:ascii="仿宋_GB2312" w:hAnsi="仿宋_GB2312" w:eastAsia="仿宋_GB2312" w:cs="仿宋_GB2312"/>
                <w:b/>
                <w:bCs/>
                <w:kern w:val="21"/>
                <w:sz w:val="18"/>
                <w:szCs w:val="18"/>
                <w:lang w:val="en-US" w:eastAsia="zh-CN"/>
              </w:rPr>
              <w:t>0</w:t>
            </w:r>
          </w:p>
        </w:tc>
        <w:tc>
          <w:tcPr>
            <w:tcW w:w="0" w:type="auto"/>
            <w:vAlign w:val="center"/>
          </w:tcPr>
          <w:p>
            <w:pPr>
              <w:keepNext w:val="0"/>
              <w:keepLines w:val="0"/>
              <w:pageBreakBefore w:val="0"/>
              <w:kinsoku/>
              <w:wordWrap/>
              <w:overflowPunct/>
              <w:topLinePunct w:val="0"/>
              <w:bidi w:val="0"/>
              <w:adjustRightInd/>
              <w:snapToGrid/>
              <w:spacing w:line="560" w:lineRule="exact"/>
              <w:ind w:left="0"/>
              <w:jc w:val="both"/>
              <w:textAlignment w:val="auto"/>
              <w:rPr>
                <w:rFonts w:hint="eastAsia" w:ascii="仿宋_GB2312" w:hAnsi="仿宋_GB2312" w:eastAsia="仿宋_GB2312" w:cs="仿宋_GB2312"/>
                <w:b/>
                <w:bCs/>
                <w:kern w:val="21"/>
                <w:sz w:val="18"/>
                <w:szCs w:val="18"/>
                <w:lang w:val="en-US" w:eastAsia="zh-CN"/>
              </w:rPr>
            </w:pPr>
            <w:r>
              <w:rPr>
                <w:rFonts w:hint="eastAsia" w:ascii="仿宋_GB2312" w:hAnsi="仿宋_GB2312" w:eastAsia="仿宋_GB2312" w:cs="仿宋_GB2312"/>
                <w:b/>
                <w:bCs/>
                <w:kern w:val="21"/>
                <w:sz w:val="18"/>
                <w:szCs w:val="18"/>
                <w:lang w:val="en-US" w:eastAsia="zh-CN"/>
              </w:rPr>
              <w:t>0</w:t>
            </w:r>
          </w:p>
        </w:tc>
      </w:tr>
    </w:tbl>
    <w:p>
      <w:pPr>
        <w:keepNext w:val="0"/>
        <w:keepLines w:val="0"/>
        <w:pageBreakBefore w:val="0"/>
        <w:numPr>
          <w:ilvl w:val="0"/>
          <w:numId w:val="0"/>
        </w:numPr>
        <w:tabs>
          <w:tab w:val="left" w:pos="0"/>
        </w:tabs>
        <w:kinsoku/>
        <w:wordWrap/>
        <w:overflowPunct/>
        <w:topLinePunct w:val="0"/>
        <w:autoSpaceDE w:val="0"/>
        <w:autoSpaceDN w:val="0"/>
        <w:bidi w:val="0"/>
        <w:adjustRightInd/>
        <w:snapToGrid/>
        <w:spacing w:line="560" w:lineRule="exact"/>
        <w:ind w:firstLine="643" w:firstLineChars="200"/>
        <w:jc w:val="both"/>
        <w:textAlignment w:val="auto"/>
        <w:rPr>
          <w:rFonts w:ascii="黑体" w:hAnsi="黑体" w:eastAsia="黑体" w:cs="黑体"/>
          <w:b/>
          <w:bCs/>
          <w:kern w:val="21"/>
          <w:sz w:val="32"/>
          <w:szCs w:val="32"/>
        </w:rPr>
      </w:pPr>
      <w:r>
        <w:rPr>
          <w:rFonts w:hint="eastAsia" w:ascii="黑体" w:hAnsi="黑体" w:eastAsia="黑体" w:cs="黑体"/>
          <w:b/>
          <w:bCs/>
          <w:kern w:val="21"/>
          <w:sz w:val="32"/>
          <w:szCs w:val="32"/>
          <w:lang w:eastAsia="zh-CN"/>
        </w:rPr>
        <w:t>五、</w:t>
      </w:r>
      <w:r>
        <w:rPr>
          <w:rFonts w:hint="eastAsia" w:ascii="黑体" w:hAnsi="黑体" w:eastAsia="黑体" w:cs="黑体"/>
          <w:b/>
          <w:bCs/>
          <w:kern w:val="21"/>
          <w:sz w:val="32"/>
          <w:szCs w:val="32"/>
        </w:rPr>
        <w:t>存在的主要问题及改进情况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left="0" w:right="0" w:firstLine="643" w:firstLineChars="200"/>
        <w:textAlignment w:val="auto"/>
        <w:rPr>
          <w:rStyle w:val="9"/>
          <w:rFonts w:hint="eastAsia" w:ascii="仿宋" w:hAnsi="仿宋" w:eastAsia="仿宋" w:cs="仿宋"/>
          <w:b/>
          <w:i w:val="0"/>
          <w:caps w:val="0"/>
          <w:color w:val="000000"/>
          <w:spacing w:val="0"/>
          <w:kern w:val="21"/>
          <w:sz w:val="32"/>
          <w:szCs w:val="32"/>
        </w:rPr>
      </w:pPr>
      <w:r>
        <w:rPr>
          <w:rStyle w:val="9"/>
          <w:rFonts w:hint="eastAsia" w:ascii="仿宋" w:hAnsi="仿宋" w:eastAsia="仿宋" w:cs="仿宋"/>
          <w:b/>
          <w:i w:val="0"/>
          <w:caps w:val="0"/>
          <w:color w:val="000000"/>
          <w:spacing w:val="0"/>
          <w:kern w:val="21"/>
          <w:sz w:val="32"/>
          <w:szCs w:val="32"/>
          <w:lang w:val="en-US" w:eastAsia="zh-CN"/>
        </w:rPr>
        <w:t>2020</w:t>
      </w:r>
      <w:r>
        <w:rPr>
          <w:rStyle w:val="9"/>
          <w:rFonts w:hint="eastAsia" w:ascii="仿宋" w:hAnsi="仿宋" w:eastAsia="仿宋" w:cs="仿宋"/>
          <w:b/>
          <w:i w:val="0"/>
          <w:caps w:val="0"/>
          <w:color w:val="000000"/>
          <w:spacing w:val="0"/>
          <w:kern w:val="21"/>
          <w:sz w:val="32"/>
          <w:szCs w:val="32"/>
        </w:rPr>
        <w:t>年，我单位在推进政府信息公开方面有了一定的成效，政府信息公开工作仍面临着信息公开范围需进一步扩展等问题。今后将严格按照市委、市政府和县委、县政府关于政务公开的决策部署和具体要求，以群众需求为导向，坚持以公开为常态、不公开为例外，推动重点领域信息公开</w:t>
      </w:r>
      <w:r>
        <w:rPr>
          <w:rStyle w:val="9"/>
          <w:rFonts w:hint="eastAsia" w:ascii="仿宋" w:hAnsi="仿宋" w:eastAsia="仿宋" w:cs="仿宋"/>
          <w:b/>
          <w:i w:val="0"/>
          <w:caps w:val="0"/>
          <w:color w:val="000000"/>
          <w:spacing w:val="0"/>
          <w:kern w:val="21"/>
          <w:sz w:val="32"/>
          <w:szCs w:val="32"/>
          <w:lang w:eastAsia="zh-CN"/>
        </w:rPr>
        <w:t>，加强政务公开工作业务培训，将《中华人民共和国政府信息公开条例》纳入日常培训学习，</w:t>
      </w:r>
      <w:r>
        <w:rPr>
          <w:rStyle w:val="9"/>
          <w:rFonts w:hint="eastAsia" w:ascii="仿宋" w:hAnsi="仿宋" w:eastAsia="仿宋" w:cs="仿宋"/>
          <w:b/>
          <w:i w:val="0"/>
          <w:caps w:val="0"/>
          <w:color w:val="000000"/>
          <w:spacing w:val="0"/>
          <w:kern w:val="21"/>
          <w:sz w:val="32"/>
          <w:szCs w:val="32"/>
        </w:rPr>
        <w:t>进一步提升政务公开水平。</w:t>
      </w:r>
    </w:p>
    <w:p>
      <w:pPr>
        <w:keepNext w:val="0"/>
        <w:keepLines w:val="0"/>
        <w:pageBreakBefore w:val="0"/>
        <w:numPr>
          <w:ilvl w:val="0"/>
          <w:numId w:val="0"/>
        </w:numPr>
        <w:tabs>
          <w:tab w:val="left" w:pos="0"/>
        </w:tabs>
        <w:kinsoku/>
        <w:wordWrap/>
        <w:overflowPunct/>
        <w:topLinePunct w:val="0"/>
        <w:autoSpaceDE w:val="0"/>
        <w:autoSpaceDN w:val="0"/>
        <w:bidi w:val="0"/>
        <w:adjustRightInd/>
        <w:snapToGrid/>
        <w:spacing w:line="560" w:lineRule="exact"/>
        <w:ind w:firstLine="643" w:firstLineChars="200"/>
        <w:jc w:val="both"/>
        <w:textAlignment w:val="auto"/>
        <w:rPr>
          <w:rFonts w:ascii="黑体" w:hAnsi="黑体" w:eastAsia="黑体" w:cs="黑体"/>
          <w:b/>
          <w:bCs/>
          <w:kern w:val="21"/>
          <w:sz w:val="32"/>
          <w:szCs w:val="32"/>
        </w:rPr>
      </w:pPr>
      <w:r>
        <w:rPr>
          <w:rFonts w:hint="eastAsia" w:ascii="黑体" w:hAnsi="黑体" w:eastAsia="黑体" w:cs="黑体"/>
          <w:b/>
          <w:bCs/>
          <w:kern w:val="21"/>
          <w:sz w:val="32"/>
          <w:szCs w:val="32"/>
          <w:lang w:eastAsia="zh-CN"/>
        </w:rPr>
        <w:t>六、</w:t>
      </w:r>
      <w:r>
        <w:rPr>
          <w:rFonts w:hint="eastAsia" w:ascii="黑体" w:hAnsi="黑体" w:eastAsia="黑体" w:cs="黑体"/>
          <w:b/>
          <w:bCs/>
          <w:kern w:val="21"/>
          <w:sz w:val="32"/>
          <w:szCs w:val="32"/>
        </w:rPr>
        <w:t>其他需要报告的事项</w:t>
      </w:r>
    </w:p>
    <w:p>
      <w:pPr>
        <w:keepNext w:val="0"/>
        <w:keepLines w:val="0"/>
        <w:pageBreakBefore w:val="0"/>
        <w:kinsoku/>
        <w:wordWrap/>
        <w:overflowPunct/>
        <w:topLinePunct w:val="0"/>
        <w:autoSpaceDE w:val="0"/>
        <w:autoSpaceDN w:val="0"/>
        <w:bidi w:val="0"/>
        <w:adjustRightInd/>
        <w:snapToGrid/>
        <w:spacing w:line="560" w:lineRule="exact"/>
        <w:ind w:left="0" w:firstLine="643" w:firstLineChars="200"/>
        <w:jc w:val="both"/>
        <w:textAlignment w:val="auto"/>
        <w:rPr>
          <w:rFonts w:ascii="仿宋_GB2312" w:hAnsi="仿宋_GB2312" w:eastAsia="仿宋_GB2312" w:cs="仿宋_GB2312"/>
          <w:b/>
          <w:bCs/>
          <w:kern w:val="21"/>
          <w:sz w:val="32"/>
          <w:szCs w:val="32"/>
        </w:rPr>
      </w:pPr>
      <w:r>
        <w:rPr>
          <w:rFonts w:hint="eastAsia" w:ascii="仿宋_GB2312" w:hAnsi="仿宋_GB2312" w:eastAsia="仿宋_GB2312" w:cs="仿宋_GB2312"/>
          <w:b/>
          <w:bCs/>
          <w:kern w:val="21"/>
          <w:sz w:val="32"/>
          <w:szCs w:val="32"/>
        </w:rPr>
        <w:t>无</w:t>
      </w:r>
    </w:p>
    <w:p>
      <w:pPr>
        <w:keepNext w:val="0"/>
        <w:keepLines w:val="0"/>
        <w:pageBreakBefore w:val="0"/>
        <w:kinsoku/>
        <w:wordWrap/>
        <w:overflowPunct/>
        <w:topLinePunct w:val="0"/>
        <w:bidi w:val="0"/>
        <w:adjustRightInd/>
        <w:snapToGrid/>
        <w:spacing w:line="560" w:lineRule="exact"/>
        <w:ind w:left="0"/>
        <w:textAlignment w:val="auto"/>
        <w:rPr>
          <w:rFonts w:hint="eastAsia"/>
          <w:b/>
          <w:bCs/>
          <w:kern w:val="21"/>
          <w:sz w:val="32"/>
          <w:szCs w:val="32"/>
          <w:lang w:val="en-US" w:eastAsia="zh-CN"/>
        </w:rPr>
      </w:pPr>
      <w:r>
        <w:rPr>
          <w:rFonts w:hint="eastAsia"/>
          <w:b/>
          <w:bCs/>
          <w:kern w:val="21"/>
          <w:sz w:val="32"/>
          <w:szCs w:val="32"/>
          <w:lang w:val="en-US" w:eastAsia="zh-CN"/>
        </w:rPr>
        <w:t xml:space="preserve">                                      </w:t>
      </w:r>
    </w:p>
    <w:p>
      <w:pPr>
        <w:keepNext w:val="0"/>
        <w:keepLines w:val="0"/>
        <w:pageBreakBefore w:val="0"/>
        <w:kinsoku/>
        <w:wordWrap/>
        <w:overflowPunct/>
        <w:topLinePunct w:val="0"/>
        <w:bidi w:val="0"/>
        <w:adjustRightInd/>
        <w:snapToGrid/>
        <w:spacing w:line="560" w:lineRule="exact"/>
        <w:ind w:left="0"/>
        <w:textAlignment w:val="auto"/>
        <w:rPr>
          <w:rFonts w:hint="eastAsia"/>
          <w:b/>
          <w:bCs/>
          <w:kern w:val="21"/>
          <w:sz w:val="32"/>
          <w:szCs w:val="32"/>
          <w:lang w:val="en-US" w:eastAsia="zh-CN"/>
        </w:rPr>
      </w:pPr>
    </w:p>
    <w:p>
      <w:pPr>
        <w:keepNext w:val="0"/>
        <w:keepLines w:val="0"/>
        <w:pageBreakBefore w:val="0"/>
        <w:kinsoku/>
        <w:wordWrap/>
        <w:overflowPunct/>
        <w:topLinePunct w:val="0"/>
        <w:bidi w:val="0"/>
        <w:adjustRightInd/>
        <w:snapToGrid/>
        <w:spacing w:line="560" w:lineRule="exact"/>
        <w:ind w:left="0"/>
        <w:textAlignment w:val="auto"/>
        <w:rPr>
          <w:rFonts w:hint="eastAsia"/>
          <w:b/>
          <w:bCs/>
          <w:kern w:val="21"/>
          <w:sz w:val="32"/>
          <w:szCs w:val="32"/>
          <w:lang w:val="en-US" w:eastAsia="zh-CN"/>
        </w:rPr>
      </w:pPr>
    </w:p>
    <w:p>
      <w:pPr>
        <w:keepNext w:val="0"/>
        <w:keepLines w:val="0"/>
        <w:pageBreakBefore w:val="0"/>
        <w:kinsoku/>
        <w:wordWrap/>
        <w:overflowPunct/>
        <w:topLinePunct w:val="0"/>
        <w:bidi w:val="0"/>
        <w:adjustRightInd/>
        <w:snapToGrid/>
        <w:spacing w:line="560" w:lineRule="exact"/>
        <w:ind w:left="0"/>
        <w:textAlignment w:val="auto"/>
        <w:rPr>
          <w:rStyle w:val="9"/>
          <w:rFonts w:hint="default" w:ascii="仿宋" w:hAnsi="仿宋" w:eastAsia="仿宋" w:cs="仿宋"/>
          <w:i w:val="0"/>
          <w:caps w:val="0"/>
          <w:color w:val="000000"/>
          <w:spacing w:val="0"/>
          <w:kern w:val="21"/>
          <w:sz w:val="32"/>
          <w:szCs w:val="32"/>
          <w:lang w:val="en-US" w:eastAsia="zh-CN" w:bidi="ar"/>
        </w:rPr>
      </w:pPr>
      <w:r>
        <w:rPr>
          <w:rFonts w:hint="eastAsia"/>
          <w:b/>
          <w:bCs/>
          <w:kern w:val="21"/>
          <w:sz w:val="32"/>
          <w:szCs w:val="32"/>
          <w:lang w:val="en-US" w:eastAsia="zh-CN"/>
        </w:rPr>
        <w:t xml:space="preserve">                               </w:t>
      </w:r>
      <w:r>
        <w:rPr>
          <w:rStyle w:val="9"/>
          <w:rFonts w:hint="eastAsia" w:ascii="仿宋" w:hAnsi="仿宋" w:eastAsia="仿宋" w:cs="仿宋"/>
          <w:i w:val="0"/>
          <w:caps w:val="0"/>
          <w:color w:val="000000"/>
          <w:spacing w:val="0"/>
          <w:kern w:val="21"/>
          <w:sz w:val="32"/>
          <w:szCs w:val="32"/>
          <w:lang w:val="en-US" w:eastAsia="zh-CN" w:bidi="ar"/>
        </w:rPr>
        <w:t xml:space="preserve">    2021年1月27日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auto"/>
    <w:pitch w:val="default"/>
    <w:sig w:usb0="00000000" w:usb1="00000000" w:usb2="00082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w:rPr>
        <w:sz w:val="20"/>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g3ZjAyMDg1OGQ5ODY4NmE5NjlkNzRmYmM5NjEwYTgifQ=="/>
  </w:docVars>
  <w:rsids>
    <w:rsidRoot w:val="226C4581"/>
    <w:rsid w:val="000241C2"/>
    <w:rsid w:val="000C2A30"/>
    <w:rsid w:val="001D66FE"/>
    <w:rsid w:val="0037372C"/>
    <w:rsid w:val="00595E2E"/>
    <w:rsid w:val="0064248D"/>
    <w:rsid w:val="007B47B3"/>
    <w:rsid w:val="00A715CD"/>
    <w:rsid w:val="00C21D15"/>
    <w:rsid w:val="00C4680E"/>
    <w:rsid w:val="00C67D3A"/>
    <w:rsid w:val="00C9748C"/>
    <w:rsid w:val="00CF1925"/>
    <w:rsid w:val="00D450F0"/>
    <w:rsid w:val="00E16996"/>
    <w:rsid w:val="00E8333A"/>
    <w:rsid w:val="00FD67B4"/>
    <w:rsid w:val="01EF393B"/>
    <w:rsid w:val="02734C3F"/>
    <w:rsid w:val="0390460C"/>
    <w:rsid w:val="039A3E8E"/>
    <w:rsid w:val="03D7591B"/>
    <w:rsid w:val="03FA286C"/>
    <w:rsid w:val="042F1DE8"/>
    <w:rsid w:val="05997F1A"/>
    <w:rsid w:val="06744A70"/>
    <w:rsid w:val="0681290C"/>
    <w:rsid w:val="06DA0A58"/>
    <w:rsid w:val="072E33FD"/>
    <w:rsid w:val="073D6A9E"/>
    <w:rsid w:val="075610CE"/>
    <w:rsid w:val="084F78FD"/>
    <w:rsid w:val="088920B6"/>
    <w:rsid w:val="08B63E2C"/>
    <w:rsid w:val="0A2061E1"/>
    <w:rsid w:val="0A9F18CE"/>
    <w:rsid w:val="0B457B30"/>
    <w:rsid w:val="0B730203"/>
    <w:rsid w:val="0B916278"/>
    <w:rsid w:val="0BA80A37"/>
    <w:rsid w:val="0BBC32B0"/>
    <w:rsid w:val="0C091275"/>
    <w:rsid w:val="0C1E369B"/>
    <w:rsid w:val="0C7D0542"/>
    <w:rsid w:val="0C974147"/>
    <w:rsid w:val="0D57260A"/>
    <w:rsid w:val="0D720C48"/>
    <w:rsid w:val="0DEF563B"/>
    <w:rsid w:val="0E355100"/>
    <w:rsid w:val="0EDA7310"/>
    <w:rsid w:val="0F591B6F"/>
    <w:rsid w:val="0FDC5A39"/>
    <w:rsid w:val="10187509"/>
    <w:rsid w:val="101E101B"/>
    <w:rsid w:val="103C293D"/>
    <w:rsid w:val="113905B5"/>
    <w:rsid w:val="116479CD"/>
    <w:rsid w:val="117F33C9"/>
    <w:rsid w:val="120F09BA"/>
    <w:rsid w:val="121E6936"/>
    <w:rsid w:val="136970BF"/>
    <w:rsid w:val="1393144D"/>
    <w:rsid w:val="13C818C5"/>
    <w:rsid w:val="14A8254A"/>
    <w:rsid w:val="15177F22"/>
    <w:rsid w:val="1536679D"/>
    <w:rsid w:val="157846BC"/>
    <w:rsid w:val="15F17944"/>
    <w:rsid w:val="16383F6A"/>
    <w:rsid w:val="16E1433C"/>
    <w:rsid w:val="179516D8"/>
    <w:rsid w:val="17C54D24"/>
    <w:rsid w:val="18904F00"/>
    <w:rsid w:val="19E060E8"/>
    <w:rsid w:val="1A2A1C45"/>
    <w:rsid w:val="1AB11C36"/>
    <w:rsid w:val="1B2763C2"/>
    <w:rsid w:val="1C8449B3"/>
    <w:rsid w:val="1C886F18"/>
    <w:rsid w:val="1C8B0361"/>
    <w:rsid w:val="1CA07D81"/>
    <w:rsid w:val="1CA16882"/>
    <w:rsid w:val="1CB37AD1"/>
    <w:rsid w:val="1D3A617F"/>
    <w:rsid w:val="1D5B3DF2"/>
    <w:rsid w:val="1D8C1728"/>
    <w:rsid w:val="1E461ADF"/>
    <w:rsid w:val="1F4314C1"/>
    <w:rsid w:val="1F433891"/>
    <w:rsid w:val="1F7A63F3"/>
    <w:rsid w:val="1F8F5FE1"/>
    <w:rsid w:val="1FA04040"/>
    <w:rsid w:val="20EF1A82"/>
    <w:rsid w:val="20F44186"/>
    <w:rsid w:val="21091025"/>
    <w:rsid w:val="21C31632"/>
    <w:rsid w:val="21EC3859"/>
    <w:rsid w:val="22407D4E"/>
    <w:rsid w:val="226C4581"/>
    <w:rsid w:val="229679A7"/>
    <w:rsid w:val="234F59BA"/>
    <w:rsid w:val="237F4CBF"/>
    <w:rsid w:val="25123FE5"/>
    <w:rsid w:val="252E2024"/>
    <w:rsid w:val="259026D2"/>
    <w:rsid w:val="25BB081D"/>
    <w:rsid w:val="25DE5E65"/>
    <w:rsid w:val="260D5828"/>
    <w:rsid w:val="262B1761"/>
    <w:rsid w:val="263374F8"/>
    <w:rsid w:val="267A6460"/>
    <w:rsid w:val="26B55CAA"/>
    <w:rsid w:val="275B3F2D"/>
    <w:rsid w:val="275E7049"/>
    <w:rsid w:val="2854138E"/>
    <w:rsid w:val="28A25386"/>
    <w:rsid w:val="299E27E6"/>
    <w:rsid w:val="29BC58B6"/>
    <w:rsid w:val="29D13D60"/>
    <w:rsid w:val="29D7315E"/>
    <w:rsid w:val="2A7371B8"/>
    <w:rsid w:val="2B0961F6"/>
    <w:rsid w:val="2B6E6DCD"/>
    <w:rsid w:val="2C216CF4"/>
    <w:rsid w:val="2C62707A"/>
    <w:rsid w:val="2C9E4497"/>
    <w:rsid w:val="2CCA5123"/>
    <w:rsid w:val="2CFB56FE"/>
    <w:rsid w:val="2D4D7CC5"/>
    <w:rsid w:val="2D5436DD"/>
    <w:rsid w:val="2D614560"/>
    <w:rsid w:val="2DBA13F2"/>
    <w:rsid w:val="2DF76BF4"/>
    <w:rsid w:val="2EB96778"/>
    <w:rsid w:val="2EEC2A8E"/>
    <w:rsid w:val="2EF351E7"/>
    <w:rsid w:val="2F2716EE"/>
    <w:rsid w:val="2FBA4C8F"/>
    <w:rsid w:val="30036F8D"/>
    <w:rsid w:val="302B6EC2"/>
    <w:rsid w:val="30DB5CBC"/>
    <w:rsid w:val="317B7637"/>
    <w:rsid w:val="31C212BC"/>
    <w:rsid w:val="32704E90"/>
    <w:rsid w:val="328C42AC"/>
    <w:rsid w:val="32AC4590"/>
    <w:rsid w:val="330442AB"/>
    <w:rsid w:val="336F00C0"/>
    <w:rsid w:val="336F5D2F"/>
    <w:rsid w:val="33B32FCA"/>
    <w:rsid w:val="34685083"/>
    <w:rsid w:val="34854AA2"/>
    <w:rsid w:val="35914289"/>
    <w:rsid w:val="35AE4AF0"/>
    <w:rsid w:val="35D554EC"/>
    <w:rsid w:val="363D203C"/>
    <w:rsid w:val="363E1B53"/>
    <w:rsid w:val="363E25D5"/>
    <w:rsid w:val="36514B2F"/>
    <w:rsid w:val="36B80A30"/>
    <w:rsid w:val="36E86C67"/>
    <w:rsid w:val="37022F8C"/>
    <w:rsid w:val="375E4A8A"/>
    <w:rsid w:val="37916874"/>
    <w:rsid w:val="388515AF"/>
    <w:rsid w:val="38DE17A1"/>
    <w:rsid w:val="3958333B"/>
    <w:rsid w:val="39616225"/>
    <w:rsid w:val="398F6E9F"/>
    <w:rsid w:val="3A465481"/>
    <w:rsid w:val="3A8100FB"/>
    <w:rsid w:val="3AA8203E"/>
    <w:rsid w:val="3B1761FC"/>
    <w:rsid w:val="3B721D1C"/>
    <w:rsid w:val="3B7D4662"/>
    <w:rsid w:val="3C6D4BB2"/>
    <w:rsid w:val="3C6F6A0B"/>
    <w:rsid w:val="3CC12553"/>
    <w:rsid w:val="3CC42726"/>
    <w:rsid w:val="3D062C9E"/>
    <w:rsid w:val="3D0906D0"/>
    <w:rsid w:val="3D6870D4"/>
    <w:rsid w:val="3E577418"/>
    <w:rsid w:val="3E8E0381"/>
    <w:rsid w:val="3F673E53"/>
    <w:rsid w:val="40393E67"/>
    <w:rsid w:val="41BB7615"/>
    <w:rsid w:val="41DC77B5"/>
    <w:rsid w:val="421E2B3C"/>
    <w:rsid w:val="42207238"/>
    <w:rsid w:val="42472436"/>
    <w:rsid w:val="42CD5058"/>
    <w:rsid w:val="42DD5FB8"/>
    <w:rsid w:val="43535B47"/>
    <w:rsid w:val="43EB3540"/>
    <w:rsid w:val="44265DAC"/>
    <w:rsid w:val="442C26B4"/>
    <w:rsid w:val="44A00745"/>
    <w:rsid w:val="44AD1E43"/>
    <w:rsid w:val="45525763"/>
    <w:rsid w:val="45750051"/>
    <w:rsid w:val="45990CFE"/>
    <w:rsid w:val="46090E2F"/>
    <w:rsid w:val="46B3386D"/>
    <w:rsid w:val="46FD0EE9"/>
    <w:rsid w:val="489F426C"/>
    <w:rsid w:val="496C21B9"/>
    <w:rsid w:val="4A506BAC"/>
    <w:rsid w:val="4AE22478"/>
    <w:rsid w:val="4AF84E60"/>
    <w:rsid w:val="4BA54C70"/>
    <w:rsid w:val="4BEE6204"/>
    <w:rsid w:val="4CB156B8"/>
    <w:rsid w:val="4DC81F94"/>
    <w:rsid w:val="4DE97F77"/>
    <w:rsid w:val="4DEB115E"/>
    <w:rsid w:val="4E3F7B34"/>
    <w:rsid w:val="4EBC4B37"/>
    <w:rsid w:val="4ED1424C"/>
    <w:rsid w:val="4EE6424F"/>
    <w:rsid w:val="4F6C7B29"/>
    <w:rsid w:val="4F9F4C9A"/>
    <w:rsid w:val="500859DA"/>
    <w:rsid w:val="507B5C49"/>
    <w:rsid w:val="51FD1DDC"/>
    <w:rsid w:val="5227635A"/>
    <w:rsid w:val="52604FF9"/>
    <w:rsid w:val="52BE128F"/>
    <w:rsid w:val="55690269"/>
    <w:rsid w:val="55970191"/>
    <w:rsid w:val="56B80112"/>
    <w:rsid w:val="587A4A0F"/>
    <w:rsid w:val="58F06A78"/>
    <w:rsid w:val="59592BA6"/>
    <w:rsid w:val="59946F1E"/>
    <w:rsid w:val="59A45D9A"/>
    <w:rsid w:val="59B21CB5"/>
    <w:rsid w:val="5AA02A62"/>
    <w:rsid w:val="5ADC2DBC"/>
    <w:rsid w:val="5ADC6D4A"/>
    <w:rsid w:val="5AEE44F9"/>
    <w:rsid w:val="5B4D42BB"/>
    <w:rsid w:val="5BD02E07"/>
    <w:rsid w:val="5C8C40A2"/>
    <w:rsid w:val="5CF64C85"/>
    <w:rsid w:val="5D153776"/>
    <w:rsid w:val="5D1905D9"/>
    <w:rsid w:val="5D690B69"/>
    <w:rsid w:val="5D781726"/>
    <w:rsid w:val="5E41299F"/>
    <w:rsid w:val="5EA952E4"/>
    <w:rsid w:val="5F6D0481"/>
    <w:rsid w:val="6089192F"/>
    <w:rsid w:val="60C412AB"/>
    <w:rsid w:val="61B01D69"/>
    <w:rsid w:val="621264A9"/>
    <w:rsid w:val="62337532"/>
    <w:rsid w:val="629807A4"/>
    <w:rsid w:val="634D57D8"/>
    <w:rsid w:val="634F2EB8"/>
    <w:rsid w:val="63556D2D"/>
    <w:rsid w:val="63710C5F"/>
    <w:rsid w:val="644D627C"/>
    <w:rsid w:val="647C1F0A"/>
    <w:rsid w:val="650D1408"/>
    <w:rsid w:val="659A38FF"/>
    <w:rsid w:val="659E0CE5"/>
    <w:rsid w:val="65D1086D"/>
    <w:rsid w:val="65D42BBA"/>
    <w:rsid w:val="66FE4D4A"/>
    <w:rsid w:val="67621B71"/>
    <w:rsid w:val="682B436B"/>
    <w:rsid w:val="685104E1"/>
    <w:rsid w:val="6A02054A"/>
    <w:rsid w:val="6A6337C6"/>
    <w:rsid w:val="6B6C7DAB"/>
    <w:rsid w:val="6BCF3538"/>
    <w:rsid w:val="6C34734B"/>
    <w:rsid w:val="6C575259"/>
    <w:rsid w:val="6C696D3F"/>
    <w:rsid w:val="6CB557E9"/>
    <w:rsid w:val="6D5E2A7B"/>
    <w:rsid w:val="6D5E4C52"/>
    <w:rsid w:val="6F02317C"/>
    <w:rsid w:val="6F496C7D"/>
    <w:rsid w:val="6F7B56B4"/>
    <w:rsid w:val="70335F53"/>
    <w:rsid w:val="70FD12BD"/>
    <w:rsid w:val="716777F6"/>
    <w:rsid w:val="71DA2F84"/>
    <w:rsid w:val="73B326AE"/>
    <w:rsid w:val="73CE14C8"/>
    <w:rsid w:val="746D11DF"/>
    <w:rsid w:val="74F012BB"/>
    <w:rsid w:val="75145E34"/>
    <w:rsid w:val="751A4EE8"/>
    <w:rsid w:val="752028B3"/>
    <w:rsid w:val="753F50A6"/>
    <w:rsid w:val="75E92B5E"/>
    <w:rsid w:val="763C787D"/>
    <w:rsid w:val="77486B13"/>
    <w:rsid w:val="780F160C"/>
    <w:rsid w:val="784D2C13"/>
    <w:rsid w:val="787E6DCB"/>
    <w:rsid w:val="789E6DC6"/>
    <w:rsid w:val="78E1049F"/>
    <w:rsid w:val="79134D5B"/>
    <w:rsid w:val="79496DA0"/>
    <w:rsid w:val="79ED7C4A"/>
    <w:rsid w:val="79EE5957"/>
    <w:rsid w:val="7A2026C5"/>
    <w:rsid w:val="7A513D53"/>
    <w:rsid w:val="7AB95686"/>
    <w:rsid w:val="7B123EDE"/>
    <w:rsid w:val="7C4230AA"/>
    <w:rsid w:val="7C453CA2"/>
    <w:rsid w:val="7C6E4166"/>
    <w:rsid w:val="7CA87111"/>
    <w:rsid w:val="7D530983"/>
    <w:rsid w:val="7D554E3F"/>
    <w:rsid w:val="7D9135B2"/>
    <w:rsid w:val="7DD00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方正仿宋_GBK" w:hAnsi="方正仿宋_GBK" w:eastAsia="方正仿宋_GBK" w:cs="方正仿宋_GBK"/>
      <w:sz w:val="22"/>
      <w:szCs w:val="22"/>
      <w:lang w:val="zh-CN" w:eastAsia="zh-CN" w:bidi="zh-CN"/>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51"/>
    </w:pPr>
    <w:rPr>
      <w:sz w:val="32"/>
      <w:szCs w:val="32"/>
    </w:rPr>
  </w:style>
  <w:style w:type="paragraph" w:styleId="3">
    <w:name w:val="footer"/>
    <w:basedOn w:val="1"/>
    <w:qFormat/>
    <w:uiPriority w:val="0"/>
    <w:pPr>
      <w:tabs>
        <w:tab w:val="center" w:pos="4153"/>
        <w:tab w:val="right" w:pos="8306"/>
      </w:tabs>
      <w:snapToGrid w:val="0"/>
    </w:pPr>
    <w:rPr>
      <w:sz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customStyle="1" w:styleId="10">
    <w:name w:val="页眉 Char"/>
    <w:basedOn w:val="8"/>
    <w:link w:val="4"/>
    <w:qFormat/>
    <w:uiPriority w:val="0"/>
    <w:rPr>
      <w:rFonts w:ascii="方正仿宋_GBK" w:hAnsi="方正仿宋_GBK" w:eastAsia="方正仿宋_GBK" w:cs="方正仿宋_GBK"/>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955</Words>
  <Characters>5446</Characters>
  <Lines>45</Lines>
  <Paragraphs>12</Paragraphs>
  <TotalTime>142</TotalTime>
  <ScaleCrop>false</ScaleCrop>
  <LinksUpToDate>false</LinksUpToDate>
  <CharactersWithSpaces>6389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2021-01-19T02:25:00Z</dcterms:created>
  <dc:creator>Darren</dc:creator>
  <cp:lastModifiedBy>白白白白</cp:lastModifiedBy>
  <cp:lastPrinted>2021-01-20T02:22:00Z</cp:lastPrinted>
  <dcterms:modified xsi:type="dcterms:W3CDTF">2023-11-27T01:09:13Z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E5980693B4ED46A3A6B0AE27D76F3D83_12</vt:lpwstr>
  </property>
</Properties>
</file>