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Style w:val="6"/>
          <w:rFonts w:hint="eastAsia" w:ascii="方正小标宋简体" w:hAnsi="方正小标宋简体" w:eastAsia="方正小标宋简体" w:cs="方正小标宋简体"/>
          <w:b w:val="0"/>
          <w:bCs/>
          <w:sz w:val="44"/>
          <w:szCs w:val="44"/>
        </w:rPr>
      </w:pPr>
      <w:r>
        <w:rPr>
          <w:rStyle w:val="6"/>
          <w:rFonts w:hint="eastAsia" w:ascii="方正小标宋简体" w:hAnsi="方正小标宋简体" w:eastAsia="方正小标宋简体" w:cs="方正小标宋简体"/>
          <w:b w:val="0"/>
          <w:bCs/>
          <w:sz w:val="44"/>
          <w:szCs w:val="44"/>
        </w:rPr>
        <w:t>沂源县</w:t>
      </w:r>
      <w:r>
        <w:rPr>
          <w:rStyle w:val="6"/>
          <w:rFonts w:hint="eastAsia" w:ascii="方正小标宋简体" w:hAnsi="方正小标宋简体" w:eastAsia="方正小标宋简体" w:cs="方正小标宋简体"/>
          <w:b w:val="0"/>
          <w:bCs/>
          <w:sz w:val="44"/>
          <w:szCs w:val="44"/>
          <w:lang w:eastAsia="zh-CN"/>
        </w:rPr>
        <w:t>行政审批服务局</w:t>
      </w:r>
      <w:r>
        <w:rPr>
          <w:rStyle w:val="6"/>
          <w:rFonts w:hint="eastAsia" w:ascii="方正小标宋简体" w:hAnsi="方正小标宋简体" w:eastAsia="方正小标宋简体" w:cs="方正小标宋简体"/>
          <w:b w:val="0"/>
          <w:bCs/>
          <w:sz w:val="44"/>
          <w:szCs w:val="44"/>
        </w:rPr>
        <w:t>20</w:t>
      </w:r>
      <w:r>
        <w:rPr>
          <w:rStyle w:val="6"/>
          <w:rFonts w:hint="eastAsia" w:ascii="方正小标宋简体" w:hAnsi="方正小标宋简体" w:eastAsia="方正小标宋简体" w:cs="方正小标宋简体"/>
          <w:b w:val="0"/>
          <w:bCs/>
          <w:sz w:val="44"/>
          <w:szCs w:val="44"/>
          <w:lang w:val="en-US" w:eastAsia="zh-CN"/>
        </w:rPr>
        <w:t>21</w:t>
      </w:r>
      <w:r>
        <w:rPr>
          <w:rStyle w:val="6"/>
          <w:rFonts w:hint="eastAsia" w:ascii="方正小标宋简体" w:hAnsi="方正小标宋简体" w:eastAsia="方正小标宋简体" w:cs="方正小标宋简体"/>
          <w:b w:val="0"/>
          <w:bCs/>
          <w:sz w:val="44"/>
          <w:szCs w:val="44"/>
        </w:rPr>
        <w:t>年政府</w:t>
      </w:r>
    </w:p>
    <w:p>
      <w:pPr>
        <w:pStyle w:val="2"/>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r>
        <w:rPr>
          <w:rStyle w:val="6"/>
          <w:rFonts w:hint="eastAsia" w:ascii="方正小标宋简体" w:hAnsi="方正小标宋简体" w:eastAsia="方正小标宋简体" w:cs="方正小标宋简体"/>
          <w:b w:val="0"/>
          <w:bCs/>
          <w:sz w:val="44"/>
          <w:szCs w:val="44"/>
        </w:rPr>
        <w:t>信息公开工作年度报告</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jc w:val="both"/>
        <w:textAlignment w:val="auto"/>
        <w:rPr>
          <w:rStyle w:val="6"/>
          <w:rFonts w:hint="eastAsia" w:ascii="仿宋_GB2312" w:hAnsi="仿宋_GB2312" w:eastAsia="仿宋_GB2312" w:cs="仿宋_GB2312"/>
          <w:b w:val="0"/>
          <w:bCs/>
          <w:color w:val="auto"/>
          <w:sz w:val="32"/>
          <w:szCs w:val="32"/>
        </w:rPr>
      </w:pP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jc w:val="both"/>
        <w:textAlignment w:val="auto"/>
        <w:rPr>
          <w:rStyle w:val="6"/>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i w:val="0"/>
          <w:iCs w:val="0"/>
          <w:caps w:val="0"/>
          <w:color w:val="auto"/>
          <w:spacing w:val="0"/>
          <w:sz w:val="32"/>
          <w:szCs w:val="32"/>
          <w:shd w:val="clear" w:fill="FFFFFF"/>
          <w:lang w:eastAsia="zh-CN"/>
        </w:rPr>
        <w:drawing>
          <wp:anchor distT="0" distB="0" distL="114300" distR="114300" simplePos="0" relativeHeight="251659264" behindDoc="0" locked="0" layoutInCell="1" allowOverlap="1">
            <wp:simplePos x="0" y="0"/>
            <wp:positionH relativeFrom="column">
              <wp:posOffset>911225</wp:posOffset>
            </wp:positionH>
            <wp:positionV relativeFrom="paragraph">
              <wp:posOffset>5113020</wp:posOffset>
            </wp:positionV>
            <wp:extent cx="4203700" cy="2705100"/>
            <wp:effectExtent l="4445" t="5080" r="20955" b="1397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rStyle w:val="6"/>
          <w:rFonts w:hint="eastAsia" w:ascii="仿宋_GB2312" w:hAnsi="仿宋_GB2312" w:eastAsia="仿宋_GB2312" w:cs="仿宋_GB2312"/>
          <w:b w:val="0"/>
          <w:bCs/>
          <w:color w:val="auto"/>
          <w:sz w:val="32"/>
          <w:szCs w:val="32"/>
          <w:lang w:val="en-US" w:eastAsia="zh-CN"/>
        </w:rPr>
        <w:t>根据《中华人民共和国政府信息公开条例》（国办公开办函﹝2021﹞30号文件）和省、市、县对政务公开工作要求，制定沂源县行政审批服务局2021年政府信息公开工作年度报告。报告中所列数据统计期限自2021年1月1日始，至2021年12月31日止。报告电子版可从沂源县人民政府门户网站（http://www.yiyuan.gov.cn/gongkai/site_yyxxzspfwj）下载。如对报告内容有疑问，请与沂源县行政审批服务局联系（地址：沂源县鲁山路86号；邮编：256100；电话：0533-3618002；邮箱:yyxzwb@zb.shandong.cn）。</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20" w:firstLineChars="200"/>
        <w:textAlignment w:val="auto"/>
        <w:rPr>
          <w:rStyle w:val="6"/>
          <w:rFonts w:hint="eastAsia" w:ascii="黑体" w:hAnsi="宋体" w:eastAsia="黑体" w:cs="黑体"/>
          <w:b w:val="0"/>
          <w:bCs/>
          <w:sz w:val="32"/>
          <w:szCs w:val="32"/>
          <w:shd w:val="clear" w:color="auto" w:fill="FFFFFF"/>
        </w:rPr>
      </w:pPr>
      <w:r>
        <w:rPr>
          <w:rStyle w:val="6"/>
          <w:rFonts w:hint="eastAsia" w:ascii="仿宋" w:hAnsi="仿宋" w:eastAsia="仿宋" w:cs="仿宋"/>
          <w:b w:val="0"/>
          <w:bCs/>
          <w:sz w:val="31"/>
          <w:szCs w:val="31"/>
        </w:rPr>
        <w:t xml:space="preserve"> </w:t>
      </w:r>
      <w:r>
        <w:rPr>
          <w:rStyle w:val="6"/>
          <w:rFonts w:hint="eastAsia" w:ascii="黑体" w:hAnsi="宋体" w:eastAsia="黑体" w:cs="黑体"/>
          <w:b w:val="0"/>
          <w:bCs/>
          <w:sz w:val="31"/>
          <w:szCs w:val="31"/>
        </w:rPr>
        <w:t>一、总</w:t>
      </w:r>
      <w:r>
        <w:rPr>
          <w:rStyle w:val="6"/>
          <w:rFonts w:hint="eastAsia" w:ascii="黑体" w:hAnsi="宋体" w:eastAsia="黑体" w:cs="黑体"/>
          <w:b w:val="0"/>
          <w:bCs/>
          <w:sz w:val="32"/>
          <w:szCs w:val="32"/>
          <w:shd w:val="clear" w:color="auto" w:fill="FFFFFF"/>
        </w:rPr>
        <w:t>体情况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15"/>
        <w:jc w:val="both"/>
        <w:textAlignment w:val="auto"/>
        <w:rPr>
          <w:rStyle w:val="6"/>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i w:val="0"/>
          <w:iCs w:val="0"/>
          <w:caps w:val="0"/>
          <w:color w:val="auto"/>
          <w:spacing w:val="0"/>
          <w:sz w:val="32"/>
          <w:szCs w:val="32"/>
          <w:shd w:val="clear" w:fill="FFFFFF"/>
        </w:rPr>
        <w:t>（一）主动公开信息情况。</w:t>
      </w:r>
      <w:r>
        <w:rPr>
          <w:rStyle w:val="6"/>
          <w:rFonts w:hint="eastAsia" w:ascii="仿宋_GB2312" w:hAnsi="仿宋_GB2312" w:eastAsia="仿宋_GB2312" w:cs="仿宋_GB2312"/>
          <w:b w:val="0"/>
          <w:bCs/>
          <w:color w:val="auto"/>
          <w:sz w:val="32"/>
          <w:szCs w:val="32"/>
          <w:lang w:val="en-US" w:eastAsia="zh-CN"/>
        </w:rPr>
        <w:t>结合本单位工作实际，认真梳理政府信息，主动公开政府信息情况。2021年度，我局通过沂源县政府网站行政审批服务局政府信息公开站点公开政府信息317条，并</w:t>
      </w:r>
      <w:r>
        <w:rPr>
          <w:rFonts w:hint="eastAsia" w:ascii="Times New Roman" w:hAnsi="Times New Roman" w:eastAsia="仿宋_GB2312" w:cs="Times New Roman"/>
          <w:b w:val="0"/>
          <w:bCs w:val="0"/>
          <w:color w:val="000000"/>
          <w:sz w:val="32"/>
          <w:szCs w:val="40"/>
          <w:lang w:val="en-US" w:eastAsia="zh-CN" w:bidi="en-US"/>
        </w:rPr>
        <w:t>积极采用主要负责人解读、图片解读、视频解读、政策吹风会等多种形式进行文件解读</w:t>
      </w:r>
      <w:r>
        <w:rPr>
          <w:rStyle w:val="6"/>
          <w:rFonts w:hint="eastAsia" w:ascii="仿宋_GB2312" w:hAnsi="仿宋_GB2312" w:eastAsia="仿宋_GB2312" w:cs="仿宋_GB2312"/>
          <w:b w:val="0"/>
          <w:bCs/>
          <w:color w:val="auto"/>
          <w:sz w:val="32"/>
          <w:szCs w:val="32"/>
          <w:lang w:val="en-US" w:eastAsia="zh-CN"/>
        </w:rPr>
        <w:t>。通过沂源审批服务视频号、微信公众号等政务新媒体，累计发布行政审批工作211条、阅读人次达十万以上。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Style w:val="6"/>
          <w:rFonts w:hint="eastAsia" w:ascii="仿宋_GB2312" w:hAnsi="仿宋_GB2312" w:eastAsia="仿宋_GB2312" w:cs="仿宋_GB2312"/>
          <w:b w:val="0"/>
          <w:bCs/>
          <w:color w:val="auto"/>
          <w:sz w:val="32"/>
          <w:szCs w:val="32"/>
          <w:lang w:val="en-US" w:eastAsia="zh-CN"/>
        </w:rPr>
      </w:pPr>
      <w:r>
        <w:rPr>
          <w:rStyle w:val="6"/>
          <w:rFonts w:hint="eastAsia" w:ascii="仿宋_GB2312" w:hAnsi="仿宋_GB2312" w:eastAsia="仿宋_GB2312" w:cs="仿宋_GB2312"/>
          <w:b w:val="0"/>
          <w:bCs/>
          <w:color w:val="auto"/>
          <w:sz w:val="32"/>
          <w:szCs w:val="32"/>
          <w:lang w:val="en-US" w:eastAsia="zh-CN"/>
        </w:rPr>
        <w:drawing>
          <wp:inline distT="0" distB="0" distL="114300" distR="114300">
            <wp:extent cx="5274310" cy="4432300"/>
            <wp:effectExtent l="0" t="0" r="2540" b="6350"/>
            <wp:docPr id="4" name="图片 4" descr="微信截图_2022012816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20128160029"/>
                    <pic:cNvPicPr>
                      <a:picLocks noChangeAspect="1"/>
                    </pic:cNvPicPr>
                  </pic:nvPicPr>
                  <pic:blipFill>
                    <a:blip r:embed="rId5"/>
                    <a:stretch>
                      <a:fillRect/>
                    </a:stretch>
                  </pic:blipFill>
                  <pic:spPr>
                    <a:xfrm>
                      <a:off x="0" y="0"/>
                      <a:ext cx="5274310" cy="4432300"/>
                    </a:xfrm>
                    <a:prstGeom prst="rect">
                      <a:avLst/>
                    </a:prstGeom>
                  </pic:spPr>
                </pic:pic>
              </a:graphicData>
            </a:graphic>
          </wp:inline>
        </w:drawing>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15"/>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i w:val="0"/>
          <w:iCs w:val="0"/>
          <w:caps w:val="0"/>
          <w:color w:val="auto"/>
          <w:spacing w:val="0"/>
          <w:sz w:val="32"/>
          <w:szCs w:val="32"/>
          <w:shd w:val="clear" w:fill="FFFFFF"/>
        </w:rPr>
        <w:t>依申请公开情况。</w:t>
      </w:r>
      <w:r>
        <w:rPr>
          <w:rFonts w:hint="eastAsia" w:ascii="仿宋_GB2312" w:hAnsi="宋体" w:eastAsia="仿宋_GB2312" w:cs="仿宋_GB2312"/>
          <w:b w:val="0"/>
          <w:bCs/>
          <w:i w:val="0"/>
          <w:caps w:val="0"/>
          <w:color w:val="000000"/>
          <w:spacing w:val="0"/>
          <w:sz w:val="32"/>
          <w:szCs w:val="32"/>
          <w:shd w:val="clear" w:fill="FFFFFF"/>
        </w:rPr>
        <w:t>20</w:t>
      </w:r>
      <w:r>
        <w:rPr>
          <w:rFonts w:hint="eastAsia" w:ascii="仿宋_GB2312" w:hAnsi="宋体" w:eastAsia="仿宋_GB2312" w:cs="仿宋_GB2312"/>
          <w:b w:val="0"/>
          <w:bCs/>
          <w:i w:val="0"/>
          <w:caps w:val="0"/>
          <w:color w:val="000000"/>
          <w:spacing w:val="0"/>
          <w:sz w:val="32"/>
          <w:szCs w:val="32"/>
          <w:shd w:val="clear" w:fill="FFFFFF"/>
          <w:lang w:val="en-US" w:eastAsia="zh-CN"/>
        </w:rPr>
        <w:t>21</w:t>
      </w:r>
      <w:r>
        <w:rPr>
          <w:rFonts w:hint="eastAsia" w:ascii="仿宋_GB2312" w:hAnsi="宋体" w:eastAsia="仿宋_GB2312" w:cs="仿宋_GB2312"/>
          <w:b w:val="0"/>
          <w:bCs/>
          <w:i w:val="0"/>
          <w:caps w:val="0"/>
          <w:color w:val="000000"/>
          <w:spacing w:val="0"/>
          <w:sz w:val="32"/>
          <w:szCs w:val="32"/>
          <w:shd w:val="clear" w:fill="FFFFFF"/>
        </w:rPr>
        <w:t>年，我局</w:t>
      </w:r>
      <w:r>
        <w:rPr>
          <w:rFonts w:hint="eastAsia" w:ascii="仿宋_GB2312" w:hAnsi="仿宋_GB2312" w:eastAsia="仿宋_GB2312" w:cs="仿宋_GB2312"/>
          <w:sz w:val="32"/>
          <w:szCs w:val="32"/>
          <w:lang w:val="en-US" w:eastAsia="zh-CN"/>
        </w:rPr>
        <w:t>共收到依申请公开1件，并在规定时限内进行答复，申请内容涉及党内事务。</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661670</wp:posOffset>
            </wp:positionH>
            <wp:positionV relativeFrom="paragraph">
              <wp:posOffset>107950</wp:posOffset>
            </wp:positionV>
            <wp:extent cx="3680460" cy="1629410"/>
            <wp:effectExtent l="4445" t="4445" r="10795" b="2349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15"/>
        <w:jc w:val="both"/>
        <w:textAlignment w:val="auto"/>
        <w:rPr>
          <w:rStyle w:val="6"/>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i w:val="0"/>
          <w:iCs w:val="0"/>
          <w:caps w:val="0"/>
          <w:color w:val="auto"/>
          <w:spacing w:val="0"/>
          <w:sz w:val="32"/>
          <w:szCs w:val="32"/>
          <w:shd w:val="clear" w:fill="FFFFFF"/>
        </w:rPr>
        <w:t>（三）政府信息管理情况。</w:t>
      </w:r>
      <w:r>
        <w:rPr>
          <w:rStyle w:val="6"/>
          <w:rFonts w:hint="eastAsia" w:ascii="仿宋_GB2312" w:hAnsi="仿宋_GB2312" w:eastAsia="仿宋_GB2312" w:cs="仿宋_GB2312"/>
          <w:b w:val="0"/>
          <w:bCs/>
          <w:color w:val="auto"/>
          <w:sz w:val="32"/>
          <w:szCs w:val="32"/>
          <w:lang w:val="en-US" w:eastAsia="zh-CN"/>
        </w:rPr>
        <w:t>沂源县行政审批服务局高度重视政府信息公开工作，及时成立政务公开领导小组，领导小组下设办公室，设在局办公室，负责本单位政府信息公开日常管理工作，明确专人负责具体工作，确保政府信息公开制度化、规范化。开展了2021年规范性文件清理工作，确定我单位现不存在有效的规范性文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15"/>
        <w:jc w:val="both"/>
        <w:textAlignment w:val="auto"/>
        <w:rPr>
          <w:rFonts w:hint="eastAsia" w:ascii="仿宋_GB2312" w:hAnsi="宋体" w:eastAsia="仿宋_GB2312" w:cs="仿宋_GB2312"/>
          <w:b w:val="0"/>
          <w:bCs/>
          <w:i w:val="0"/>
          <w:caps w:val="0"/>
          <w:color w:val="000000"/>
          <w:spacing w:val="0"/>
          <w:sz w:val="32"/>
          <w:szCs w:val="32"/>
          <w:shd w:val="clear" w:fill="FFFFFF"/>
          <w:lang w:val="en-US" w:eastAsia="zh-CN"/>
        </w:rPr>
      </w:pPr>
      <w:r>
        <w:rPr>
          <w:rStyle w:val="6"/>
          <w:rFonts w:hint="eastAsia" w:ascii="仿宋_GB2312" w:hAnsi="仿宋_GB2312" w:eastAsia="仿宋_GB2312" w:cs="仿宋_GB2312"/>
          <w:b w:val="0"/>
          <w:bCs/>
          <w:color w:val="auto"/>
          <w:sz w:val="32"/>
          <w:szCs w:val="32"/>
          <w:lang w:val="en-US" w:eastAsia="zh-CN"/>
        </w:rPr>
        <w:drawing>
          <wp:anchor distT="0" distB="0" distL="114300" distR="114300" simplePos="0" relativeHeight="251660288" behindDoc="0" locked="0" layoutInCell="1" allowOverlap="1">
            <wp:simplePos x="0" y="0"/>
            <wp:positionH relativeFrom="column">
              <wp:posOffset>2171700</wp:posOffset>
            </wp:positionH>
            <wp:positionV relativeFrom="paragraph">
              <wp:posOffset>592455</wp:posOffset>
            </wp:positionV>
            <wp:extent cx="3181350" cy="3151505"/>
            <wp:effectExtent l="0" t="0" r="0" b="10795"/>
            <wp:wrapSquare wrapText="bothSides"/>
            <wp:docPr id="3" name="图片 3" descr="微信截图_2022012815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128154615"/>
                    <pic:cNvPicPr>
                      <a:picLocks noChangeAspect="1"/>
                    </pic:cNvPicPr>
                  </pic:nvPicPr>
                  <pic:blipFill>
                    <a:blip r:embed="rId7"/>
                    <a:stretch>
                      <a:fillRect/>
                    </a:stretch>
                  </pic:blipFill>
                  <pic:spPr>
                    <a:xfrm>
                      <a:off x="0" y="0"/>
                      <a:ext cx="3181350" cy="3151505"/>
                    </a:xfrm>
                    <a:prstGeom prst="rect">
                      <a:avLst/>
                    </a:prstGeom>
                  </pic:spPr>
                </pic:pic>
              </a:graphicData>
            </a:graphic>
          </wp:anchor>
        </w:drawing>
      </w:r>
      <w:r>
        <w:rPr>
          <w:rFonts w:hint="eastAsia" w:ascii="楷体_GB2312" w:hAnsi="楷体_GB2312" w:eastAsia="楷体_GB2312" w:cs="楷体_GB2312"/>
          <w:b w:val="0"/>
          <w:bCs/>
          <w:i w:val="0"/>
          <w:iCs w:val="0"/>
          <w:caps w:val="0"/>
          <w:color w:val="auto"/>
          <w:spacing w:val="0"/>
          <w:sz w:val="32"/>
          <w:szCs w:val="32"/>
          <w:shd w:val="clear" w:fill="FFFFFF"/>
        </w:rPr>
        <w:t>（四）</w:t>
      </w:r>
      <w:r>
        <w:rPr>
          <w:rFonts w:hint="eastAsia" w:ascii="楷体_GB2312" w:hAnsi="楷体_GB2312" w:eastAsia="楷体_GB2312" w:cs="楷体_GB2312"/>
          <w:b w:val="0"/>
          <w:bCs/>
          <w:i w:val="0"/>
          <w:iCs w:val="0"/>
          <w:caps w:val="0"/>
          <w:color w:val="auto"/>
          <w:spacing w:val="0"/>
          <w:sz w:val="32"/>
          <w:szCs w:val="32"/>
          <w:shd w:val="clear" w:fill="FFFFFF"/>
          <w:lang w:eastAsia="zh-CN"/>
        </w:rPr>
        <w:t>平台建设情况。</w:t>
      </w:r>
      <w:r>
        <w:rPr>
          <w:rFonts w:hint="eastAsia" w:ascii="仿宋_GB2312" w:hAnsi="宋体" w:eastAsia="仿宋_GB2312" w:cs="仿宋_GB2312"/>
          <w:b w:val="0"/>
          <w:bCs/>
          <w:i w:val="0"/>
          <w:caps w:val="0"/>
          <w:color w:val="000000"/>
          <w:spacing w:val="0"/>
          <w:sz w:val="32"/>
          <w:szCs w:val="32"/>
          <w:shd w:val="clear" w:fill="FFFFFF"/>
          <w:lang w:eastAsia="zh-CN"/>
        </w:rPr>
        <w:t>充分发挥沂源县人民政府网站的平台作用，在县政府和大数据中心指导下及时完善机构职能、领导分工、执法目录等信息，及时对平台建设和信息发布进行对对接、反馈和督促，确保政务信息公开到位。扩大信息公开渠道，</w:t>
      </w:r>
      <w:r>
        <w:rPr>
          <w:rFonts w:hint="eastAsia" w:ascii="仿宋_GB2312" w:hAnsi="宋体" w:eastAsia="仿宋_GB2312" w:cs="仿宋_GB2312"/>
          <w:b w:val="0"/>
          <w:bCs/>
          <w:i w:val="0"/>
          <w:caps w:val="0"/>
          <w:color w:val="000000"/>
          <w:spacing w:val="0"/>
          <w:sz w:val="32"/>
          <w:szCs w:val="32"/>
          <w:shd w:val="clear" w:fill="FFFFFF"/>
          <w:lang w:val="en-US" w:eastAsia="zh-CN"/>
        </w:rPr>
        <w:t>2021年新开设微信视频号，发布20条视频。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15"/>
        <w:jc w:val="both"/>
        <w:textAlignment w:val="auto"/>
        <w:rPr>
          <w:rStyle w:val="6"/>
          <w:rFonts w:hint="eastAsia" w:ascii="仿宋_GB2312" w:hAnsi="仿宋_GB2312" w:eastAsia="仿宋_GB2312" w:cs="仿宋_GB2312"/>
          <w:b w:val="0"/>
          <w:bCs/>
          <w:color w:val="auto"/>
          <w:sz w:val="32"/>
          <w:szCs w:val="32"/>
          <w:lang w:val="en-US" w:eastAsia="zh-CN"/>
        </w:rPr>
      </w:pPr>
      <w:r>
        <w:rPr>
          <w:rFonts w:hint="eastAsia" w:ascii="楷体_GB2312" w:hAnsi="楷体_GB2312" w:eastAsia="楷体_GB2312" w:cs="楷体_GB2312"/>
          <w:b w:val="0"/>
          <w:bCs/>
          <w:i w:val="0"/>
          <w:iCs w:val="0"/>
          <w:caps w:val="0"/>
          <w:color w:val="auto"/>
          <w:spacing w:val="0"/>
          <w:sz w:val="32"/>
          <w:szCs w:val="32"/>
          <w:shd w:val="clear" w:fill="FFFFFF"/>
        </w:rPr>
        <w:t>（五）</w:t>
      </w:r>
      <w:r>
        <w:rPr>
          <w:rFonts w:hint="eastAsia" w:ascii="楷体_GB2312" w:hAnsi="楷体_GB2312" w:eastAsia="楷体_GB2312" w:cs="楷体_GB2312"/>
          <w:b w:val="0"/>
          <w:bCs/>
          <w:i w:val="0"/>
          <w:iCs w:val="0"/>
          <w:caps w:val="0"/>
          <w:color w:val="auto"/>
          <w:spacing w:val="0"/>
          <w:sz w:val="32"/>
          <w:szCs w:val="32"/>
          <w:shd w:val="clear" w:fill="FFFFFF"/>
          <w:lang w:eastAsia="zh-CN"/>
        </w:rPr>
        <w:t>监督保障情况。</w:t>
      </w:r>
      <w:r>
        <w:rPr>
          <w:rStyle w:val="6"/>
          <w:rFonts w:hint="eastAsia" w:ascii="仿宋_GB2312" w:hAnsi="仿宋_GB2312" w:eastAsia="仿宋_GB2312" w:cs="仿宋_GB2312"/>
          <w:b w:val="0"/>
          <w:bCs/>
          <w:color w:val="auto"/>
          <w:sz w:val="32"/>
          <w:szCs w:val="32"/>
          <w:lang w:val="en-US" w:eastAsia="zh-CN"/>
        </w:rPr>
        <w:t>建立完善网络舆情应急处置相关机制，及时发现涉及行政审批领域的社情民意中存在的倾向性、苗头性问题，回应口径做到内容准确全面、科学理性，制定信息公开流程，及时发布政策信息，回应群众关切，同时加大信息发布的审核、监管力度，严密防范网络意识形态渗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15"/>
        <w:jc w:val="both"/>
        <w:textAlignment w:val="auto"/>
        <w:rPr>
          <w:rFonts w:hint="eastAsia" w:ascii="楷体_GB2312" w:hAnsi="楷体_GB2312" w:eastAsia="楷体_GB2312" w:cs="楷体_GB2312"/>
          <w:b w:val="0"/>
          <w:bCs/>
          <w:i w:val="0"/>
          <w:iCs w:val="0"/>
          <w:caps w:val="0"/>
          <w:color w:val="auto"/>
          <w:spacing w:val="0"/>
          <w:sz w:val="32"/>
          <w:szCs w:val="32"/>
          <w:shd w:val="clear" w:fill="FFFFFF"/>
          <w:lang w:eastAsia="zh-CN"/>
        </w:rPr>
      </w:pP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560" w:lineRule="exact"/>
        <w:ind w:left="0" w:leftChars="0" w:right="0" w:rightChars="0" w:firstLine="620" w:firstLineChars="200"/>
        <w:textAlignment w:val="auto"/>
        <w:rPr>
          <w:rStyle w:val="6"/>
          <w:rFonts w:hint="eastAsia" w:ascii="黑体" w:hAnsi="宋体" w:eastAsia="黑体" w:cs="黑体"/>
          <w:b w:val="0"/>
          <w:bCs/>
          <w:sz w:val="31"/>
          <w:szCs w:val="31"/>
        </w:rPr>
      </w:pPr>
      <w:r>
        <w:rPr>
          <w:rStyle w:val="6"/>
          <w:rFonts w:hint="eastAsia" w:ascii="黑体" w:hAnsi="宋体" w:eastAsia="黑体" w:cs="黑体"/>
          <w:b w:val="0"/>
          <w:bCs/>
          <w:sz w:val="31"/>
          <w:szCs w:val="31"/>
        </w:rPr>
        <w:t>二、主动公开政府信息情况</w:t>
      </w:r>
    </w:p>
    <w:tbl>
      <w:tblPr>
        <w:tblStyle w:val="3"/>
        <w:tblW w:w="823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09"/>
        <w:gridCol w:w="1842"/>
        <w:gridCol w:w="1888"/>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jc w:val="center"/>
        </w:trPr>
        <w:tc>
          <w:tcPr>
            <w:tcW w:w="8234" w:type="dxa"/>
            <w:gridSpan w:val="4"/>
            <w:tcBorders>
              <w:bottom w:val="single" w:color="000000" w:sz="2" w:space="0"/>
            </w:tcBorders>
            <w:shd w:val="clear" w:color="auto" w:fill="BDD6E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bCs/>
                <w:sz w:val="21"/>
                <w:szCs w:val="21"/>
              </w:rPr>
            </w:pPr>
            <w:r>
              <w:rPr>
                <w:rFonts w:hint="eastAsia" w:ascii="黑体" w:hAnsi="黑体" w:eastAsia="黑体" w:cs="黑体"/>
                <w:b w:val="0"/>
                <w:bCs/>
                <w:sz w:val="21"/>
                <w:szCs w:val="21"/>
              </w:rPr>
              <w:t>第二十条</w:t>
            </w:r>
            <w:r>
              <w:rPr>
                <w:rFonts w:hint="eastAsia" w:ascii="黑体" w:hAnsi="黑体" w:eastAsia="黑体" w:cs="黑体"/>
                <w:b w:val="0"/>
                <w:bCs/>
                <w:sz w:val="21"/>
                <w:szCs w:val="21"/>
                <w:lang w:val="en-US" w:eastAsia="zh-CN"/>
              </w:rPr>
              <w:t xml:space="preserve"> </w:t>
            </w:r>
            <w:r>
              <w:rPr>
                <w:rFonts w:hint="eastAsia" w:ascii="黑体" w:hAnsi="黑体" w:eastAsia="黑体" w:cs="黑体"/>
                <w:b w:val="0"/>
                <w:bCs/>
                <w:sz w:val="21"/>
                <w:szCs w:val="21"/>
              </w:rPr>
              <w:t>第（一）项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信息内容</w:t>
            </w:r>
          </w:p>
        </w:tc>
        <w:tc>
          <w:tcPr>
            <w:tcW w:w="184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rPr>
              <w:t>本年</w:t>
            </w:r>
            <w:r>
              <w:rPr>
                <w:rFonts w:hint="eastAsia" w:asciiTheme="minorEastAsia" w:hAnsiTheme="minorEastAsia" w:eastAsiaTheme="minorEastAsia" w:cstheme="minorEastAsia"/>
                <w:b w:val="0"/>
                <w:bCs/>
                <w:sz w:val="21"/>
                <w:szCs w:val="21"/>
                <w:lang w:eastAsia="zh-CN"/>
              </w:rPr>
              <w:t>制发件数</w:t>
            </w:r>
          </w:p>
        </w:tc>
        <w:tc>
          <w:tcPr>
            <w:tcW w:w="188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rPr>
              <w:t>本年</w:t>
            </w:r>
            <w:r>
              <w:rPr>
                <w:rFonts w:hint="eastAsia" w:asciiTheme="minorEastAsia" w:hAnsiTheme="minorEastAsia" w:eastAsiaTheme="minorEastAsia" w:cstheme="minorEastAsia"/>
                <w:b w:val="0"/>
                <w:bCs/>
                <w:sz w:val="21"/>
                <w:szCs w:val="21"/>
                <w:lang w:eastAsia="zh-CN"/>
              </w:rPr>
              <w:t>废止件数</w:t>
            </w:r>
          </w:p>
        </w:tc>
        <w:tc>
          <w:tcPr>
            <w:tcW w:w="1995" w:type="dxa"/>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现行有效件数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规章</w:t>
            </w:r>
          </w:p>
        </w:tc>
        <w:tc>
          <w:tcPr>
            <w:tcW w:w="184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c>
          <w:tcPr>
            <w:tcW w:w="188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c>
          <w:tcPr>
            <w:tcW w:w="1995" w:type="dxa"/>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行政</w:t>
            </w:r>
            <w:r>
              <w:rPr>
                <w:rFonts w:hint="eastAsia" w:asciiTheme="minorEastAsia" w:hAnsiTheme="minorEastAsia" w:eastAsiaTheme="minorEastAsia" w:cstheme="minorEastAsia"/>
                <w:b w:val="0"/>
                <w:bCs/>
                <w:sz w:val="21"/>
                <w:szCs w:val="21"/>
              </w:rPr>
              <w:t>规范性文件</w:t>
            </w:r>
          </w:p>
        </w:tc>
        <w:tc>
          <w:tcPr>
            <w:tcW w:w="1842"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c>
          <w:tcPr>
            <w:tcW w:w="188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c>
          <w:tcPr>
            <w:tcW w:w="1995" w:type="dxa"/>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234" w:type="dxa"/>
            <w:gridSpan w:val="4"/>
            <w:tcBorders>
              <w:top w:val="single" w:color="000000" w:sz="2" w:space="0"/>
              <w:bottom w:val="single" w:color="000000" w:sz="2" w:space="0"/>
            </w:tcBorders>
            <w:shd w:val="clear" w:color="auto" w:fill="BDD6E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z w:val="21"/>
                <w:szCs w:val="21"/>
              </w:rPr>
            </w:pPr>
            <w:r>
              <w:rPr>
                <w:rFonts w:hint="eastAsia" w:ascii="黑体" w:hAnsi="黑体" w:eastAsia="黑体" w:cs="黑体"/>
                <w:b w:val="0"/>
                <w:bCs/>
                <w:sz w:val="21"/>
                <w:szCs w:val="21"/>
              </w:rPr>
              <w:t>第二十条</w:t>
            </w:r>
            <w:r>
              <w:rPr>
                <w:rFonts w:hint="eastAsia" w:ascii="黑体" w:hAnsi="黑体" w:eastAsia="黑体" w:cs="黑体"/>
                <w:b w:val="0"/>
                <w:bCs/>
                <w:sz w:val="21"/>
                <w:szCs w:val="21"/>
                <w:lang w:val="en-US" w:eastAsia="zh-CN"/>
              </w:rPr>
              <w:t xml:space="preserve"> </w:t>
            </w:r>
            <w:r>
              <w:rPr>
                <w:rFonts w:hint="eastAsia" w:ascii="黑体" w:hAnsi="黑体" w:eastAsia="黑体" w:cs="黑体"/>
                <w:b w:val="0"/>
                <w:bCs/>
                <w:sz w:val="21"/>
                <w:szCs w:val="21"/>
              </w:rPr>
              <w:t>第（五）项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信息内容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本年处理决定数量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行政许可</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jc w:val="center"/>
        </w:trPr>
        <w:tc>
          <w:tcPr>
            <w:tcW w:w="8234" w:type="dxa"/>
            <w:gridSpan w:val="4"/>
            <w:tcBorders>
              <w:top w:val="single" w:color="000000" w:sz="2" w:space="0"/>
              <w:bottom w:val="single" w:color="000000" w:sz="2" w:space="0"/>
            </w:tcBorders>
            <w:shd w:val="clear" w:color="auto" w:fill="BDD6E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z w:val="21"/>
                <w:szCs w:val="21"/>
              </w:rPr>
            </w:pPr>
            <w:r>
              <w:rPr>
                <w:rFonts w:hint="eastAsia" w:ascii="黑体" w:hAnsi="黑体" w:eastAsia="黑体" w:cs="黑体"/>
                <w:b w:val="0"/>
                <w:bCs/>
                <w:sz w:val="21"/>
                <w:szCs w:val="21"/>
              </w:rPr>
              <w:t>第二十条</w:t>
            </w:r>
            <w:r>
              <w:rPr>
                <w:rFonts w:hint="eastAsia" w:ascii="黑体" w:hAnsi="黑体" w:eastAsia="黑体" w:cs="黑体"/>
                <w:b w:val="0"/>
                <w:bCs/>
                <w:sz w:val="21"/>
                <w:szCs w:val="21"/>
                <w:lang w:val="en-US" w:eastAsia="zh-CN"/>
              </w:rPr>
              <w:t xml:space="preserve"> </w:t>
            </w:r>
            <w:r>
              <w:rPr>
                <w:rFonts w:hint="eastAsia" w:ascii="黑体" w:hAnsi="黑体" w:eastAsia="黑体" w:cs="黑体"/>
                <w:b w:val="0"/>
                <w:bCs/>
                <w:sz w:val="21"/>
                <w:szCs w:val="21"/>
              </w:rPr>
              <w:t>第（六）项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信息内容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本年处理决定数量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行政处罚</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行政强制</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234" w:type="dxa"/>
            <w:gridSpan w:val="4"/>
            <w:tcBorders>
              <w:top w:val="single" w:color="000000" w:sz="2" w:space="0"/>
              <w:bottom w:val="single" w:color="000000" w:sz="2" w:space="0"/>
            </w:tcBorders>
            <w:shd w:val="clear" w:color="auto" w:fill="BDD6E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z w:val="21"/>
                <w:szCs w:val="21"/>
              </w:rPr>
            </w:pPr>
            <w:r>
              <w:rPr>
                <w:rFonts w:hint="eastAsia" w:ascii="黑体" w:hAnsi="黑体" w:eastAsia="黑体" w:cs="黑体"/>
                <w:b w:val="0"/>
                <w:bCs/>
                <w:sz w:val="21"/>
                <w:szCs w:val="21"/>
              </w:rPr>
              <w:t>第二十条</w:t>
            </w:r>
            <w:r>
              <w:rPr>
                <w:rFonts w:hint="eastAsia" w:ascii="黑体" w:hAnsi="黑体" w:eastAsia="黑体" w:cs="黑体"/>
                <w:b w:val="0"/>
                <w:bCs/>
                <w:sz w:val="21"/>
                <w:szCs w:val="21"/>
                <w:lang w:val="en-US" w:eastAsia="zh-CN"/>
              </w:rPr>
              <w:t xml:space="preserve"> </w:t>
            </w:r>
            <w:r>
              <w:rPr>
                <w:rFonts w:hint="eastAsia" w:ascii="黑体" w:hAnsi="黑体" w:eastAsia="黑体" w:cs="黑体"/>
                <w:b w:val="0"/>
                <w:bCs/>
                <w:sz w:val="21"/>
                <w:szCs w:val="21"/>
              </w:rPr>
              <w:t>第（八）项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信息内容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本年收费金额（单位：万元）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509" w:type="dxa"/>
            <w:tcBorders>
              <w:top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行政事业性收费</w:t>
            </w:r>
          </w:p>
        </w:tc>
        <w:tc>
          <w:tcPr>
            <w:tcW w:w="5725" w:type="dxa"/>
            <w:gridSpan w:val="3"/>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0</w:t>
            </w:r>
          </w:p>
        </w:tc>
      </w:tr>
    </w:tbl>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0" w:after="0" w:line="560" w:lineRule="exact"/>
        <w:ind w:firstLine="620" w:firstLineChars="200"/>
        <w:jc w:val="both"/>
        <w:textAlignment w:val="auto"/>
        <w:rPr>
          <w:rStyle w:val="6"/>
          <w:rFonts w:hint="eastAsia" w:ascii="黑体" w:hAnsi="宋体" w:eastAsia="黑体" w:cs="黑体"/>
          <w:b w:val="0"/>
          <w:bCs/>
          <w:color w:val="333333"/>
          <w:sz w:val="31"/>
          <w:szCs w:val="31"/>
          <w:shd w:val="clear" w:color="auto" w:fill="FFFFFF"/>
        </w:rPr>
      </w:pPr>
    </w:p>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0" w:after="0" w:line="560" w:lineRule="exact"/>
        <w:ind w:left="0" w:firstLine="640" w:firstLineChars="200"/>
        <w:jc w:val="left"/>
        <w:textAlignment w:val="auto"/>
        <w:rPr>
          <w:rStyle w:val="6"/>
          <w:rFonts w:hint="eastAsia" w:ascii="黑体" w:hAnsi="宋体" w:eastAsia="黑体" w:cs="黑体"/>
          <w:b w:val="0"/>
          <w:bCs/>
          <w:sz w:val="32"/>
          <w:szCs w:val="32"/>
          <w:shd w:val="clear" w:color="auto" w:fill="FFFFFF"/>
        </w:rPr>
      </w:pPr>
      <w:r>
        <w:rPr>
          <w:rStyle w:val="6"/>
          <w:rFonts w:hint="eastAsia" w:ascii="黑体" w:hAnsi="宋体" w:eastAsia="黑体" w:cs="黑体"/>
          <w:b w:val="0"/>
          <w:bCs/>
          <w:sz w:val="32"/>
          <w:szCs w:val="32"/>
          <w:shd w:val="clear" w:color="auto" w:fill="FFFFFF"/>
        </w:rPr>
        <w:t>三、收到和处理政府信息公开申请情况</w:t>
      </w:r>
    </w:p>
    <w:tbl>
      <w:tblPr>
        <w:tblStyle w:val="4"/>
        <w:tblpPr w:leftFromText="181" w:rightFromText="181" w:vertAnchor="text" w:horzAnchor="page" w:tblpXSpec="center" w:tblpY="284"/>
        <w:tblOverlap w:val="never"/>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005"/>
        <w:gridCol w:w="2655"/>
        <w:gridCol w:w="570"/>
        <w:gridCol w:w="660"/>
        <w:gridCol w:w="685"/>
        <w:gridCol w:w="900"/>
        <w:gridCol w:w="885"/>
        <w:gridCol w:w="465"/>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532" w:type="dxa"/>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黑体" w:hAnsi="黑体" w:eastAsia="黑体" w:cs="黑体"/>
                <w:b w:val="0"/>
                <w:bCs/>
                <w:spacing w:val="-11"/>
                <w:sz w:val="21"/>
                <w:szCs w:val="21"/>
              </w:rPr>
            </w:pPr>
            <w:r>
              <w:rPr>
                <w:rFonts w:hint="eastAsia" w:ascii="楷体" w:hAnsi="楷体" w:eastAsia="楷体" w:cs="楷体"/>
                <w:b w:val="0"/>
                <w:bCs/>
                <w:spacing w:val="-11"/>
                <w:sz w:val="21"/>
                <w:szCs w:val="21"/>
              </w:rPr>
              <w:t>（本列数据的勾稽关系为：第一项加第二项之和，等于第三项加第四项之和）</w:t>
            </w:r>
          </w:p>
        </w:tc>
        <w:tc>
          <w:tcPr>
            <w:tcW w:w="4665"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532"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黑体" w:hAnsi="黑体" w:eastAsia="黑体" w:cs="黑体"/>
                <w:b w:val="0"/>
                <w:bCs/>
                <w:spacing w:val="-11"/>
                <w:sz w:val="21"/>
                <w:szCs w:val="21"/>
              </w:rPr>
            </w:pPr>
          </w:p>
        </w:tc>
        <w:tc>
          <w:tcPr>
            <w:tcW w:w="5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自然人</w:t>
            </w:r>
          </w:p>
        </w:tc>
        <w:tc>
          <w:tcPr>
            <w:tcW w:w="3595"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法人或其他组织</w:t>
            </w:r>
          </w:p>
        </w:tc>
        <w:tc>
          <w:tcPr>
            <w:tcW w:w="5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2"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黑体" w:hAnsi="黑体" w:eastAsia="黑体" w:cs="黑体"/>
                <w:b w:val="0"/>
                <w:bCs/>
                <w:spacing w:val="-11"/>
                <w:sz w:val="21"/>
                <w:szCs w:val="21"/>
              </w:rPr>
            </w:pPr>
          </w:p>
        </w:tc>
        <w:tc>
          <w:tcPr>
            <w:tcW w:w="5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商业企业</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科研机构</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社会公益组织</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法律服务机构</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黑体" w:hAnsi="黑体" w:eastAsia="黑体" w:cs="黑体"/>
                <w:b w:val="0"/>
                <w:bCs/>
                <w:spacing w:val="-11"/>
                <w:sz w:val="21"/>
                <w:szCs w:val="21"/>
              </w:rPr>
            </w:pPr>
            <w:r>
              <w:rPr>
                <w:rFonts w:hint="eastAsia" w:ascii="黑体" w:hAnsi="黑体" w:eastAsia="黑体" w:cs="黑体"/>
                <w:b w:val="0"/>
                <w:bCs/>
                <w:spacing w:val="-11"/>
                <w:sz w:val="21"/>
                <w:szCs w:val="21"/>
              </w:rPr>
              <w:t>其他</w:t>
            </w:r>
          </w:p>
        </w:tc>
        <w:tc>
          <w:tcPr>
            <w:tcW w:w="5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heme="minorHAnsi" w:hAnsiTheme="minorHAnsi" w:eastAsiaTheme="minorEastAsia" w:cstheme="minorBidi"/>
                <w:b w:val="0"/>
                <w:bCs/>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53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一、本年新收政府信息公开申请数量</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1</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53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二、上年结转政府信息公开申请数量</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kern w:val="2"/>
                <w:sz w:val="21"/>
                <w:szCs w:val="21"/>
                <w:lang w:val="en-US" w:eastAsia="zh-CN" w:bidi="ar-SA"/>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三、本年度办理结果</w:t>
            </w:r>
          </w:p>
        </w:tc>
        <w:tc>
          <w:tcPr>
            <w:tcW w:w="36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（一）予以公开</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36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（二）部分公开</w:t>
            </w:r>
            <w:r>
              <w:rPr>
                <w:rFonts w:hint="eastAsia" w:ascii="楷体" w:hAnsi="楷体" w:eastAsia="楷体" w:cs="楷体"/>
                <w:b w:val="0"/>
                <w:bCs/>
                <w:spacing w:val="-11"/>
                <w:sz w:val="21"/>
                <w:szCs w:val="21"/>
              </w:rPr>
              <w:t>（区分处理的，只计这一情形，不计其他情形）</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（三）不予公开</w:t>
            </w: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1．属于国家秘密</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2．其他法律行政法规禁止公开</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3．危及“三安全一稳定”</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4．保护第三方合法权益</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5．属于三类内部事务信息</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1</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6．属于四类过程性信息</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7．属于行政执法案卷</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8．属于行政查询事项</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（四）无法提供</w:t>
            </w: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1．本单位不掌握相关政府信息</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2．没有现成信息需要另行制作</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3．补正后申请内容仍不明确</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（五）不予处理</w:t>
            </w: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1．信访举报投诉类申请</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2．重复申请</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3．要求提供公开出版物</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4．无正当理由大量反复申请</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5．要求行政机关确认或重新出具已获取信息</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（六）其他处理</w:t>
            </w: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1.申请人无正当理由逾期不补正、行政机关不再处理其政府信息公开申请</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2.申请人逾期未按收费通知要求缴纳费用、行政机关不再处理器政府信息公开申请</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10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Theme="minorEastAsia" w:hAnsiTheme="minorEastAsia" w:eastAsiaTheme="minorEastAsia" w:cstheme="minorEastAsia"/>
                <w:b w:val="0"/>
                <w:bCs/>
                <w:spacing w:val="-11"/>
                <w:sz w:val="21"/>
                <w:szCs w:val="21"/>
              </w:rPr>
            </w:pPr>
          </w:p>
        </w:tc>
        <w:tc>
          <w:tcPr>
            <w:tcW w:w="26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3.其他</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sz w:val="21"/>
                <w:szCs w:val="21"/>
                <w:lang w:val="en-US" w:eastAsia="zh-CN"/>
              </w:rPr>
            </w:pPr>
            <w:r>
              <w:rPr>
                <w:rFonts w:hint="eastAsia" w:asciiTheme="minorEastAsia" w:hAnsiTheme="minorEastAsia" w:eastAsiaTheme="minorEastAsia" w:cstheme="minorEastAsia"/>
                <w:b w:val="0"/>
                <w:bCs/>
                <w:spacing w:val="-1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p>
        </w:tc>
        <w:tc>
          <w:tcPr>
            <w:tcW w:w="36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（七）总计</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1</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53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Theme="minorEastAsia" w:hAnsiTheme="minorEastAsia" w:eastAsiaTheme="minorEastAsia" w:cstheme="minorEastAsia"/>
                <w:b w:val="0"/>
                <w:bCs/>
                <w:spacing w:val="-11"/>
                <w:sz w:val="21"/>
                <w:szCs w:val="21"/>
              </w:rPr>
            </w:pPr>
            <w:r>
              <w:rPr>
                <w:rFonts w:hint="eastAsia" w:asciiTheme="minorEastAsia" w:hAnsiTheme="minorEastAsia" w:eastAsiaTheme="minorEastAsia" w:cstheme="minorEastAsia"/>
                <w:b w:val="0"/>
                <w:bCs/>
                <w:spacing w:val="-11"/>
                <w:sz w:val="21"/>
                <w:szCs w:val="21"/>
              </w:rPr>
              <w:t>四、结转下年度继续办理</w:t>
            </w:r>
          </w:p>
        </w:tc>
        <w:tc>
          <w:tcPr>
            <w:tcW w:w="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4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c>
          <w:tcPr>
            <w:tcW w:w="5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heme="minorEastAsia" w:hAnsiTheme="minorEastAsia" w:eastAsiaTheme="minorEastAsia" w:cstheme="minorEastAsia"/>
                <w:b w:val="0"/>
                <w:bCs/>
                <w:spacing w:val="-11"/>
                <w:kern w:val="2"/>
                <w:sz w:val="21"/>
                <w:szCs w:val="21"/>
                <w:lang w:val="en-US" w:eastAsia="zh-CN" w:bidi="ar-SA"/>
              </w:rPr>
            </w:pPr>
            <w:r>
              <w:rPr>
                <w:rFonts w:hint="eastAsia" w:asciiTheme="minorEastAsia" w:hAnsiTheme="minorEastAsia" w:eastAsiaTheme="minorEastAsia" w:cstheme="minorEastAsia"/>
                <w:b w:val="0"/>
                <w:bCs/>
                <w:spacing w:val="-11"/>
                <w:sz w:val="21"/>
                <w:szCs w:val="21"/>
                <w:lang w:val="en-US" w:eastAsia="zh-CN"/>
              </w:rPr>
              <w:t>0</w:t>
            </w:r>
          </w:p>
        </w:tc>
      </w:tr>
    </w:tbl>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0" w:after="0" w:line="560" w:lineRule="exact"/>
        <w:ind w:left="0" w:firstLine="480" w:firstLineChars="200"/>
        <w:jc w:val="both"/>
        <w:textAlignment w:val="auto"/>
        <w:rPr>
          <w:b w:val="0"/>
          <w:bCs/>
        </w:rPr>
      </w:pPr>
    </w:p>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0" w:after="0" w:line="560" w:lineRule="exact"/>
        <w:ind w:left="0" w:firstLine="640" w:firstLineChars="200"/>
        <w:jc w:val="left"/>
        <w:textAlignment w:val="auto"/>
        <w:rPr>
          <w:rStyle w:val="6"/>
          <w:rFonts w:hint="eastAsia" w:ascii="黑体" w:hAnsi="宋体" w:eastAsia="黑体" w:cs="黑体"/>
          <w:b w:val="0"/>
          <w:bCs/>
          <w:sz w:val="32"/>
          <w:szCs w:val="32"/>
          <w:shd w:val="clear" w:color="auto" w:fill="FFFFFF"/>
        </w:rPr>
      </w:pPr>
      <w:r>
        <w:rPr>
          <w:rStyle w:val="6"/>
          <w:rFonts w:hint="eastAsia" w:ascii="黑体" w:hAnsi="宋体" w:eastAsia="黑体" w:cs="黑体"/>
          <w:b w:val="0"/>
          <w:bCs/>
          <w:sz w:val="32"/>
          <w:szCs w:val="32"/>
          <w:shd w:val="clear" w:color="auto" w:fill="FFFFFF"/>
        </w:rPr>
        <w:t>四、政府信息公开行政复议、行政诉讼情况</w:t>
      </w:r>
    </w:p>
    <w:tbl>
      <w:tblPr>
        <w:tblStyle w:val="3"/>
        <w:tblW w:w="921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E6F4FF"/>
        <w:tblLayout w:type="autofit"/>
        <w:tblCellMar>
          <w:top w:w="15" w:type="dxa"/>
          <w:left w:w="15" w:type="dxa"/>
          <w:bottom w:w="15" w:type="dxa"/>
          <w:right w:w="15" w:type="dxa"/>
        </w:tblCellMar>
      </w:tblPr>
      <w:tblGrid>
        <w:gridCol w:w="612"/>
        <w:gridCol w:w="612"/>
        <w:gridCol w:w="612"/>
        <w:gridCol w:w="612"/>
        <w:gridCol w:w="614"/>
        <w:gridCol w:w="619"/>
        <w:gridCol w:w="613"/>
        <w:gridCol w:w="613"/>
        <w:gridCol w:w="613"/>
        <w:gridCol w:w="621"/>
        <w:gridCol w:w="613"/>
        <w:gridCol w:w="613"/>
        <w:gridCol w:w="613"/>
        <w:gridCol w:w="614"/>
        <w:gridCol w:w="6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E6F4FF"/>
          <w:tblCellMar>
            <w:top w:w="15" w:type="dxa"/>
            <w:left w:w="15" w:type="dxa"/>
            <w:bottom w:w="15" w:type="dxa"/>
            <w:right w:w="15" w:type="dxa"/>
          </w:tblCellMar>
        </w:tblPrEx>
        <w:trPr>
          <w:trHeight w:val="361" w:hRule="atLeast"/>
          <w:jc w:val="center"/>
        </w:trPr>
        <w:tc>
          <w:tcPr>
            <w:tcW w:w="3062" w:type="dxa"/>
            <w:gridSpan w:val="5"/>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rPr>
            </w:pPr>
            <w:r>
              <w:rPr>
                <w:rFonts w:hint="eastAsia" w:ascii="宋体" w:hAnsi="宋体" w:eastAsia="宋体" w:cs="宋体"/>
                <w:b w:val="0"/>
                <w:bCs/>
                <w:i w:val="0"/>
                <w:caps w:val="0"/>
                <w:color w:val="000000"/>
                <w:spacing w:val="0"/>
                <w:kern w:val="0"/>
                <w:sz w:val="20"/>
                <w:szCs w:val="20"/>
                <w:lang w:val="en-US" w:eastAsia="zh-CN" w:bidi="ar"/>
              </w:rPr>
              <w:t>行政复议</w:t>
            </w:r>
          </w:p>
        </w:tc>
        <w:tc>
          <w:tcPr>
            <w:tcW w:w="6157" w:type="dxa"/>
            <w:gridSpan w:val="10"/>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rPr>
            </w:pPr>
            <w:r>
              <w:rPr>
                <w:rFonts w:hint="eastAsia" w:ascii="宋体" w:hAnsi="宋体" w:eastAsia="宋体" w:cs="宋体"/>
                <w:b w:val="0"/>
                <w:bCs/>
                <w:i w:val="0"/>
                <w:caps w:val="0"/>
                <w:color w:val="000000"/>
                <w:spacing w:val="0"/>
                <w:kern w:val="0"/>
                <w:sz w:val="20"/>
                <w:szCs w:val="20"/>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1" w:hRule="atLeast"/>
          <w:jc w:val="center"/>
        </w:trPr>
        <w:tc>
          <w:tcPr>
            <w:tcW w:w="61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结果维持</w:t>
            </w:r>
          </w:p>
        </w:tc>
        <w:tc>
          <w:tcPr>
            <w:tcW w:w="612" w:type="dxa"/>
            <w:vMerge w:val="restar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结果纠正</w:t>
            </w:r>
          </w:p>
        </w:tc>
        <w:tc>
          <w:tcPr>
            <w:tcW w:w="612"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其他结果</w:t>
            </w:r>
          </w:p>
        </w:tc>
        <w:tc>
          <w:tcPr>
            <w:tcW w:w="612"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尚未审结</w:t>
            </w:r>
          </w:p>
        </w:tc>
        <w:tc>
          <w:tcPr>
            <w:tcW w:w="614"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总计</w:t>
            </w:r>
          </w:p>
        </w:tc>
        <w:tc>
          <w:tcPr>
            <w:tcW w:w="3079" w:type="dxa"/>
            <w:gridSpan w:val="5"/>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未经复议直接起诉</w:t>
            </w:r>
          </w:p>
        </w:tc>
        <w:tc>
          <w:tcPr>
            <w:tcW w:w="3078" w:type="dxa"/>
            <w:gridSpan w:val="5"/>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84" w:hRule="atLeast"/>
          <w:jc w:val="center"/>
        </w:trPr>
        <w:tc>
          <w:tcPr>
            <w:tcW w:w="612"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default" w:ascii="Segoe UI" w:hAnsi="Segoe UI" w:eastAsia="Segoe UI" w:cs="Segoe UI"/>
                <w:b w:val="0"/>
                <w:bCs/>
                <w:i w:val="0"/>
                <w:caps w:val="0"/>
                <w:color w:val="000000"/>
                <w:spacing w:val="-11"/>
                <w:sz w:val="21"/>
                <w:szCs w:val="21"/>
              </w:rPr>
            </w:pPr>
          </w:p>
        </w:tc>
        <w:tc>
          <w:tcPr>
            <w:tcW w:w="612" w:type="dxa"/>
            <w:vMerge w:val="continue"/>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default" w:ascii="Segoe UI" w:hAnsi="Segoe UI" w:eastAsia="Segoe UI" w:cs="Segoe UI"/>
                <w:b w:val="0"/>
                <w:bCs/>
                <w:i w:val="0"/>
                <w:caps w:val="0"/>
                <w:color w:val="000000"/>
                <w:spacing w:val="-11"/>
                <w:sz w:val="21"/>
                <w:szCs w:val="21"/>
              </w:rPr>
            </w:pPr>
          </w:p>
        </w:tc>
        <w:tc>
          <w:tcPr>
            <w:tcW w:w="612"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default" w:ascii="Segoe UI" w:hAnsi="Segoe UI" w:eastAsia="Segoe UI" w:cs="Segoe UI"/>
                <w:b w:val="0"/>
                <w:bCs/>
                <w:i w:val="0"/>
                <w:caps w:val="0"/>
                <w:color w:val="000000"/>
                <w:spacing w:val="-11"/>
                <w:sz w:val="21"/>
                <w:szCs w:val="21"/>
              </w:rPr>
            </w:pPr>
          </w:p>
        </w:tc>
        <w:tc>
          <w:tcPr>
            <w:tcW w:w="612"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default" w:ascii="Segoe UI" w:hAnsi="Segoe UI" w:eastAsia="Segoe UI" w:cs="Segoe UI"/>
                <w:b w:val="0"/>
                <w:bCs/>
                <w:i w:val="0"/>
                <w:caps w:val="0"/>
                <w:color w:val="000000"/>
                <w:spacing w:val="-11"/>
                <w:sz w:val="21"/>
                <w:szCs w:val="21"/>
              </w:rPr>
            </w:pPr>
          </w:p>
        </w:tc>
        <w:tc>
          <w:tcPr>
            <w:tcW w:w="614"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default" w:ascii="Segoe UI" w:hAnsi="Segoe UI" w:eastAsia="Segoe UI" w:cs="Segoe UI"/>
                <w:b w:val="0"/>
                <w:bCs/>
                <w:i w:val="0"/>
                <w:caps w:val="0"/>
                <w:color w:val="000000"/>
                <w:spacing w:val="-11"/>
                <w:sz w:val="21"/>
                <w:szCs w:val="21"/>
              </w:rPr>
            </w:pPr>
          </w:p>
        </w:tc>
        <w:tc>
          <w:tcPr>
            <w:tcW w:w="6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结果维持</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结果纠正</w:t>
            </w:r>
          </w:p>
        </w:tc>
        <w:tc>
          <w:tcPr>
            <w:tcW w:w="61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其他结果</w:t>
            </w:r>
          </w:p>
        </w:tc>
        <w:tc>
          <w:tcPr>
            <w:tcW w:w="61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尚未审结</w:t>
            </w:r>
          </w:p>
        </w:tc>
        <w:tc>
          <w:tcPr>
            <w:tcW w:w="621"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总计</w:t>
            </w:r>
          </w:p>
        </w:tc>
        <w:tc>
          <w:tcPr>
            <w:tcW w:w="61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结果维持</w:t>
            </w:r>
          </w:p>
        </w:tc>
        <w:tc>
          <w:tcPr>
            <w:tcW w:w="61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结果纠正</w:t>
            </w:r>
          </w:p>
        </w:tc>
        <w:tc>
          <w:tcPr>
            <w:tcW w:w="61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其他结果</w:t>
            </w:r>
          </w:p>
        </w:tc>
        <w:tc>
          <w:tcPr>
            <w:tcW w:w="61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尚未审结</w:t>
            </w:r>
          </w:p>
        </w:tc>
        <w:tc>
          <w:tcPr>
            <w:tcW w:w="62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spacing w:val="-11"/>
              </w:rPr>
            </w:pPr>
            <w:r>
              <w:rPr>
                <w:rFonts w:hint="eastAsia" w:ascii="宋体" w:hAnsi="宋体" w:eastAsia="宋体" w:cs="宋体"/>
                <w:b w:val="0"/>
                <w:bCs/>
                <w:i w:val="0"/>
                <w:caps w:val="0"/>
                <w:color w:val="000000"/>
                <w:spacing w:val="-11"/>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01" w:hRule="atLeast"/>
          <w:jc w:val="center"/>
        </w:trPr>
        <w:tc>
          <w:tcPr>
            <w:tcW w:w="612"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eastAsia="Segoe UI" w:cs="Calibri"/>
                <w:b w:val="0"/>
                <w:bCs/>
                <w:i w:val="0"/>
                <w:caps w:val="0"/>
                <w:color w:val="000000"/>
                <w:spacing w:val="0"/>
                <w:kern w:val="0"/>
                <w:sz w:val="20"/>
                <w:szCs w:val="20"/>
                <w:lang w:val="en-US" w:eastAsia="zh-CN" w:bidi="ar"/>
              </w:rPr>
              <w:t>0</w:t>
            </w:r>
          </w:p>
        </w:tc>
        <w:tc>
          <w:tcPr>
            <w:tcW w:w="61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eastAsia="宋体"/>
                <w:b w:val="0"/>
                <w:bCs/>
                <w:color w:val="000000"/>
                <w:lang w:val="en-US" w:eastAsia="zh-CN"/>
              </w:rPr>
            </w:pPr>
            <w:r>
              <w:rPr>
                <w:rFonts w:hint="eastAsia"/>
                <w:b w:val="0"/>
                <w:bCs/>
                <w:color w:val="000000"/>
                <w:lang w:val="en-US" w:eastAsia="zh-CN"/>
              </w:rPr>
              <w:t>0</w:t>
            </w:r>
          </w:p>
        </w:tc>
        <w:tc>
          <w:tcPr>
            <w:tcW w:w="61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eastAsia="宋体"/>
                <w:b w:val="0"/>
                <w:bCs/>
                <w:color w:val="000000"/>
                <w:lang w:val="en-US" w:eastAsia="zh-CN"/>
              </w:rPr>
            </w:pPr>
            <w:r>
              <w:rPr>
                <w:rFonts w:hint="eastAsia"/>
                <w:b w:val="0"/>
                <w:bCs/>
                <w:color w:val="000000"/>
                <w:lang w:val="en-US" w:eastAsia="zh-CN"/>
              </w:rPr>
              <w:t>0</w:t>
            </w:r>
          </w:p>
        </w:tc>
        <w:tc>
          <w:tcPr>
            <w:tcW w:w="612"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eastAsia" w:eastAsia="宋体"/>
                <w:b w:val="0"/>
                <w:bCs/>
                <w:color w:val="000000"/>
                <w:lang w:val="en-US" w:eastAsia="zh-CN"/>
              </w:rPr>
            </w:pPr>
            <w:r>
              <w:rPr>
                <w:rFonts w:hint="eastAsia"/>
                <w:b w:val="0"/>
                <w:bCs/>
                <w:color w:val="000000"/>
                <w:lang w:val="en-US" w:eastAsia="zh-CN"/>
              </w:rPr>
              <w:t>0</w:t>
            </w:r>
          </w:p>
        </w:tc>
        <w:tc>
          <w:tcPr>
            <w:tcW w:w="61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rPr>
            </w:pPr>
            <w:r>
              <w:rPr>
                <w:rFonts w:hint="eastAsia" w:eastAsia="Segoe UI" w:cs="Calibri"/>
                <w:b w:val="0"/>
                <w:bCs/>
                <w:i w:val="0"/>
                <w:caps w:val="0"/>
                <w:color w:val="000000"/>
                <w:spacing w:val="0"/>
                <w:kern w:val="0"/>
                <w:sz w:val="20"/>
                <w:szCs w:val="20"/>
                <w:lang w:val="en-US" w:eastAsia="zh-CN" w:bidi="ar"/>
              </w:rPr>
              <w:t>0</w:t>
            </w:r>
            <w:r>
              <w:rPr>
                <w:rFonts w:hint="default" w:ascii="Calibri" w:hAnsi="Calibri" w:eastAsia="Segoe UI" w:cs="Calibri"/>
                <w:b w:val="0"/>
                <w:bCs/>
                <w:i w:val="0"/>
                <w:caps w:val="0"/>
                <w:color w:val="000000"/>
                <w:spacing w:val="0"/>
                <w:kern w:val="0"/>
                <w:sz w:val="20"/>
                <w:szCs w:val="20"/>
                <w:lang w:val="en-US" w:eastAsia="zh-CN" w:bidi="ar"/>
              </w:rPr>
              <w:t> </w:t>
            </w:r>
          </w:p>
        </w:tc>
        <w:tc>
          <w:tcPr>
            <w:tcW w:w="6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ascii="宋体" w:hAnsi="宋体" w:eastAsia="宋体" w:cs="宋体"/>
                <w:b w:val="0"/>
                <w:bCs/>
                <w:i w:val="0"/>
                <w:caps w:val="0"/>
                <w:color w:val="000000"/>
                <w:spacing w:val="0"/>
                <w:kern w:val="0"/>
                <w:sz w:val="20"/>
                <w:szCs w:val="20"/>
                <w:lang w:val="en-US" w:eastAsia="zh-CN" w:bidi="ar"/>
              </w:rPr>
              <w:t> </w:t>
            </w:r>
            <w:r>
              <w:rPr>
                <w:rFonts w:hint="eastAsia" w:ascii="宋体" w:hAnsi="宋体" w:cs="宋体"/>
                <w:b w:val="0"/>
                <w:bCs/>
                <w:i w:val="0"/>
                <w:caps w:val="0"/>
                <w:color w:val="000000"/>
                <w:spacing w:val="0"/>
                <w:kern w:val="0"/>
                <w:sz w:val="20"/>
                <w:szCs w:val="20"/>
                <w:lang w:val="en-US" w:eastAsia="zh-CN" w:bidi="ar"/>
              </w:rPr>
              <w:t>0</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ascii="宋体" w:hAnsi="宋体" w:eastAsia="宋体" w:cs="宋体"/>
                <w:b w:val="0"/>
                <w:bCs/>
                <w:i w:val="0"/>
                <w:caps w:val="0"/>
                <w:color w:val="000000"/>
                <w:spacing w:val="0"/>
                <w:kern w:val="0"/>
                <w:sz w:val="20"/>
                <w:szCs w:val="20"/>
                <w:lang w:val="en-US" w:eastAsia="zh-CN" w:bidi="ar"/>
              </w:rPr>
              <w:t> </w:t>
            </w:r>
            <w:r>
              <w:rPr>
                <w:rFonts w:hint="eastAsia" w:ascii="宋体" w:hAnsi="宋体" w:cs="宋体"/>
                <w:b w:val="0"/>
                <w:bCs/>
                <w:i w:val="0"/>
                <w:caps w:val="0"/>
                <w:color w:val="000000"/>
                <w:spacing w:val="0"/>
                <w:kern w:val="0"/>
                <w:sz w:val="20"/>
                <w:szCs w:val="20"/>
                <w:lang w:val="en-US" w:eastAsia="zh-CN" w:bidi="ar"/>
              </w:rPr>
              <w:t>0</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rPr>
            </w:pPr>
            <w:r>
              <w:rPr>
                <w:rFonts w:hint="eastAsia" w:ascii="宋体" w:hAnsi="宋体" w:cs="宋体"/>
                <w:b w:val="0"/>
                <w:bCs/>
                <w:i w:val="0"/>
                <w:caps w:val="0"/>
                <w:color w:val="000000"/>
                <w:spacing w:val="0"/>
                <w:kern w:val="0"/>
                <w:sz w:val="20"/>
                <w:szCs w:val="20"/>
                <w:lang w:val="en-US" w:eastAsia="zh-CN" w:bidi="ar"/>
              </w:rPr>
              <w:t>0</w:t>
            </w:r>
            <w:r>
              <w:rPr>
                <w:rFonts w:hint="eastAsia" w:ascii="宋体" w:hAnsi="宋体" w:eastAsia="宋体" w:cs="宋体"/>
                <w:b w:val="0"/>
                <w:bCs/>
                <w:i w:val="0"/>
                <w:caps w:val="0"/>
                <w:color w:val="000000"/>
                <w:spacing w:val="0"/>
                <w:kern w:val="0"/>
                <w:sz w:val="20"/>
                <w:szCs w:val="20"/>
                <w:lang w:val="en-US" w:eastAsia="zh-CN" w:bidi="ar"/>
              </w:rPr>
              <w:t> </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ascii="宋体" w:hAnsi="宋体" w:eastAsia="宋体" w:cs="宋体"/>
                <w:b w:val="0"/>
                <w:bCs/>
                <w:i w:val="0"/>
                <w:caps w:val="0"/>
                <w:color w:val="000000"/>
                <w:spacing w:val="0"/>
                <w:kern w:val="0"/>
                <w:sz w:val="20"/>
                <w:szCs w:val="20"/>
                <w:lang w:val="en-US" w:eastAsia="zh-CN" w:bidi="ar"/>
              </w:rPr>
              <w:t> </w:t>
            </w:r>
            <w:r>
              <w:rPr>
                <w:rFonts w:hint="eastAsia" w:ascii="宋体" w:hAnsi="宋体" w:cs="宋体"/>
                <w:b w:val="0"/>
                <w:bCs/>
                <w:i w:val="0"/>
                <w:caps w:val="0"/>
                <w:color w:val="000000"/>
                <w:spacing w:val="0"/>
                <w:kern w:val="0"/>
                <w:sz w:val="20"/>
                <w:szCs w:val="20"/>
                <w:lang w:val="en-US" w:eastAsia="zh-CN" w:bidi="ar"/>
              </w:rPr>
              <w:t>0</w:t>
            </w:r>
          </w:p>
        </w:tc>
        <w:tc>
          <w:tcPr>
            <w:tcW w:w="621"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rPr>
            </w:pPr>
            <w:r>
              <w:rPr>
                <w:rFonts w:hint="eastAsia" w:ascii="宋体" w:hAnsi="宋体" w:cs="宋体"/>
                <w:b w:val="0"/>
                <w:bCs/>
                <w:i w:val="0"/>
                <w:caps w:val="0"/>
                <w:color w:val="000000"/>
                <w:spacing w:val="0"/>
                <w:kern w:val="0"/>
                <w:sz w:val="20"/>
                <w:szCs w:val="20"/>
                <w:lang w:val="en-US" w:eastAsia="zh-CN" w:bidi="ar"/>
              </w:rPr>
              <w:t>0</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ascii="宋体" w:hAnsi="宋体" w:eastAsia="宋体" w:cs="宋体"/>
                <w:b w:val="0"/>
                <w:bCs/>
                <w:i w:val="0"/>
                <w:caps w:val="0"/>
                <w:color w:val="000000"/>
                <w:spacing w:val="0"/>
                <w:kern w:val="0"/>
                <w:sz w:val="20"/>
                <w:szCs w:val="20"/>
                <w:lang w:val="en-US" w:eastAsia="zh-CN" w:bidi="ar"/>
              </w:rPr>
              <w:t> </w:t>
            </w:r>
            <w:r>
              <w:rPr>
                <w:rFonts w:hint="eastAsia" w:ascii="宋体" w:hAnsi="宋体" w:cs="宋体"/>
                <w:b w:val="0"/>
                <w:bCs/>
                <w:i w:val="0"/>
                <w:caps w:val="0"/>
                <w:color w:val="000000"/>
                <w:spacing w:val="0"/>
                <w:kern w:val="0"/>
                <w:sz w:val="20"/>
                <w:szCs w:val="20"/>
                <w:lang w:val="en-US" w:eastAsia="zh-CN" w:bidi="ar"/>
              </w:rPr>
              <w:t>0</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ascii="宋体" w:hAnsi="宋体" w:eastAsia="宋体" w:cs="宋体"/>
                <w:b w:val="0"/>
                <w:bCs/>
                <w:i w:val="0"/>
                <w:caps w:val="0"/>
                <w:color w:val="000000"/>
                <w:spacing w:val="0"/>
                <w:kern w:val="0"/>
                <w:sz w:val="20"/>
                <w:szCs w:val="20"/>
                <w:lang w:val="en-US" w:eastAsia="zh-CN" w:bidi="ar"/>
              </w:rPr>
              <w:t> </w:t>
            </w:r>
            <w:r>
              <w:rPr>
                <w:rFonts w:hint="eastAsia" w:ascii="宋体" w:hAnsi="宋体" w:cs="宋体"/>
                <w:b w:val="0"/>
                <w:bCs/>
                <w:i w:val="0"/>
                <w:caps w:val="0"/>
                <w:color w:val="000000"/>
                <w:spacing w:val="0"/>
                <w:kern w:val="0"/>
                <w:sz w:val="20"/>
                <w:szCs w:val="20"/>
                <w:lang w:val="en-US" w:eastAsia="zh-CN" w:bidi="ar"/>
              </w:rPr>
              <w:t>0</w:t>
            </w:r>
          </w:p>
        </w:tc>
        <w:tc>
          <w:tcPr>
            <w:tcW w:w="61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rFonts w:hint="default"/>
                <w:b w:val="0"/>
                <w:bCs/>
                <w:color w:val="000000"/>
                <w:lang w:val="en-US"/>
              </w:rPr>
            </w:pPr>
            <w:r>
              <w:rPr>
                <w:rFonts w:hint="eastAsia" w:ascii="宋体" w:hAnsi="宋体" w:eastAsia="宋体" w:cs="宋体"/>
                <w:b w:val="0"/>
                <w:bCs/>
                <w:i w:val="0"/>
                <w:caps w:val="0"/>
                <w:color w:val="000000"/>
                <w:spacing w:val="0"/>
                <w:kern w:val="0"/>
                <w:sz w:val="20"/>
                <w:szCs w:val="20"/>
                <w:lang w:val="en-US" w:eastAsia="zh-CN" w:bidi="ar"/>
              </w:rPr>
              <w:t> </w:t>
            </w:r>
            <w:r>
              <w:rPr>
                <w:rFonts w:hint="eastAsia" w:ascii="宋体" w:hAnsi="宋体" w:cs="宋体"/>
                <w:b w:val="0"/>
                <w:bCs/>
                <w:i w:val="0"/>
                <w:caps w:val="0"/>
                <w:color w:val="000000"/>
                <w:spacing w:val="0"/>
                <w:kern w:val="0"/>
                <w:sz w:val="20"/>
                <w:szCs w:val="20"/>
                <w:lang w:val="en-US" w:eastAsia="zh-CN" w:bidi="ar"/>
              </w:rPr>
              <w:t>0</w:t>
            </w:r>
          </w:p>
        </w:tc>
        <w:tc>
          <w:tcPr>
            <w:tcW w:w="61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firstLineChars="0"/>
              <w:jc w:val="center"/>
              <w:textAlignment w:val="auto"/>
              <w:rPr>
                <w:b w:val="0"/>
                <w:bCs/>
                <w:color w:val="000000"/>
              </w:rPr>
            </w:pPr>
            <w:r>
              <w:rPr>
                <w:rFonts w:hint="eastAsia" w:ascii="宋体" w:hAnsi="宋体" w:cs="宋体"/>
                <w:b w:val="0"/>
                <w:bCs/>
                <w:i w:val="0"/>
                <w:caps w:val="0"/>
                <w:color w:val="000000"/>
                <w:spacing w:val="0"/>
                <w:kern w:val="0"/>
                <w:sz w:val="20"/>
                <w:szCs w:val="20"/>
                <w:lang w:val="en-US" w:eastAsia="zh-CN" w:bidi="ar"/>
              </w:rPr>
              <w:t>0</w:t>
            </w:r>
            <w:r>
              <w:rPr>
                <w:rFonts w:hint="eastAsia" w:ascii="宋体" w:hAnsi="宋体" w:eastAsia="宋体" w:cs="宋体"/>
                <w:b w:val="0"/>
                <w:bCs/>
                <w:i w:val="0"/>
                <w:caps w:val="0"/>
                <w:color w:val="000000"/>
                <w:spacing w:val="0"/>
                <w:kern w:val="0"/>
                <w:sz w:val="20"/>
                <w:szCs w:val="20"/>
                <w:lang w:val="en-US" w:eastAsia="zh-CN" w:bidi="ar"/>
              </w:rPr>
              <w:t> </w:t>
            </w:r>
          </w:p>
        </w:tc>
        <w:tc>
          <w:tcPr>
            <w:tcW w:w="62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Segoe UI" w:hAnsi="Segoe UI" w:eastAsia="宋体" w:cs="Segoe UI"/>
                <w:b w:val="0"/>
                <w:bCs/>
                <w:i w:val="0"/>
                <w:caps w:val="0"/>
                <w:color w:val="000000"/>
                <w:spacing w:val="0"/>
                <w:sz w:val="21"/>
                <w:szCs w:val="21"/>
                <w:lang w:val="en-US" w:eastAsia="zh-CN"/>
              </w:rPr>
            </w:pPr>
            <w:r>
              <w:rPr>
                <w:rFonts w:hint="eastAsia" w:ascii="Segoe UI" w:hAnsi="Segoe UI" w:cs="Segoe UI"/>
                <w:b w:val="0"/>
                <w:bCs/>
                <w:i w:val="0"/>
                <w:caps w:val="0"/>
                <w:color w:val="000000"/>
                <w:spacing w:val="0"/>
                <w:sz w:val="21"/>
                <w:szCs w:val="21"/>
                <w:lang w:val="en-US" w:eastAsia="zh-CN"/>
              </w:rPr>
              <w:t>0</w:t>
            </w:r>
          </w:p>
        </w:tc>
      </w:tr>
    </w:tbl>
    <w:p>
      <w:pPr>
        <w:keepNext w:val="0"/>
        <w:keepLines w:val="0"/>
        <w:pageBreakBefore w:val="0"/>
        <w:widowControl/>
        <w:suppressLineNumbers w:val="0"/>
        <w:kinsoku/>
        <w:wordWrap/>
        <w:overflowPunct/>
        <w:topLinePunct w:val="0"/>
        <w:autoSpaceDE/>
        <w:autoSpaceDN/>
        <w:bidi w:val="0"/>
        <w:adjustRightInd/>
        <w:snapToGrid/>
        <w:spacing w:line="560" w:lineRule="exact"/>
        <w:ind w:left="0" w:firstLine="420" w:firstLineChars="200"/>
        <w:jc w:val="left"/>
        <w:textAlignment w:val="auto"/>
        <w:rPr>
          <w:b w:val="0"/>
          <w:bCs/>
        </w:rPr>
      </w:pPr>
    </w:p>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0" w:after="0" w:line="560" w:lineRule="exact"/>
        <w:ind w:left="0" w:firstLine="640" w:firstLineChars="200"/>
        <w:jc w:val="left"/>
        <w:textAlignment w:val="auto"/>
        <w:rPr>
          <w:rStyle w:val="6"/>
          <w:rFonts w:hint="eastAsia" w:ascii="黑体" w:hAnsi="宋体" w:eastAsia="黑体" w:cs="黑体"/>
          <w:b w:val="0"/>
          <w:bCs/>
          <w:sz w:val="32"/>
          <w:szCs w:val="32"/>
          <w:shd w:val="clear" w:color="auto" w:fill="FFFFFF"/>
        </w:rPr>
      </w:pPr>
      <w:r>
        <w:rPr>
          <w:rStyle w:val="6"/>
          <w:rFonts w:hint="eastAsia" w:ascii="黑体" w:hAnsi="宋体" w:eastAsia="黑体" w:cs="黑体"/>
          <w:b w:val="0"/>
          <w:bCs/>
          <w:sz w:val="32"/>
          <w:szCs w:val="32"/>
          <w:shd w:val="clear" w:color="auto" w:fill="FFFFFF"/>
        </w:rPr>
        <w:t>五、存在的主要问题及改进情况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615"/>
        <w:jc w:val="both"/>
        <w:rPr>
          <w:rFonts w:hint="default" w:ascii="仿宋_GB2312" w:hAnsi="仿宋_GB2312" w:eastAsia="仿宋_GB2312" w:cs="仿宋_GB2312"/>
          <w:kern w:val="2"/>
          <w:sz w:val="32"/>
          <w:szCs w:val="32"/>
          <w:lang w:val="en-US" w:eastAsia="zh-CN" w:bidi="ar-SA"/>
        </w:rPr>
      </w:pPr>
      <w:r>
        <w:rPr>
          <w:rFonts w:hint="eastAsia" w:ascii="楷体_GB2312" w:hAnsi="微软雅黑" w:eastAsia="楷体_GB2312" w:cs="楷体_GB2312"/>
          <w:b w:val="0"/>
          <w:bCs/>
          <w:i w:val="0"/>
          <w:iCs w:val="0"/>
          <w:caps w:val="0"/>
          <w:color w:val="000000"/>
          <w:spacing w:val="0"/>
          <w:sz w:val="32"/>
          <w:szCs w:val="32"/>
          <w:shd w:val="clear" w:fill="FFFFFF"/>
        </w:rPr>
        <w:t>（一）思想认识需要进一步提高。</w:t>
      </w:r>
      <w:r>
        <w:rPr>
          <w:rFonts w:hint="eastAsia" w:ascii="仿宋_GB2312" w:hAnsi="仿宋_GB2312" w:eastAsia="仿宋_GB2312" w:cs="仿宋_GB2312"/>
          <w:kern w:val="2"/>
          <w:sz w:val="32"/>
          <w:szCs w:val="32"/>
          <w:lang w:val="en-US" w:eastAsia="zh-CN" w:bidi="ar-SA"/>
        </w:rPr>
        <w:t>对政府信息公开工作的重要性认识还显不足，主动性还不够强。经办人员对政府信息公开业务知识把握不够准确，对新修订的《政府信息公开条例》及新的政策要求理解不全面、不准确。需进一步加强学习培训，不断提高我局政府信息公开工作的质量和水平，确保与人民群众利益相关的行政许可方面信息及时、主动、规范，提高群众的满意度。</w:t>
      </w:r>
      <w:r>
        <w:rPr>
          <w:rFonts w:hint="default" w:ascii="仿宋_GB2312" w:hAnsi="仿宋_GB2312" w:eastAsia="仿宋_GB2312" w:cs="仿宋_GB2312"/>
          <w:kern w:val="2"/>
          <w:sz w:val="32"/>
          <w:szCs w:val="32"/>
          <w:lang w:val="en-US" w:eastAsia="zh-CN" w:bidi="ar-SA"/>
        </w:rPr>
        <w:t>。</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微软雅黑" w:eastAsia="楷体_GB2312" w:cs="楷体_GB2312"/>
          <w:b w:val="0"/>
          <w:bCs/>
          <w:i w:val="0"/>
          <w:iCs w:val="0"/>
          <w:caps w:val="0"/>
          <w:color w:val="000000"/>
          <w:spacing w:val="0"/>
          <w:sz w:val="32"/>
          <w:szCs w:val="32"/>
          <w:shd w:val="clear" w:fill="FFFFFF"/>
        </w:rPr>
        <w:t>（二）政府信息公开不够及时。</w:t>
      </w:r>
      <w:r>
        <w:rPr>
          <w:rFonts w:hint="eastAsia" w:ascii="仿宋_GB2312" w:hAnsi="仿宋_GB2312" w:eastAsia="仿宋_GB2312" w:cs="仿宋_GB2312"/>
          <w:kern w:val="2"/>
          <w:sz w:val="32"/>
          <w:szCs w:val="32"/>
          <w:lang w:val="en-US" w:eastAsia="zh-CN" w:bidi="ar-SA"/>
        </w:rPr>
        <w:t>由于机构改革，职能合并转移，某些信息更新还不够及时，未能及时发布履行部门职责、政务工作进展情况</w:t>
      </w:r>
      <w:bookmarkStart w:id="0" w:name="_GoBack"/>
      <w:bookmarkEnd w:id="0"/>
      <w:r>
        <w:rPr>
          <w:rFonts w:hint="eastAsia" w:ascii="仿宋_GB2312" w:hAnsi="仿宋_GB2312" w:eastAsia="仿宋_GB2312" w:cs="仿宋_GB2312"/>
          <w:kern w:val="2"/>
          <w:sz w:val="32"/>
          <w:szCs w:val="32"/>
          <w:lang w:val="en-US" w:eastAsia="zh-CN" w:bidi="ar-SA"/>
        </w:rPr>
        <w:t>相关信息，公开信息的时效性不强，公众查找所需的信息较为困难。遵循“以公开为常态，不公开为例外”的原则，进一步加强对政府网站的维护，及时主动公开各类应公开的信息。</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20" w:firstLineChars="200"/>
        <w:jc w:val="both"/>
        <w:textAlignment w:val="auto"/>
        <w:rPr>
          <w:b w:val="0"/>
          <w:bCs/>
        </w:rPr>
      </w:pPr>
      <w:r>
        <w:rPr>
          <w:rStyle w:val="6"/>
          <w:rFonts w:hint="eastAsia" w:ascii="黑体" w:hAnsi="宋体" w:eastAsia="黑体" w:cs="黑体"/>
          <w:b w:val="0"/>
          <w:bCs/>
          <w:sz w:val="31"/>
          <w:szCs w:val="31"/>
        </w:rPr>
        <w:t>六、其他需要报告的事项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微软雅黑" w:hAnsi="微软雅黑" w:eastAsia="微软雅黑" w:cs="微软雅黑"/>
          <w:b w:val="0"/>
          <w:bCs/>
          <w:i w:val="0"/>
          <w:iCs w:val="0"/>
          <w:caps w:val="0"/>
          <w:color w:val="333333"/>
          <w:spacing w:val="0"/>
          <w:sz w:val="32"/>
          <w:szCs w:val="32"/>
        </w:rPr>
      </w:pPr>
      <w:r>
        <w:rPr>
          <w:rFonts w:hint="eastAsia" w:ascii="楷体_GB2312" w:hAnsi="微软雅黑" w:eastAsia="楷体_GB2312" w:cs="楷体_GB2312"/>
          <w:b w:val="0"/>
          <w:bCs/>
          <w:i w:val="0"/>
          <w:iCs w:val="0"/>
          <w:caps w:val="0"/>
          <w:color w:val="000000"/>
          <w:spacing w:val="0"/>
          <w:sz w:val="32"/>
          <w:szCs w:val="32"/>
          <w:shd w:val="clear" w:fill="FFFFFF"/>
        </w:rPr>
        <w:t>（</w:t>
      </w:r>
      <w:r>
        <w:rPr>
          <w:rFonts w:hint="eastAsia" w:ascii="楷体_GB2312" w:hAnsi="微软雅黑" w:eastAsia="楷体_GB2312" w:cs="楷体_GB2312"/>
          <w:b w:val="0"/>
          <w:bCs/>
          <w:i w:val="0"/>
          <w:iCs w:val="0"/>
          <w:caps w:val="0"/>
          <w:color w:val="000000"/>
          <w:spacing w:val="0"/>
          <w:sz w:val="32"/>
          <w:szCs w:val="32"/>
          <w:shd w:val="clear" w:fill="FFFFFF"/>
          <w:lang w:eastAsia="zh-CN"/>
        </w:rPr>
        <w:t>一</w:t>
      </w:r>
      <w:r>
        <w:rPr>
          <w:rFonts w:hint="eastAsia" w:ascii="楷体_GB2312" w:hAnsi="微软雅黑" w:eastAsia="楷体_GB2312" w:cs="楷体_GB2312"/>
          <w:b w:val="0"/>
          <w:bCs/>
          <w:i w:val="0"/>
          <w:iCs w:val="0"/>
          <w:caps w:val="0"/>
          <w:color w:val="000000"/>
          <w:spacing w:val="0"/>
          <w:sz w:val="32"/>
          <w:szCs w:val="32"/>
          <w:shd w:val="clear" w:fill="FFFFFF"/>
        </w:rPr>
        <w:t>）政府信息公开收费及减免情况。</w:t>
      </w:r>
      <w:r>
        <w:rPr>
          <w:rFonts w:hint="default" w:ascii="仿宋_GB2312" w:hAnsi="仿宋_GB2312" w:eastAsia="仿宋_GB2312" w:cs="仿宋_GB2312"/>
          <w:kern w:val="2"/>
          <w:sz w:val="32"/>
          <w:szCs w:val="32"/>
          <w:lang w:val="en-US" w:eastAsia="zh-CN" w:bidi="ar-SA"/>
        </w:rPr>
        <w:t>根据《国务院办公厅关于印发〈政府信息公开信息处理费管理办法〉的通知》（国办函〔2020〕109号）和《山东省人民政府办公厅关于做好政府信息公开信息处理费管理工作有关事项的通知》（鲁政办字〔2020〕179号）规定，本年度未收取任何</w:t>
      </w:r>
      <w:r>
        <w:rPr>
          <w:rFonts w:hint="eastAsia" w:ascii="仿宋_GB2312" w:hAnsi="仿宋_GB2312" w:eastAsia="仿宋_GB2312" w:cs="仿宋_GB2312"/>
          <w:kern w:val="2"/>
          <w:sz w:val="32"/>
          <w:szCs w:val="32"/>
          <w:lang w:val="en-US" w:eastAsia="zh-CN" w:bidi="ar-SA"/>
        </w:rPr>
        <w:t>政府</w:t>
      </w:r>
      <w:r>
        <w:rPr>
          <w:rFonts w:ascii="仿宋_GB2312" w:eastAsia="仿宋_GB2312"/>
          <w:sz w:val="32"/>
          <w:szCs w:val="32"/>
        </w:rPr>
        <w:t>信息</w:t>
      </w:r>
      <w:r>
        <w:rPr>
          <w:rFonts w:hint="eastAsia" w:ascii="仿宋_GB2312" w:eastAsia="仿宋_GB2312"/>
          <w:sz w:val="32"/>
          <w:szCs w:val="32"/>
          <w:lang w:eastAsia="zh-CN"/>
        </w:rPr>
        <w:t>公开信息</w:t>
      </w:r>
      <w:r>
        <w:rPr>
          <w:rFonts w:ascii="仿宋_GB2312" w:eastAsia="仿宋_GB2312"/>
          <w:sz w:val="32"/>
          <w:szCs w:val="32"/>
        </w:rPr>
        <w:t>处理费</w:t>
      </w:r>
      <w:r>
        <w:rPr>
          <w:rFonts w:hint="default" w:ascii="仿宋_GB2312" w:hAnsi="仿宋_GB2312" w:eastAsia="仿宋_GB2312" w:cs="仿宋_GB2312"/>
          <w:kern w:val="2"/>
          <w:sz w:val="32"/>
          <w:szCs w:val="32"/>
          <w:lang w:val="en-US" w:eastAsia="zh-CN" w:bidi="ar-SA"/>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both"/>
        <w:textAlignment w:val="auto"/>
        <w:rPr>
          <w:rFonts w:hint="default" w:ascii="仿宋_GB2312" w:hAnsi="宋体" w:eastAsia="仿宋_GB2312" w:cs="仿宋_GB2312"/>
          <w:b w:val="0"/>
          <w:bCs/>
          <w:i w:val="0"/>
          <w:caps w:val="0"/>
          <w:color w:val="000000"/>
          <w:spacing w:val="0"/>
          <w:sz w:val="32"/>
          <w:szCs w:val="32"/>
          <w:shd w:val="clear" w:fill="FFFFFF"/>
          <w:lang w:val="en-US" w:eastAsia="zh-CN"/>
        </w:rPr>
      </w:pPr>
      <w:r>
        <w:rPr>
          <w:rFonts w:hint="eastAsia" w:ascii="楷体_GB2312" w:hAnsi="微软雅黑" w:eastAsia="楷体_GB2312" w:cs="楷体_GB2312"/>
          <w:b w:val="0"/>
          <w:bCs/>
          <w:i w:val="0"/>
          <w:iCs w:val="0"/>
          <w:caps w:val="0"/>
          <w:color w:val="000000"/>
          <w:spacing w:val="0"/>
          <w:sz w:val="32"/>
          <w:szCs w:val="32"/>
          <w:shd w:val="clear" w:fill="FFFFFF"/>
        </w:rPr>
        <w:t>（二）</w:t>
      </w:r>
      <w:r>
        <w:rPr>
          <w:rFonts w:hint="eastAsia" w:ascii="楷体_GB2312" w:hAnsi="微软雅黑" w:eastAsia="楷体_GB2312" w:cs="楷体_GB2312"/>
          <w:b w:val="0"/>
          <w:bCs/>
          <w:i w:val="0"/>
          <w:iCs w:val="0"/>
          <w:caps w:val="0"/>
          <w:color w:val="000000"/>
          <w:spacing w:val="0"/>
          <w:sz w:val="32"/>
          <w:szCs w:val="32"/>
          <w:shd w:val="clear" w:fill="FFFFFF"/>
          <w:lang w:val="en-US" w:eastAsia="zh-CN"/>
        </w:rPr>
        <w:t>落实上级年度政务公开工作要点情况。</w:t>
      </w:r>
      <w:r>
        <w:rPr>
          <w:rFonts w:hint="eastAsia" w:ascii="仿宋_GB2312" w:hAnsi="宋体" w:eastAsia="仿宋_GB2312" w:cs="仿宋_GB2312"/>
          <w:b w:val="0"/>
          <w:bCs/>
          <w:i w:val="0"/>
          <w:caps w:val="0"/>
          <w:color w:val="000000"/>
          <w:spacing w:val="0"/>
          <w:sz w:val="32"/>
          <w:szCs w:val="32"/>
          <w:shd w:val="clear" w:fill="FFFFFF"/>
          <w:lang w:eastAsia="zh-CN"/>
        </w:rPr>
        <w:t>坚持将政府信息公开工作纳入年度各科室目标考评，完成情况与年底评优挂钩；制定《沂源县行政审批服务局2021年政务公开工作要点》，加强政务公开工作的指导，从制度层面保障政府信息公开工作有序实施；先后组织政务公开业务培训，成功举办政府开放日；对依申请公开政府信息，依法依规进行保密审查和公开属性界定，严格规范公开程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both"/>
        <w:textAlignment w:val="auto"/>
        <w:rPr>
          <w:rFonts w:hint="eastAsia" w:ascii="仿宋_GB2312" w:hAnsi="宋体" w:eastAsia="仿宋_GB2312" w:cs="仿宋_GB2312"/>
          <w:b w:val="0"/>
          <w:bCs/>
          <w:i w:val="0"/>
          <w:caps w:val="0"/>
          <w:color w:val="000000"/>
          <w:spacing w:val="0"/>
          <w:sz w:val="32"/>
          <w:szCs w:val="32"/>
          <w:shd w:val="clear" w:fill="FFFFFF"/>
          <w:lang w:eastAsia="zh-CN"/>
        </w:rPr>
      </w:pPr>
      <w:r>
        <w:rPr>
          <w:rFonts w:hint="eastAsia" w:ascii="楷体_GB2312" w:hAnsi="微软雅黑" w:eastAsia="楷体_GB2312" w:cs="楷体_GB2312"/>
          <w:b w:val="0"/>
          <w:bCs/>
          <w:i w:val="0"/>
          <w:iCs w:val="0"/>
          <w:caps w:val="0"/>
          <w:color w:val="000000"/>
          <w:spacing w:val="0"/>
          <w:sz w:val="32"/>
          <w:szCs w:val="32"/>
          <w:shd w:val="clear" w:fill="FFFFFF"/>
          <w:lang w:eastAsia="zh-CN"/>
        </w:rPr>
        <w:t>（三）人大代表建议和政协提案办理结果公开情况。</w:t>
      </w:r>
      <w:r>
        <w:rPr>
          <w:rFonts w:hint="eastAsia" w:ascii="仿宋_GB2312" w:hAnsi="宋体" w:eastAsia="仿宋_GB2312" w:cs="仿宋_GB2312"/>
          <w:b w:val="0"/>
          <w:bCs/>
          <w:i w:val="0"/>
          <w:caps w:val="0"/>
          <w:color w:val="000000"/>
          <w:spacing w:val="0"/>
          <w:sz w:val="32"/>
          <w:szCs w:val="32"/>
          <w:shd w:val="clear" w:fill="FFFFFF"/>
          <w:lang w:eastAsia="zh-CN"/>
        </w:rPr>
        <w:t>本单位上年度未收到人大代表建议和政协提案办理。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5"/>
        <w:jc w:val="both"/>
        <w:textAlignment w:val="auto"/>
        <w:rPr>
          <w:rFonts w:hint="eastAsia" w:ascii="仿宋_GB2312" w:hAnsi="宋体" w:eastAsia="仿宋_GB2312" w:cs="仿宋_GB2312"/>
          <w:b w:val="0"/>
          <w:bCs/>
          <w:i w:val="0"/>
          <w:caps w:val="0"/>
          <w:color w:val="000000"/>
          <w:spacing w:val="0"/>
          <w:sz w:val="32"/>
          <w:szCs w:val="32"/>
          <w:shd w:val="clear" w:fill="FFFFFF"/>
          <w:lang w:eastAsia="zh-CN"/>
        </w:rPr>
      </w:pPr>
      <w:r>
        <w:rPr>
          <w:rFonts w:hint="eastAsia" w:ascii="楷体_GB2312" w:hAnsi="微软雅黑" w:eastAsia="楷体_GB2312" w:cs="楷体_GB2312"/>
          <w:b w:val="0"/>
          <w:bCs/>
          <w:i w:val="0"/>
          <w:iCs w:val="0"/>
          <w:caps w:val="0"/>
          <w:color w:val="000000"/>
          <w:spacing w:val="0"/>
          <w:sz w:val="32"/>
          <w:szCs w:val="32"/>
          <w:shd w:val="clear" w:fill="FFFFFF"/>
          <w:lang w:eastAsia="zh-CN"/>
        </w:rPr>
        <w:t>（四）</w:t>
      </w:r>
      <w:r>
        <w:rPr>
          <w:rFonts w:hint="default" w:ascii="楷体_GB2312" w:hAnsi="微软雅黑" w:eastAsia="楷体_GB2312" w:cs="楷体_GB2312"/>
          <w:b w:val="0"/>
          <w:bCs/>
          <w:i w:val="0"/>
          <w:iCs w:val="0"/>
          <w:caps w:val="0"/>
          <w:color w:val="000000"/>
          <w:spacing w:val="0"/>
          <w:sz w:val="32"/>
          <w:szCs w:val="32"/>
          <w:shd w:val="clear" w:fill="FFFFFF"/>
          <w:lang w:val="en-US" w:eastAsia="zh-CN"/>
        </w:rPr>
        <w:t>本行政机关年度政务公开工作创新情况。</w:t>
      </w:r>
      <w:r>
        <w:rPr>
          <w:rFonts w:hint="eastAsia" w:ascii="仿宋_GB2312" w:hAnsi="宋体" w:eastAsia="仿宋_GB2312" w:cs="仿宋_GB2312"/>
          <w:b w:val="0"/>
          <w:bCs/>
          <w:i w:val="0"/>
          <w:caps w:val="0"/>
          <w:color w:val="000000"/>
          <w:spacing w:val="0"/>
          <w:sz w:val="32"/>
          <w:szCs w:val="32"/>
          <w:shd w:val="clear" w:fill="FFFFFF"/>
          <w:lang w:eastAsia="zh-CN"/>
        </w:rPr>
        <w:t>扩大政府信息公开力度，在沂源审批服务微信公众号上添加“企业注销专区”专栏，设置树型结构检索功能，划分为简易注销、一般注销、特殊注销3大类型，细分为条件提示、流程图示、环节指引3大要素，集成行政审批、税务、人社、海关、公积金、银行等6个部门的注销办理流程，实现全覆盖业务指引，提供线上线下“一口咨询”服务。</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20" w:firstLineChars="200"/>
        <w:jc w:val="both"/>
        <w:textAlignment w:val="auto"/>
        <w:rPr>
          <w:rFonts w:hint="default" w:ascii="仿宋_GB2312" w:hAnsi="宋体" w:eastAsia="仿宋_GB2312" w:cs="仿宋_GB2312"/>
          <w:b w:val="0"/>
          <w:bCs/>
          <w:i w:val="0"/>
          <w:caps w:val="0"/>
          <w:color w:val="000000"/>
          <w:spacing w:val="0"/>
          <w:sz w:val="32"/>
          <w:szCs w:val="32"/>
          <w:shd w:val="clear" w:fill="FFFFFF"/>
          <w:lang w:val="en-US" w:eastAsia="zh-CN"/>
        </w:rPr>
      </w:pPr>
      <w:r>
        <w:rPr>
          <w:rStyle w:val="6"/>
          <w:rFonts w:hint="eastAsia" w:ascii="仿宋" w:hAnsi="仿宋" w:eastAsia="仿宋" w:cs="仿宋"/>
          <w:b w:val="0"/>
          <w:bCs/>
          <w:sz w:val="31"/>
          <w:szCs w:val="31"/>
        </w:rPr>
        <w:t>                                                                   </w:t>
      </w:r>
      <w:r>
        <w:rPr>
          <w:rStyle w:val="6"/>
          <w:rFonts w:hint="eastAsia" w:ascii="仿宋" w:hAnsi="仿宋" w:eastAsia="仿宋" w:cs="仿宋"/>
          <w:b w:val="0"/>
          <w:bCs/>
          <w:sz w:val="31"/>
          <w:szCs w:val="31"/>
          <w:lang w:val="en-US" w:eastAsia="zh-CN"/>
        </w:rPr>
        <w:t xml:space="preserve">                   </w:t>
      </w:r>
      <w:r>
        <w:rPr>
          <w:rStyle w:val="6"/>
          <w:rFonts w:hint="eastAsia" w:ascii="仿宋" w:hAnsi="仿宋" w:eastAsia="仿宋" w:cs="仿宋"/>
          <w:b w:val="0"/>
          <w:bCs/>
          <w:sz w:val="31"/>
          <w:szCs w:val="31"/>
        </w:rPr>
        <w:t xml:space="preserve">  </w:t>
      </w:r>
      <w:r>
        <w:rPr>
          <w:rFonts w:hint="eastAsia" w:ascii="仿宋_GB2312" w:hAnsi="宋体" w:eastAsia="仿宋_GB2312" w:cs="仿宋_GB2312"/>
          <w:b w:val="0"/>
          <w:bCs/>
          <w:i w:val="0"/>
          <w:caps w:val="0"/>
          <w:color w:val="000000"/>
          <w:spacing w:val="0"/>
          <w:sz w:val="32"/>
          <w:szCs w:val="32"/>
          <w:shd w:val="clear" w:fill="FFFFFF"/>
          <w:lang w:val="en-US" w:eastAsia="zh-CN"/>
        </w:rPr>
        <w:t>沂源县行政审批服务局</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4160" w:firstLineChars="1300"/>
        <w:jc w:val="both"/>
        <w:textAlignment w:val="auto"/>
        <w:rPr>
          <w:rFonts w:hint="eastAsia" w:ascii="仿宋_GB2312" w:hAnsi="宋体" w:eastAsia="仿宋_GB2312" w:cs="仿宋_GB2312"/>
          <w:b w:val="0"/>
          <w:bCs/>
          <w:i w:val="0"/>
          <w:caps w:val="0"/>
          <w:color w:val="000000"/>
          <w:spacing w:val="0"/>
          <w:sz w:val="32"/>
          <w:szCs w:val="32"/>
          <w:shd w:val="clear" w:fill="FFFFFF"/>
          <w:lang w:eastAsia="zh-CN"/>
        </w:rPr>
      </w:pPr>
      <w:r>
        <w:rPr>
          <w:rFonts w:hint="eastAsia" w:ascii="仿宋_GB2312" w:hAnsi="宋体" w:eastAsia="仿宋_GB2312" w:cs="仿宋_GB2312"/>
          <w:b w:val="0"/>
          <w:bCs/>
          <w:i w:val="0"/>
          <w:caps w:val="0"/>
          <w:color w:val="000000"/>
          <w:spacing w:val="0"/>
          <w:sz w:val="32"/>
          <w:szCs w:val="32"/>
          <w:shd w:val="clear" w:fill="FFFFFF"/>
          <w:lang w:eastAsia="zh-CN"/>
        </w:rPr>
        <w:t>202</w:t>
      </w:r>
      <w:r>
        <w:rPr>
          <w:rFonts w:hint="eastAsia" w:ascii="仿宋_GB2312" w:hAnsi="宋体" w:eastAsia="仿宋_GB2312" w:cs="仿宋_GB2312"/>
          <w:b w:val="0"/>
          <w:bCs/>
          <w:i w:val="0"/>
          <w:caps w:val="0"/>
          <w:color w:val="000000"/>
          <w:spacing w:val="0"/>
          <w:sz w:val="32"/>
          <w:szCs w:val="32"/>
          <w:shd w:val="clear" w:fill="FFFFFF"/>
          <w:lang w:val="en-US" w:eastAsia="zh-CN"/>
        </w:rPr>
        <w:t>2</w:t>
      </w:r>
      <w:r>
        <w:rPr>
          <w:rFonts w:hint="eastAsia" w:ascii="仿宋_GB2312" w:hAnsi="宋体" w:eastAsia="仿宋_GB2312" w:cs="仿宋_GB2312"/>
          <w:b w:val="0"/>
          <w:bCs/>
          <w:i w:val="0"/>
          <w:caps w:val="0"/>
          <w:color w:val="000000"/>
          <w:spacing w:val="0"/>
          <w:sz w:val="32"/>
          <w:szCs w:val="32"/>
          <w:shd w:val="clear" w:fill="FFFFFF"/>
          <w:lang w:eastAsia="zh-CN"/>
        </w:rPr>
        <w:t>年</w:t>
      </w:r>
      <w:r>
        <w:rPr>
          <w:rFonts w:hint="eastAsia" w:ascii="仿宋_GB2312" w:hAnsi="宋体" w:eastAsia="仿宋_GB2312" w:cs="仿宋_GB2312"/>
          <w:b w:val="0"/>
          <w:bCs/>
          <w:i w:val="0"/>
          <w:caps w:val="0"/>
          <w:color w:val="000000"/>
          <w:spacing w:val="0"/>
          <w:sz w:val="32"/>
          <w:szCs w:val="32"/>
          <w:shd w:val="clear" w:fill="FFFFFF"/>
          <w:lang w:val="en-US" w:eastAsia="zh-CN"/>
        </w:rPr>
        <w:t>1</w:t>
      </w:r>
      <w:r>
        <w:rPr>
          <w:rFonts w:hint="eastAsia" w:ascii="仿宋_GB2312" w:hAnsi="宋体" w:eastAsia="仿宋_GB2312" w:cs="仿宋_GB2312"/>
          <w:b w:val="0"/>
          <w:bCs/>
          <w:i w:val="0"/>
          <w:caps w:val="0"/>
          <w:color w:val="000000"/>
          <w:spacing w:val="0"/>
          <w:sz w:val="32"/>
          <w:szCs w:val="32"/>
          <w:shd w:val="clear" w:fill="FFFFFF"/>
          <w:lang w:eastAsia="zh-CN"/>
        </w:rPr>
        <w:t>月</w:t>
      </w:r>
      <w:r>
        <w:rPr>
          <w:rFonts w:hint="eastAsia" w:ascii="仿宋_GB2312" w:hAnsi="宋体" w:eastAsia="仿宋_GB2312" w:cs="仿宋_GB2312"/>
          <w:b w:val="0"/>
          <w:bCs/>
          <w:i w:val="0"/>
          <w:caps w:val="0"/>
          <w:color w:val="000000"/>
          <w:spacing w:val="0"/>
          <w:sz w:val="32"/>
          <w:szCs w:val="32"/>
          <w:shd w:val="clear" w:fill="FFFFFF"/>
          <w:lang w:val="en-US" w:eastAsia="zh-CN"/>
        </w:rPr>
        <w:t>24</w:t>
      </w:r>
      <w:r>
        <w:rPr>
          <w:rFonts w:hint="eastAsia" w:ascii="仿宋_GB2312" w:hAnsi="宋体" w:eastAsia="仿宋_GB2312" w:cs="仿宋_GB2312"/>
          <w:b w:val="0"/>
          <w:bCs/>
          <w:i w:val="0"/>
          <w:caps w:val="0"/>
          <w:color w:val="000000"/>
          <w:spacing w:val="0"/>
          <w:sz w:val="32"/>
          <w:szCs w:val="32"/>
          <w:shd w:val="clear" w:fill="FFFFFF"/>
          <w:lang w:eastAsia="zh-CN"/>
        </w:rPr>
        <w:t>日</w:t>
      </w:r>
    </w:p>
    <w:p>
      <w:pPr>
        <w:pStyle w:val="2"/>
        <w:keepNext w:val="0"/>
        <w:keepLines w:val="0"/>
        <w:pageBreakBefore w:val="0"/>
        <w:widowControl/>
        <w:suppressLineNumbers w:val="0"/>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仿宋_GB2312" w:hAnsi="宋体" w:eastAsia="仿宋_GB2312" w:cs="仿宋_GB2312"/>
          <w:b/>
          <w:bCs w:val="0"/>
          <w:i w:val="0"/>
          <w:caps w:val="0"/>
          <w:color w:val="000000"/>
          <w:spacing w:val="0"/>
          <w:sz w:val="32"/>
          <w:szCs w:val="32"/>
          <w:shd w:val="clear" w:fill="FFFFFF"/>
          <w:lang w:eastAsia="zh-CN"/>
        </w:rPr>
      </w:pPr>
      <w:r>
        <w:rPr>
          <w:rFonts w:hint="eastAsia" w:ascii="仿宋_GB2312" w:hAnsi="宋体" w:eastAsia="仿宋_GB2312" w:cs="仿宋_GB2312"/>
          <w:b/>
          <w:bCs w:val="0"/>
          <w:i w:val="0"/>
          <w:caps w:val="0"/>
          <w:color w:val="000000"/>
          <w:spacing w:val="0"/>
          <w:sz w:val="32"/>
          <w:szCs w:val="32"/>
          <w:shd w:val="clear" w:fill="FFFFFF"/>
          <w:lang w:eastAsia="zh-CN"/>
        </w:rPr>
        <w:t> </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F4E8A4"/>
    <w:multiLevelType w:val="singleLevel"/>
    <w:tmpl w:val="F2F4E8A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06102F"/>
    <w:rsid w:val="009274FF"/>
    <w:rsid w:val="041478E5"/>
    <w:rsid w:val="04E452F2"/>
    <w:rsid w:val="0506102F"/>
    <w:rsid w:val="050B0500"/>
    <w:rsid w:val="05F63A97"/>
    <w:rsid w:val="06E4367B"/>
    <w:rsid w:val="07F33D53"/>
    <w:rsid w:val="08BB6ECF"/>
    <w:rsid w:val="09502F56"/>
    <w:rsid w:val="0A6F4FBD"/>
    <w:rsid w:val="0C3C7CA3"/>
    <w:rsid w:val="0DB91C05"/>
    <w:rsid w:val="0F46465F"/>
    <w:rsid w:val="10091983"/>
    <w:rsid w:val="11712244"/>
    <w:rsid w:val="13946708"/>
    <w:rsid w:val="169B02FA"/>
    <w:rsid w:val="180716EA"/>
    <w:rsid w:val="1A0231FB"/>
    <w:rsid w:val="1B8375B2"/>
    <w:rsid w:val="1C071CC0"/>
    <w:rsid w:val="1C8131DE"/>
    <w:rsid w:val="1E854FF8"/>
    <w:rsid w:val="214401DE"/>
    <w:rsid w:val="21920551"/>
    <w:rsid w:val="2200357B"/>
    <w:rsid w:val="225615B4"/>
    <w:rsid w:val="230056D9"/>
    <w:rsid w:val="23754D29"/>
    <w:rsid w:val="23E86688"/>
    <w:rsid w:val="241E5CD3"/>
    <w:rsid w:val="25123BE7"/>
    <w:rsid w:val="28E24E09"/>
    <w:rsid w:val="29756A34"/>
    <w:rsid w:val="2A6C4CD8"/>
    <w:rsid w:val="2B966DC9"/>
    <w:rsid w:val="2BE02DF6"/>
    <w:rsid w:val="2C0A2403"/>
    <w:rsid w:val="2F063F34"/>
    <w:rsid w:val="30CD1862"/>
    <w:rsid w:val="314D7BF8"/>
    <w:rsid w:val="3182624B"/>
    <w:rsid w:val="34887D9A"/>
    <w:rsid w:val="34D523DE"/>
    <w:rsid w:val="37555A58"/>
    <w:rsid w:val="3AFB4253"/>
    <w:rsid w:val="3C3C0C31"/>
    <w:rsid w:val="3C952C6E"/>
    <w:rsid w:val="3D883FE9"/>
    <w:rsid w:val="3E720C9E"/>
    <w:rsid w:val="3E926127"/>
    <w:rsid w:val="3FFA0F4B"/>
    <w:rsid w:val="42161B6C"/>
    <w:rsid w:val="44A50FBA"/>
    <w:rsid w:val="44C1472D"/>
    <w:rsid w:val="44D83825"/>
    <w:rsid w:val="44E830B4"/>
    <w:rsid w:val="46B13DF8"/>
    <w:rsid w:val="472E167A"/>
    <w:rsid w:val="4A0F76E1"/>
    <w:rsid w:val="4DA436D2"/>
    <w:rsid w:val="4F426E21"/>
    <w:rsid w:val="4F620571"/>
    <w:rsid w:val="50926B99"/>
    <w:rsid w:val="520133F3"/>
    <w:rsid w:val="53D11B98"/>
    <w:rsid w:val="54F353B7"/>
    <w:rsid w:val="5A47527D"/>
    <w:rsid w:val="5A6776CD"/>
    <w:rsid w:val="5B3B5F9E"/>
    <w:rsid w:val="5BE06819"/>
    <w:rsid w:val="5BF566BD"/>
    <w:rsid w:val="5E145352"/>
    <w:rsid w:val="5E7C6E7C"/>
    <w:rsid w:val="60F21241"/>
    <w:rsid w:val="61493688"/>
    <w:rsid w:val="61FD6BD1"/>
    <w:rsid w:val="62593502"/>
    <w:rsid w:val="62857022"/>
    <w:rsid w:val="64276EB3"/>
    <w:rsid w:val="65C94D98"/>
    <w:rsid w:val="66712DDF"/>
    <w:rsid w:val="66AD6911"/>
    <w:rsid w:val="693B1B08"/>
    <w:rsid w:val="6BBB571F"/>
    <w:rsid w:val="6DEE6B7A"/>
    <w:rsid w:val="6EE26624"/>
    <w:rsid w:val="6F0E2A6F"/>
    <w:rsid w:val="6F9C06CE"/>
    <w:rsid w:val="742010BC"/>
    <w:rsid w:val="75ED17C8"/>
    <w:rsid w:val="769836F9"/>
    <w:rsid w:val="7873221E"/>
    <w:rsid w:val="7A792DD8"/>
    <w:rsid w:val="7CA63651"/>
    <w:rsid w:val="7FBA3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75" w:beforeAutospacing="0" w:after="75" w:afterAutospacing="0"/>
      <w:ind w:left="0" w:right="0"/>
      <w:jc w:val="left"/>
    </w:pPr>
    <w:rPr>
      <w:kern w:val="0"/>
      <w:sz w:val="24"/>
      <w:lang w:val="en-US" w:eastAsia="zh-CN" w:bidi="ar"/>
    </w:rPr>
  </w:style>
  <w:style w:type="table" w:styleId="4">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chart" Target="charts/chart2.xml"/><Relationship Id="rId5" Type="http://schemas.openxmlformats.org/officeDocument/2006/relationships/image" Target="media/image1.png"/><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主动公开信息情况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政府网站</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2020年</c:v>
                </c:pt>
                <c:pt idx="1">
                  <c:v>2021年</c:v>
                </c:pt>
              </c:strCache>
            </c:strRef>
          </c:cat>
          <c:val>
            <c:numRef>
              <c:f>Sheet1!$B$2:$B$3</c:f>
              <c:numCache>
                <c:formatCode>General</c:formatCode>
                <c:ptCount val="2"/>
                <c:pt idx="0">
                  <c:v>217</c:v>
                </c:pt>
                <c:pt idx="1">
                  <c:v>317</c:v>
                </c:pt>
              </c:numCache>
            </c:numRef>
          </c:val>
        </c:ser>
        <c:ser>
          <c:idx val="1"/>
          <c:order val="1"/>
          <c:tx>
            <c:strRef>
              <c:f>Sheet1!$C$1</c:f>
              <c:strCache>
                <c:ptCount val="1"/>
                <c:pt idx="0">
                  <c:v>微信公众号</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2020年</c:v>
                </c:pt>
                <c:pt idx="1">
                  <c:v>2021年</c:v>
                </c:pt>
              </c:strCache>
            </c:strRef>
          </c:cat>
          <c:val>
            <c:numRef>
              <c:f>Sheet1!$C$2:$C$3</c:f>
              <c:numCache>
                <c:formatCode>General</c:formatCode>
                <c:ptCount val="2"/>
                <c:pt idx="0">
                  <c:v>116</c:v>
                </c:pt>
                <c:pt idx="1">
                  <c:v>191</c:v>
                </c:pt>
              </c:numCache>
            </c:numRef>
          </c:val>
        </c:ser>
        <c:ser>
          <c:idx val="2"/>
          <c:order val="2"/>
          <c:tx>
            <c:strRef>
              <c:f>Sheet1!$D$1</c:f>
              <c:strCache>
                <c:ptCount val="1"/>
                <c:pt idx="0">
                  <c:v>微信视频号</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2020年</c:v>
                </c:pt>
                <c:pt idx="1">
                  <c:v>2021年</c:v>
                </c:pt>
              </c:strCache>
            </c:strRef>
          </c:cat>
          <c:val>
            <c:numRef>
              <c:f>Sheet1!$D$2:$D$3</c:f>
              <c:numCache>
                <c:formatCode>General</c:formatCode>
                <c:ptCount val="2"/>
                <c:pt idx="0">
                  <c:v>0</c:v>
                </c:pt>
                <c:pt idx="1">
                  <c:v>20</c:v>
                </c:pt>
              </c:numCache>
            </c:numRef>
          </c:val>
        </c:ser>
        <c:dLbls>
          <c:showLegendKey val="0"/>
          <c:showVal val="0"/>
          <c:showCatName val="0"/>
          <c:showSerName val="0"/>
          <c:showPercent val="0"/>
          <c:showBubbleSize val="0"/>
        </c:dLbls>
        <c:gapWidth val="219"/>
        <c:overlap val="-27"/>
        <c:axId val="378817131"/>
        <c:axId val="225524019"/>
      </c:barChart>
      <c:catAx>
        <c:axId val="3788171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5524019"/>
        <c:crosses val="autoZero"/>
        <c:auto val="1"/>
        <c:lblAlgn val="ctr"/>
        <c:lblOffset val="100"/>
        <c:noMultiLvlLbl val="0"/>
      </c:catAx>
      <c:valAx>
        <c:axId val="2255240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881713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收到依申请公开数量</c:v>
                </c:pt>
              </c:strCache>
            </c:strRef>
          </c:tx>
          <c:spPr>
            <a:ln w="28575" cap="rnd">
              <a:solidFill>
                <a:schemeClr val="accent1"/>
              </a:solidFill>
              <a:round/>
            </a:ln>
            <a:effectLst/>
          </c:spPr>
          <c:marker>
            <c:symbol val="none"/>
          </c:marker>
          <c:dLbls>
            <c:delete val="1"/>
          </c:dLbls>
          <c:cat>
            <c:strRef>
              <c:f>Sheet1!$A$2:$A$3</c:f>
              <c:strCache>
                <c:ptCount val="2"/>
                <c:pt idx="0">
                  <c:v>2020年</c:v>
                </c:pt>
                <c:pt idx="1">
                  <c:v>2021年</c:v>
                </c:pt>
              </c:strCache>
            </c:strRef>
          </c:cat>
          <c:val>
            <c:numRef>
              <c:f>Sheet1!$B$2:$B$3</c:f>
              <c:numCache>
                <c:formatCode>General</c:formatCode>
                <c:ptCount val="2"/>
                <c:pt idx="0">
                  <c:v>0</c:v>
                </c:pt>
                <c:pt idx="1">
                  <c:v>1</c:v>
                </c:pt>
              </c:numCache>
            </c:numRef>
          </c:val>
          <c:smooth val="0"/>
        </c:ser>
        <c:dLbls>
          <c:showLegendKey val="0"/>
          <c:showVal val="0"/>
          <c:showCatName val="0"/>
          <c:showSerName val="0"/>
          <c:showPercent val="0"/>
          <c:showBubbleSize val="0"/>
        </c:dLbls>
        <c:marker val="0"/>
        <c:smooth val="0"/>
        <c:axId val="727003578"/>
        <c:axId val="440832039"/>
      </c:lineChart>
      <c:catAx>
        <c:axId val="72700357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832039"/>
        <c:crosses val="autoZero"/>
        <c:auto val="1"/>
        <c:lblAlgn val="ctr"/>
        <c:lblOffset val="100"/>
        <c:noMultiLvlLbl val="0"/>
      </c:catAx>
      <c:valAx>
        <c:axId val="440832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70035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2020-07-07T07:52:00Z</dcterms:created>
  <dc:creator>Darren</dc:creator>
  <cp:lastModifiedBy>Ringo</cp:lastModifiedBy>
  <cp:lastPrinted>2021-01-27T02:56:00Z</cp:lastPrinted>
  <dcterms:modified xsi:type="dcterms:W3CDTF">2022-01-29T05:48:54Z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3153A59AF34643819094348A2F34041F</vt:lpwstr>
  </property>
</Properties>
</file>