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720" w:lineRule="exact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沂源县信访局</w:t>
      </w:r>
    </w:p>
    <w:p>
      <w:pPr>
        <w:pStyle w:val="5"/>
        <w:widowControl/>
        <w:spacing w:line="720" w:lineRule="exact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2018年政府信息公开年度报告</w:t>
      </w:r>
    </w:p>
    <w:p>
      <w:pPr>
        <w:pStyle w:val="5"/>
        <w:widowControl/>
        <w:rPr>
          <w:rFonts w:ascii="仿宋" w:hAnsi="仿宋"/>
          <w:b w:val="0"/>
          <w:bCs w:val="0"/>
          <w:sz w:val="32"/>
          <w:szCs w:val="32"/>
        </w:rPr>
      </w:pPr>
      <w:r>
        <w:rPr>
          <w:rFonts w:ascii="仿宋" w:hAnsi="仿宋"/>
          <w:b w:val="0"/>
          <w:bCs w:val="0"/>
          <w:sz w:val="32"/>
          <w:szCs w:val="32"/>
        </w:rPr>
        <w:t xml:space="preserve">    </w:t>
      </w:r>
    </w:p>
    <w:p>
      <w:pPr>
        <w:pStyle w:val="5"/>
        <w:widowControl/>
        <w:ind w:firstLine="640" w:firstLineChars="200"/>
        <w:rPr>
          <w:rFonts w:ascii="仿宋_GB2312" w:eastAsia="仿宋_GB2312"/>
          <w:b w:val="0"/>
          <w:bCs w:val="0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为进一步推进信访局政府信息公开工作的开展，按照沂源县人民政府办公室要求，现将我单位2018年政府信息公开年度报告公布如下：</w:t>
      </w:r>
    </w:p>
    <w:p>
      <w:pPr>
        <w:pStyle w:val="5"/>
        <w:widowControl/>
        <w:rPr>
          <w:b w:val="0"/>
          <w:bCs w:val="0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 xml:space="preserve">    一、政府信息公开工作概述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2018年，在县委、县政府的正确领导下，认真贯彻落实国家、省、市、县关于政府信息公开的相关要求，不断建立健全政府信息公开的制度和规定，切实加大信息公开力度，充分发挥相关载体作用，在沂源通讯等大众媒体上公开相关信访法规、信息，拓宽了群众获取信息渠道，使政府信息公开的形式得到进一步完善。</w:t>
      </w:r>
    </w:p>
    <w:p>
      <w:pPr>
        <w:pStyle w:val="5"/>
        <w:widowControl/>
        <w:ind w:firstLine="640" w:firstLineChars="200"/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二、政府信息公开的组织领导和制度建设情况</w:t>
      </w:r>
    </w:p>
    <w:p>
      <w:pPr>
        <w:pStyle w:val="5"/>
        <w:widowControl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楷体" w:eastAsia="楷体_GB2312"/>
          <w:b w:val="0"/>
          <w:bCs w:val="0"/>
          <w:sz w:val="32"/>
          <w:szCs w:val="32"/>
        </w:rPr>
        <w:t>（一）强化组织领导。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局领导高度重视政府信息公开工作，明确主要负责人总负责、分管副局长牵头部署、有关科室具体落实的工作机制，为政府信息公开工作的顺利开展提供了组织和人员保障。</w:t>
      </w:r>
    </w:p>
    <w:p>
      <w:pPr>
        <w:pStyle w:val="5"/>
        <w:widowControl/>
        <w:ind w:firstLine="64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楷体" w:eastAsia="楷体_GB2312"/>
          <w:b w:val="0"/>
          <w:bCs w:val="0"/>
          <w:sz w:val="32"/>
          <w:szCs w:val="32"/>
        </w:rPr>
        <w:t>（二）加强制度建设。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为规范政府信息公开的内容、途径和保密工作相关要求，修改完善了《沂源县信访局保密制度》《沂源县信访局信息公开保密审查制度》，明确了信息公开范围、时间、程序、保密要求，确保政府信息公开工作持续良好开展。</w:t>
      </w:r>
    </w:p>
    <w:p>
      <w:pPr>
        <w:pStyle w:val="5"/>
        <w:widowControl/>
        <w:ind w:firstLine="640" w:firstLineChars="200"/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三、重点领域政府信息公开工作推进情况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 xml:space="preserve">按照县政府财政部门要求，在淄博市预决算公开统一平台公开部门预决算报告，2018年公开“2017年沂源县信访局部门决算”和“2018年沂源县信访局部门预算”各1次。                        </w:t>
      </w:r>
    </w:p>
    <w:p>
      <w:pPr>
        <w:pStyle w:val="5"/>
        <w:widowControl/>
        <w:rPr>
          <w:rFonts w:ascii="黑体" w:hAnsi="宋体" w:eastAsia="黑体"/>
          <w:b w:val="0"/>
          <w:bCs w:val="0"/>
          <w:sz w:val="32"/>
          <w:szCs w:val="32"/>
        </w:rPr>
      </w:pPr>
      <w:r>
        <w:rPr>
          <w:rFonts w:ascii="仿宋" w:hAnsi="仿宋"/>
          <w:b w:val="0"/>
          <w:bCs w:val="0"/>
          <w:sz w:val="32"/>
          <w:szCs w:val="32"/>
        </w:rPr>
        <w:t xml:space="preserve">    </w:t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四、主动公开政府信息以及公开平台建设情况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color w:val="FF000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（一）主动公开政府信息。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2018年，根据县政府要求，主动在政府网站公开10条信息；在沂源通讯等大众媒体公开相关法规信息105次，初步统计阅读人数达37万人次；组织20余个部门、单位开展“信访法规赶大集”活动，分发宣传材料8000余份。</w:t>
      </w:r>
    </w:p>
    <w:p>
      <w:pPr>
        <w:pStyle w:val="5"/>
        <w:widowControl/>
        <w:ind w:firstLine="640" w:firstLineChars="200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（二）公开平台建设情况。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县信访局无门户网站。</w:t>
      </w:r>
    </w:p>
    <w:p>
      <w:pPr>
        <w:pStyle w:val="5"/>
        <w:widowControl/>
        <w:ind w:firstLine="640" w:firstLineChars="200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五、政府信息公开申请的办理情况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2018年度未接到公民、法人或其他组织有关公开政府信息的申请。</w:t>
      </w:r>
    </w:p>
    <w:p>
      <w:pPr>
        <w:pStyle w:val="5"/>
        <w:widowControl/>
        <w:rPr>
          <w:b w:val="0"/>
          <w:bCs w:val="0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 xml:space="preserve">    六、政府信息公开的收费及减免情况</w:t>
      </w:r>
    </w:p>
    <w:p>
      <w:pPr>
        <w:pStyle w:val="5"/>
        <w:widowControl/>
        <w:ind w:firstLine="640" w:firstLineChars="200"/>
        <w:rPr>
          <w:rFonts w:ascii="仿宋_GB2312" w:eastAsia="仿宋_GB2312"/>
          <w:b w:val="0"/>
          <w:bCs w:val="0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信访局无行政收费项目。</w:t>
      </w:r>
    </w:p>
    <w:p>
      <w:pPr>
        <w:pStyle w:val="5"/>
        <w:widowControl/>
        <w:rPr>
          <w:b w:val="0"/>
          <w:bCs w:val="0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 xml:space="preserve">    七、因政府信息公开申请行政复议、提起行政诉讼的情况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2018年度未接到有关公民、法人或其他组织就政府信息公开提起的行政复议、行政诉讼案件。</w:t>
      </w:r>
    </w:p>
    <w:p>
      <w:pPr>
        <w:pStyle w:val="5"/>
        <w:widowControl/>
        <w:ind w:left="420" w:leftChars="200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 xml:space="preserve">  八、政府信息公开保密审查及监督检查情况</w:t>
      </w:r>
    </w:p>
    <w:p>
      <w:pPr>
        <w:pStyle w:val="5"/>
        <w:widowControl/>
        <w:ind w:firstLine="640" w:firstLineChars="200"/>
        <w:jc w:val="both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严格执行政府信息公开保密审查制度，坚持“先审查、后公开”原则，凡通过网站发布的政府信息一律通过严格审查、及时登记，由分管领导不定期对信息公开情况进行督导检查，确保了全年无一起泄密事件发生。</w:t>
      </w:r>
    </w:p>
    <w:p>
      <w:pPr>
        <w:pStyle w:val="5"/>
        <w:widowControl/>
        <w:ind w:firstLine="627" w:firstLineChars="196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九、政府信息公开工作存在的主要问题及改进情况</w:t>
      </w:r>
    </w:p>
    <w:p>
      <w:pPr>
        <w:pStyle w:val="5"/>
        <w:widowControl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 w:val="0"/>
          <w:bCs w:val="0"/>
          <w:sz w:val="32"/>
          <w:szCs w:val="32"/>
        </w:rPr>
        <w:t>2018年，信访局政府信息公开工作对照上级的要求和公众的期望，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仍然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存在不足和问题，主要是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公开内容和解读形势有待进一步丰富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。在以后的工作中我局将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进一步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健全信息公开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工作制度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不断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加强信访法规解读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水平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切实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提升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信访部门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政府信息公开水平。</w:t>
      </w:r>
    </w:p>
    <w:bookmarkEnd w:id="0"/>
    <w:p>
      <w:pPr>
        <w:pStyle w:val="5"/>
        <w:widowControl/>
        <w:ind w:firstLine="640" w:firstLineChars="200"/>
        <w:rPr>
          <w:rFonts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十、需要说明的事项与附表</w:t>
      </w:r>
    </w:p>
    <w:p>
      <w:pPr>
        <w:pStyle w:val="5"/>
        <w:widowControl/>
        <w:ind w:firstLine="640" w:firstLineChars="200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附件：2018年政府信息公开工作情况统计表</w:t>
      </w:r>
    </w:p>
    <w:p>
      <w:pPr>
        <w:pStyle w:val="5"/>
        <w:widowControl/>
        <w:rPr>
          <w:rFonts w:ascii="仿宋_GB2312" w:hAnsi="仿宋" w:eastAsia="仿宋_GB2312"/>
          <w:b w:val="0"/>
          <w:bCs w:val="0"/>
          <w:sz w:val="32"/>
          <w:szCs w:val="32"/>
        </w:rPr>
      </w:pPr>
    </w:p>
    <w:p>
      <w:pPr>
        <w:pStyle w:val="5"/>
        <w:widowControl/>
        <w:ind w:firstLine="640" w:firstLineChars="200"/>
        <w:rPr>
          <w:rFonts w:ascii="仿宋" w:hAnsi="仿宋"/>
          <w:b w:val="0"/>
          <w:bCs w:val="0"/>
          <w:sz w:val="32"/>
          <w:szCs w:val="32"/>
        </w:rPr>
      </w:pPr>
      <w:r>
        <w:rPr>
          <w:rFonts w:ascii="仿宋" w:hAnsi="仿宋"/>
          <w:b w:val="0"/>
          <w:bCs w:val="0"/>
          <w:sz w:val="32"/>
          <w:szCs w:val="32"/>
        </w:rPr>
        <w:t xml:space="preserve">                              </w:t>
      </w:r>
    </w:p>
    <w:p>
      <w:pPr>
        <w:pStyle w:val="5"/>
        <w:widowControl/>
        <w:ind w:firstLine="640" w:firstLineChars="200"/>
        <w:rPr>
          <w:rFonts w:ascii="仿宋" w:hAnsi="仿宋"/>
          <w:b w:val="0"/>
          <w:bCs w:val="0"/>
          <w:sz w:val="32"/>
          <w:szCs w:val="32"/>
        </w:rPr>
      </w:pPr>
    </w:p>
    <w:p>
      <w:pPr>
        <w:pStyle w:val="5"/>
        <w:widowControl/>
        <w:ind w:firstLine="640" w:firstLineChars="200"/>
        <w:rPr>
          <w:rFonts w:ascii="仿宋" w:hAnsi="仿宋"/>
          <w:b w:val="0"/>
          <w:bCs w:val="0"/>
          <w:sz w:val="32"/>
          <w:szCs w:val="32"/>
        </w:rPr>
      </w:pPr>
    </w:p>
    <w:p>
      <w:pPr>
        <w:pStyle w:val="5"/>
        <w:widowControl/>
        <w:ind w:firstLine="640" w:firstLineChars="200"/>
        <w:rPr>
          <w:rFonts w:ascii="仿宋" w:hAnsi="仿宋"/>
          <w:b w:val="0"/>
          <w:bCs w:val="0"/>
          <w:sz w:val="32"/>
          <w:szCs w:val="32"/>
        </w:rPr>
      </w:pPr>
    </w:p>
    <w:p>
      <w:pPr>
        <w:pStyle w:val="5"/>
        <w:widowControl/>
        <w:ind w:firstLine="640" w:firstLineChars="200"/>
        <w:rPr>
          <w:rFonts w:ascii="仿宋" w:hAnsi="仿宋"/>
          <w:b w:val="0"/>
          <w:bCs w:val="0"/>
          <w:sz w:val="32"/>
          <w:szCs w:val="32"/>
        </w:rPr>
      </w:pPr>
    </w:p>
    <w:p>
      <w:pPr>
        <w:pStyle w:val="5"/>
        <w:widowControl/>
        <w:rPr>
          <w:rFonts w:ascii="仿宋_GB2312" w:hAnsi="仿宋" w:eastAsia="仿宋_GB2312"/>
          <w:b w:val="0"/>
          <w:bCs w:val="0"/>
          <w:sz w:val="32"/>
          <w:szCs w:val="32"/>
        </w:rPr>
      </w:pPr>
    </w:p>
    <w:p>
      <w:pPr>
        <w:pStyle w:val="5"/>
        <w:widowControl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pStyle w:val="5"/>
        <w:widowControl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2018年度政府信息公开工作情况统计表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0" w:type="auto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  <w:szCs w:val="24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（一）主动公开政府信息数（不同渠道和方式公开相同信息计1条）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right="120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　　　　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八、政府公报发行量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（一）公报发行期数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九、设置政府信息查阅点数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（一）县直部门、单位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十、查阅点接待人数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（一）县直部门、单位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（二）街道、镇办及经济开发区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1.专职人员数（不包括政府网站工作人员数）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（三）政府信息公开专项经费（不包括政府网站建设维护等方面的经费）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（注：各子栏目数要等于总栏目数量）</w:t>
      </w:r>
    </w:p>
    <w:p>
      <w:pPr>
        <w:spacing w:line="360" w:lineRule="auto"/>
        <w:rPr>
          <w:rFonts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b w:val="0"/>
          <w:bCs w:val="0"/>
          <w:sz w:val="32"/>
          <w:szCs w:val="32"/>
        </w:rPr>
      </w:pPr>
    </w:p>
    <w:p>
      <w:pPr>
        <w:rPr>
          <w:b w:val="0"/>
          <w:bCs w:val="0"/>
        </w:rPr>
      </w:pPr>
    </w:p>
    <w:p>
      <w:pPr>
        <w:pStyle w:val="5"/>
        <w:widowControl/>
        <w:rPr>
          <w:rFonts w:ascii="仿宋_GB2312" w:hAnsi="仿宋" w:eastAsia="仿宋_GB2312"/>
          <w:b w:val="0"/>
          <w:bCs w:val="0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9E"/>
    <w:rsid w:val="0002197E"/>
    <w:rsid w:val="00022A22"/>
    <w:rsid w:val="00022CBA"/>
    <w:rsid w:val="000241AB"/>
    <w:rsid w:val="000C4DCC"/>
    <w:rsid w:val="001415B6"/>
    <w:rsid w:val="001B3A5E"/>
    <w:rsid w:val="001D2EB2"/>
    <w:rsid w:val="002618A3"/>
    <w:rsid w:val="00357682"/>
    <w:rsid w:val="003A668A"/>
    <w:rsid w:val="003C3F3F"/>
    <w:rsid w:val="003D478C"/>
    <w:rsid w:val="003F2A2E"/>
    <w:rsid w:val="00420183"/>
    <w:rsid w:val="00454417"/>
    <w:rsid w:val="00477BB9"/>
    <w:rsid w:val="004D5ABE"/>
    <w:rsid w:val="005353FF"/>
    <w:rsid w:val="00593E9E"/>
    <w:rsid w:val="005A154A"/>
    <w:rsid w:val="005A3A8E"/>
    <w:rsid w:val="005C1173"/>
    <w:rsid w:val="005E11BD"/>
    <w:rsid w:val="006966C0"/>
    <w:rsid w:val="006D2007"/>
    <w:rsid w:val="006E4C3B"/>
    <w:rsid w:val="007919CF"/>
    <w:rsid w:val="007B6003"/>
    <w:rsid w:val="007D5E34"/>
    <w:rsid w:val="00854B3B"/>
    <w:rsid w:val="00893FB5"/>
    <w:rsid w:val="008F1BCB"/>
    <w:rsid w:val="00900E64"/>
    <w:rsid w:val="0092557C"/>
    <w:rsid w:val="00926D72"/>
    <w:rsid w:val="00971AD4"/>
    <w:rsid w:val="00A649B9"/>
    <w:rsid w:val="00C11E1D"/>
    <w:rsid w:val="00CA52C3"/>
    <w:rsid w:val="00CE15ED"/>
    <w:rsid w:val="00D90BB3"/>
    <w:rsid w:val="00E73FB8"/>
    <w:rsid w:val="00F4032C"/>
    <w:rsid w:val="00F72CEC"/>
    <w:rsid w:val="00FE109F"/>
    <w:rsid w:val="19E924E0"/>
    <w:rsid w:val="334334B2"/>
    <w:rsid w:val="63FE1E53"/>
    <w:rsid w:val="6F1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批注框文本 Char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1124</Characters>
  <Lines>9</Lines>
  <Paragraphs>2</Paragraphs>
  <TotalTime>7</TotalTime>
  <ScaleCrop>false</ScaleCrop>
  <LinksUpToDate>false</LinksUpToDate>
  <CharactersWithSpaces>1319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2018-12-26T01:59:00Z</dcterms:created>
  <dc:creator>yybxk</dc:creator>
  <cp:lastModifiedBy>Administrator</cp:lastModifiedBy>
  <cp:lastPrinted>2019-01-16T00:55:00Z</cp:lastPrinted>
  <dcterms:modified xsi:type="dcterms:W3CDTF">2020-12-09T06:08:33Z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