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B0A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沂源县信访局202</w:t>
      </w:r>
      <w:r>
        <w:rPr>
          <w:rFonts w:hint="eastAsia" w:ascii="Times New Roman" w:hAnsi="Times New Roman" w:eastAsia="方正小标宋简体" w:cs="Times New Roman"/>
          <w:sz w:val="44"/>
          <w:szCs w:val="44"/>
          <w:lang w:val="en-US" w:eastAsia="zh-CN"/>
        </w:rPr>
        <w:t>4</w:t>
      </w:r>
      <w:r>
        <w:rPr>
          <w:rFonts w:hint="default" w:ascii="Times New Roman" w:hAnsi="Times New Roman" w:eastAsia="方正小标宋简体" w:cs="Times New Roman"/>
          <w:sz w:val="44"/>
          <w:szCs w:val="44"/>
        </w:rPr>
        <w:t>年政府信息公开工作</w:t>
      </w:r>
    </w:p>
    <w:p w14:paraId="15EB43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方正小标宋简体" w:cs="Times New Roman"/>
          <w:sz w:val="44"/>
          <w:szCs w:val="44"/>
        </w:rPr>
        <w:t>年度报告</w:t>
      </w:r>
    </w:p>
    <w:p w14:paraId="6447E9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rPr>
      </w:pPr>
    </w:p>
    <w:p w14:paraId="567E5B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本年度报告中</w:t>
      </w:r>
      <w:r>
        <w:rPr>
          <w:rFonts w:hint="default" w:ascii="Times New Roman" w:hAnsi="Times New Roman" w:eastAsia="仿宋_GB2312" w:cs="Times New Roman"/>
          <w:color w:val="000000" w:themeColor="text1"/>
          <w:sz w:val="32"/>
          <w:szCs w:val="32"/>
          <w14:textFill>
            <w14:solidFill>
              <w14:schemeClr w14:val="tx1"/>
            </w14:solidFill>
          </w14:textFill>
        </w:rPr>
        <w:t>所列数据统计期限自202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年1月1日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起</w:t>
      </w:r>
      <w:r>
        <w:rPr>
          <w:rFonts w:hint="default" w:ascii="Times New Roman" w:hAnsi="Times New Roman" w:eastAsia="仿宋_GB2312" w:cs="Times New Roman"/>
          <w:color w:val="000000" w:themeColor="text1"/>
          <w:sz w:val="32"/>
          <w:szCs w:val="32"/>
          <w14:textFill>
            <w14:solidFill>
              <w14:schemeClr w14:val="tx1"/>
            </w14:solidFill>
          </w14:textFill>
        </w:rPr>
        <w:t>，至202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年12月31日止。如对报告内容有疑问，请与沂源县信访局联系（地址：沂源县城健康路15号；邮编：256100；电话：0533-3241290；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电子</w:t>
      </w:r>
      <w:r>
        <w:rPr>
          <w:rFonts w:hint="default" w:ascii="Times New Roman" w:hAnsi="Times New Roman" w:eastAsia="仿宋_GB2312" w:cs="Times New Roman"/>
          <w:color w:val="000000" w:themeColor="text1"/>
          <w:sz w:val="32"/>
          <w:szCs w:val="32"/>
          <w14:textFill>
            <w14:solidFill>
              <w14:schemeClr w14:val="tx1"/>
            </w14:solidFill>
          </w14:textFill>
        </w:rPr>
        <w:t>邮箱:yyxxfj@zb.shandong.cn）。</w:t>
      </w:r>
    </w:p>
    <w:p w14:paraId="14853D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一、总体情况</w:t>
      </w:r>
    </w:p>
    <w:p w14:paraId="518869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年，沂源县信访局</w:t>
      </w:r>
      <w:r>
        <w:rPr>
          <w:rFonts w:ascii="Times New Roman" w:hAnsi="Times New Roman" w:eastAsia="仿宋_GB2312" w:cs="Times New Roman"/>
          <w:color w:val="000000" w:themeColor="text1"/>
          <w:sz w:val="32"/>
          <w:szCs w:val="32"/>
          <w14:textFill>
            <w14:solidFill>
              <w14:schemeClr w14:val="tx1"/>
            </w14:solidFill>
          </w14:textFill>
        </w:rPr>
        <w:t>全面贯彻落实党的二十大精神</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坚持以习近平总书记关于加强和改进人民信访工作的重要思想为指导，</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深入推进信访工作法治化</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持续做好政府信息公开工作，主动回应群众关切，切实保障广大群众的知情权、参与权。</w:t>
      </w:r>
      <w:bookmarkStart w:id="0" w:name="_GoBack"/>
      <w:bookmarkEnd w:id="0"/>
    </w:p>
    <w:p w14:paraId="06D8034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主动公开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方面</w:t>
      </w:r>
    </w:p>
    <w:p w14:paraId="488BD8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沂源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县信访局累计主动公开政府信息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38</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条，其中，政策法规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条，部门会议及解读</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条，财政信息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条，信息公开指南1条，信息公开年度报告1条，政务公开培训</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条，政务公开工作推进</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条，法制建设专栏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4696096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依申请公开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工作方面</w:t>
      </w:r>
    </w:p>
    <w:p w14:paraId="6371ED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自202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年1月1日起至202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年12月31日止，</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沂源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信访局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未收到</w:t>
      </w:r>
      <w:r>
        <w:rPr>
          <w:rFonts w:hint="default" w:ascii="Times New Roman" w:hAnsi="Times New Roman" w:eastAsia="仿宋_GB2312" w:cs="Times New Roman"/>
          <w:color w:val="000000" w:themeColor="text1"/>
          <w:sz w:val="32"/>
          <w:szCs w:val="32"/>
          <w14:textFill>
            <w14:solidFill>
              <w14:schemeClr w14:val="tx1"/>
            </w14:solidFill>
          </w14:textFill>
        </w:rPr>
        <w:t>政府信息公开申请。</w:t>
      </w:r>
    </w:p>
    <w:p w14:paraId="14243B2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政府信息管理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方面</w:t>
      </w:r>
    </w:p>
    <w:p w14:paraId="6DBC88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严格</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执行</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“分级审核、先审后发”的信息发布程序，</w:t>
      </w:r>
      <w:r>
        <w:rPr>
          <w:rFonts w:ascii="仿宋_GB2312" w:hAnsi="宋体" w:eastAsia="仿宋_GB2312" w:cs="仿宋_GB2312"/>
          <w:i w:val="0"/>
          <w:iCs w:val="0"/>
          <w:caps w:val="0"/>
          <w:color w:val="000000" w:themeColor="text1"/>
          <w:spacing w:val="0"/>
          <w:sz w:val="31"/>
          <w:szCs w:val="31"/>
          <w:shd w:val="clear" w:fill="FFFFFF"/>
          <w14:textFill>
            <w14:solidFill>
              <w14:schemeClr w14:val="tx1"/>
            </w14:solidFill>
          </w14:textFill>
        </w:rPr>
        <w:t>对发布信息的格式、排版、文号等进行明确规范，确保信息发布准确权威</w:t>
      </w:r>
      <w:r>
        <w:rPr>
          <w:rFonts w:hint="eastAsia" w:ascii="仿宋_GB2312" w:hAnsi="宋体" w:eastAsia="仿宋_GB2312" w:cs="仿宋_GB2312"/>
          <w:i w:val="0"/>
          <w:iCs w:val="0"/>
          <w:caps w:val="0"/>
          <w:color w:val="000000" w:themeColor="text1"/>
          <w:spacing w:val="0"/>
          <w:sz w:val="31"/>
          <w:szCs w:val="31"/>
          <w:shd w:val="clear" w:fill="FFFFFF"/>
          <w:lang w:eastAsia="zh-CN"/>
          <w14:textFill>
            <w14:solidFill>
              <w14:schemeClr w14:val="tx1"/>
            </w14:solidFill>
          </w14:textFill>
        </w:rPr>
        <w:t>；</w:t>
      </w:r>
      <w:r>
        <w:rPr>
          <w:rFonts w:hint="eastAsia" w:ascii="仿宋_GB2312" w:hAnsi="宋体"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做好信息发布和日常维护工作，</w:t>
      </w:r>
      <w:r>
        <w:rPr>
          <w:rFonts w:ascii="仿宋_GB2312" w:hAnsi="宋体" w:eastAsia="仿宋_GB2312" w:cs="仿宋_GB2312"/>
          <w:i w:val="0"/>
          <w:iCs w:val="0"/>
          <w:caps w:val="0"/>
          <w:color w:val="000000" w:themeColor="text1"/>
          <w:spacing w:val="0"/>
          <w:sz w:val="31"/>
          <w:szCs w:val="31"/>
          <w:shd w:val="clear" w:fill="FFFFFF"/>
          <w14:textFill>
            <w14:solidFill>
              <w14:schemeClr w14:val="tx1"/>
            </w14:solidFill>
          </w14:textFill>
        </w:rPr>
        <w:t>确保政府信息公开的时效性、准确性和有效性。</w:t>
      </w:r>
    </w:p>
    <w:p w14:paraId="496B067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平台建设方面</w:t>
      </w:r>
    </w:p>
    <w:p w14:paraId="36983B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建立信息公开专栏，确定信息公开范围，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规范信息公开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内容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围绕我单位主责主业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，及时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回应社会关切，真实</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准确公开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相关信息；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加强与政务媒体联动，通过新媒体全面加强法规政策宣传解读和工作信息发布，积极营造良好的舆论环境。</w:t>
      </w:r>
    </w:p>
    <w:p w14:paraId="171FC6D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监督保障</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方面</w:t>
      </w:r>
    </w:p>
    <w:p w14:paraId="0909F0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一是加强组织领导，</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推进政务公开工作与业务工作融合，加强各科室、中心之间的协调沟通，确保做到应公开尽公开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。二是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加强业务培训</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每季度</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召开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工作总结会和业务技能培训会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工作完成情况进行总结复盘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强化工作措施，并针对重点工作进行专题培训</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。三是强化监督考核，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完善监督考核机制，分阶段对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各科室</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、中心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政务公开工作</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情况</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进行评价，并纳入年度考核成绩</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，确保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政务工作有序开展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14:paraId="4DF3588B">
      <w:pPr>
        <w:bidi w:val="0"/>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14:paraId="5B3A6299">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BE48A4E">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3D148DC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19BBD55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14:paraId="180A65F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7E51DCE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74B4E26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24F7F3B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04B35915">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规章</w:t>
            </w:r>
          </w:p>
        </w:tc>
        <w:tc>
          <w:tcPr>
            <w:tcW w:w="2206" w:type="dxa"/>
            <w:tcBorders>
              <w:top w:val="nil"/>
              <w:left w:val="nil"/>
              <w:bottom w:val="single" w:color="auto" w:sz="8" w:space="0"/>
              <w:right w:val="single" w:color="auto" w:sz="8" w:space="0"/>
            </w:tcBorders>
            <w:noWrap w:val="0"/>
            <w:vAlign w:val="center"/>
          </w:tcPr>
          <w:p w14:paraId="50162398">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45DCEF31">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54367BA6">
            <w:pPr>
              <w:widowControl/>
              <w:jc w:val="center"/>
              <w:rPr>
                <w:rFonts w:ascii="仿宋_GB2312" w:hAnsi="Calibri" w:eastAsia="仿宋_GB2312" w:cs="Calibri"/>
                <w:color w:val="auto"/>
                <w:kern w:val="0"/>
                <w:szCs w:val="21"/>
              </w:rPr>
            </w:pPr>
            <w:r>
              <w:rPr>
                <w:rFonts w:hint="eastAsia" w:ascii="仿宋_GB2312" w:hAnsi="宋体" w:eastAsia="仿宋_GB2312" w:cs="宋体"/>
                <w:color w:val="auto"/>
                <w:kern w:val="0"/>
                <w:szCs w:val="21"/>
                <w:lang w:val="en-US" w:eastAsia="zh-CN"/>
              </w:rPr>
              <w:t>0</w:t>
            </w:r>
          </w:p>
        </w:tc>
      </w:tr>
      <w:tr w14:paraId="23C1EF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5E74C61">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6395ADD6">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08E76283">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220FFD45">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r>
      <w:tr w14:paraId="6BE56749">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31A4BFB">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14:paraId="1F7828A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18F5B5D3">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285034E5">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14:paraId="37C70C8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20ABC6EE">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14:paraId="69DACE9B">
            <w:pPr>
              <w:widowControl/>
              <w:jc w:val="center"/>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14:paraId="797377C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8040A87">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14:paraId="46AACA6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B4C5928">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6FFEE702">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14:paraId="26EF05C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0A20E503">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6D02C641">
            <w:pPr>
              <w:widowControl/>
              <w:jc w:val="center"/>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r w14:paraId="76B99AF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1E35D42F">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1CB70501">
            <w:pPr>
              <w:widowControl/>
              <w:jc w:val="center"/>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r w14:paraId="60C1F0D8">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C9B308A">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14:paraId="7728142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5E73D6C2">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41BD5AA9">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14:paraId="52C589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50B608AD">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28941C78">
            <w:pPr>
              <w:widowControl/>
              <w:jc w:val="center"/>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bl>
    <w:p w14:paraId="7E2C4174">
      <w:pPr>
        <w:bidi w:val="0"/>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tbl>
      <w:tblPr>
        <w:tblStyle w:val="6"/>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36"/>
        <w:gridCol w:w="1764"/>
        <w:gridCol w:w="3047"/>
        <w:gridCol w:w="517"/>
        <w:gridCol w:w="3"/>
        <w:gridCol w:w="371"/>
        <w:gridCol w:w="3"/>
        <w:gridCol w:w="371"/>
        <w:gridCol w:w="494"/>
        <w:gridCol w:w="464"/>
        <w:gridCol w:w="365"/>
        <w:gridCol w:w="487"/>
      </w:tblGrid>
      <w:tr w14:paraId="5095C7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3" w:hRule="atLeast"/>
          <w:jc w:val="center"/>
        </w:trPr>
        <w:tc>
          <w:tcPr>
            <w:tcW w:w="5419" w:type="dxa"/>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E5ACF5">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5154051B">
            <w:pPr>
              <w:widowControl/>
              <w:jc w:val="center"/>
              <w:rPr>
                <w:rFonts w:hint="default" w:ascii="Times New Roman" w:hAnsi="Times New Roman" w:eastAsia="仿宋_GB2312" w:cs="Times New Roman"/>
                <w:sz w:val="21"/>
                <w:szCs w:val="21"/>
              </w:rPr>
            </w:pPr>
            <w:r>
              <w:rPr>
                <w:rFonts w:hint="eastAsia" w:ascii="楷体_GB2312" w:hAnsi="黑体" w:eastAsia="楷体_GB2312"/>
                <w:kern w:val="0"/>
                <w:szCs w:val="21"/>
              </w:rPr>
              <w:t>等于第三项加第四项之和）</w:t>
            </w:r>
          </w:p>
        </w:tc>
        <w:tc>
          <w:tcPr>
            <w:tcW w:w="3103" w:type="dxa"/>
            <w:gridSpan w:val="9"/>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2D4214">
            <w:pPr>
              <w:widowControl/>
              <w:spacing w:line="320" w:lineRule="exact"/>
              <w:jc w:val="center"/>
              <w:rPr>
                <w:rFonts w:hint="default" w:ascii="Times New Roman" w:hAnsi="Times New Roman" w:eastAsia="仿宋_GB2312" w:cs="Times New Roman"/>
                <w:sz w:val="21"/>
                <w:szCs w:val="21"/>
              </w:rPr>
            </w:pPr>
            <w:r>
              <w:rPr>
                <w:rFonts w:hint="eastAsia" w:ascii="黑体" w:hAnsi="黑体" w:eastAsia="黑体"/>
                <w:kern w:val="0"/>
                <w:szCs w:val="21"/>
              </w:rPr>
              <w:t>申请人情况</w:t>
            </w:r>
          </w:p>
        </w:tc>
      </w:tr>
      <w:tr w14:paraId="2825BD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8" w:hRule="atLeast"/>
          <w:jc w:val="center"/>
        </w:trPr>
        <w:tc>
          <w:tcPr>
            <w:tcW w:w="541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8DD930">
            <w:pPr>
              <w:jc w:val="center"/>
              <w:rPr>
                <w:rFonts w:hint="default" w:ascii="Times New Roman" w:hAnsi="Times New Roman" w:eastAsia="仿宋_GB2312" w:cs="Times New Roman"/>
                <w:sz w:val="21"/>
                <w:szCs w:val="21"/>
              </w:rPr>
            </w:pPr>
          </w:p>
        </w:tc>
        <w:tc>
          <w:tcPr>
            <w:tcW w:w="52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ED4CC4">
            <w:pPr>
              <w:widowControl/>
              <w:jc w:val="center"/>
              <w:rPr>
                <w:rFonts w:hint="default" w:ascii="Times New Roman" w:hAnsi="Times New Roman" w:eastAsia="仿宋_GB2312" w:cs="Times New Roman"/>
                <w:sz w:val="21"/>
                <w:szCs w:val="21"/>
              </w:rPr>
            </w:pPr>
            <w:r>
              <w:rPr>
                <w:rFonts w:hint="eastAsia" w:ascii="黑体" w:hAnsi="黑体" w:eastAsia="黑体"/>
                <w:kern w:val="0"/>
                <w:szCs w:val="21"/>
              </w:rPr>
              <w:t>自然人</w:t>
            </w:r>
          </w:p>
        </w:tc>
        <w:tc>
          <w:tcPr>
            <w:tcW w:w="2092" w:type="dxa"/>
            <w:gridSpan w:val="7"/>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ADEB42">
            <w:pPr>
              <w:widowControl/>
              <w:spacing w:line="320" w:lineRule="exact"/>
              <w:jc w:val="center"/>
              <w:rPr>
                <w:rFonts w:hint="default" w:ascii="Times New Roman" w:hAnsi="Times New Roman" w:eastAsia="仿宋_GB2312" w:cs="Times New Roman"/>
                <w:sz w:val="21"/>
                <w:szCs w:val="21"/>
              </w:rPr>
            </w:pPr>
            <w:r>
              <w:rPr>
                <w:rFonts w:hint="eastAsia" w:ascii="黑体" w:hAnsi="黑体" w:eastAsia="黑体"/>
                <w:kern w:val="0"/>
                <w:szCs w:val="21"/>
              </w:rPr>
              <w:t>法人或其他组织</w:t>
            </w:r>
          </w:p>
        </w:tc>
        <w:tc>
          <w:tcPr>
            <w:tcW w:w="49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B884ED">
            <w:pPr>
              <w:widowControl/>
              <w:jc w:val="center"/>
              <w:rPr>
                <w:rFonts w:hint="default" w:ascii="Times New Roman" w:hAnsi="Times New Roman" w:eastAsia="仿宋_GB2312" w:cs="Times New Roman"/>
                <w:sz w:val="21"/>
                <w:szCs w:val="21"/>
              </w:rPr>
            </w:pPr>
            <w:r>
              <w:rPr>
                <w:rFonts w:hint="eastAsia" w:ascii="黑体" w:hAnsi="黑体" w:eastAsia="黑体"/>
                <w:kern w:val="0"/>
                <w:szCs w:val="21"/>
              </w:rPr>
              <w:t>总计</w:t>
            </w:r>
          </w:p>
        </w:tc>
      </w:tr>
      <w:tr w14:paraId="429D67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74" w:hRule="atLeast"/>
          <w:jc w:val="center"/>
        </w:trPr>
        <w:tc>
          <w:tcPr>
            <w:tcW w:w="541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4F53A2">
            <w:pPr>
              <w:jc w:val="center"/>
              <w:rPr>
                <w:rFonts w:hint="default" w:ascii="Times New Roman" w:hAnsi="Times New Roman" w:eastAsia="仿宋_GB2312" w:cs="Times New Roman"/>
                <w:sz w:val="21"/>
                <w:szCs w:val="21"/>
              </w:rPr>
            </w:pPr>
          </w:p>
        </w:tc>
        <w:tc>
          <w:tcPr>
            <w:tcW w:w="52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51F9A8">
            <w:pPr>
              <w:jc w:val="center"/>
              <w:rPr>
                <w:rFonts w:hint="default" w:ascii="Times New Roman" w:hAnsi="Times New Roman" w:eastAsia="仿宋_GB2312" w:cs="Times New Roman"/>
                <w:sz w:val="21"/>
                <w:szCs w:val="21"/>
              </w:rPr>
            </w:pP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666640">
            <w:pPr>
              <w:widowControl/>
              <w:spacing w:line="320" w:lineRule="exact"/>
              <w:ind w:left="-106" w:leftChars="-51" w:right="-107" w:rightChars="-51" w:hanging="1" w:firstLineChars="0"/>
              <w:jc w:val="center"/>
              <w:rPr>
                <w:rFonts w:hint="default" w:ascii="Times New Roman" w:hAnsi="Times New Roman" w:eastAsia="仿宋_GB2312" w:cs="Times New Roman"/>
                <w:sz w:val="21"/>
                <w:szCs w:val="21"/>
              </w:rPr>
            </w:pPr>
            <w:r>
              <w:rPr>
                <w:rFonts w:hint="eastAsia" w:ascii="黑体" w:hAnsi="黑体" w:eastAsia="黑体"/>
                <w:kern w:val="0"/>
                <w:szCs w:val="21"/>
              </w:rPr>
              <w:t>商业企业</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B48554">
            <w:pPr>
              <w:widowControl/>
              <w:spacing w:line="320" w:lineRule="exact"/>
              <w:ind w:left="-107" w:leftChars="-51" w:right="-107" w:rightChars="-51"/>
              <w:jc w:val="center"/>
              <w:rPr>
                <w:rFonts w:hint="default" w:ascii="Times New Roman" w:hAnsi="Times New Roman" w:eastAsia="仿宋_GB2312" w:cs="Times New Roman"/>
                <w:sz w:val="21"/>
                <w:szCs w:val="21"/>
              </w:rPr>
            </w:pPr>
            <w:r>
              <w:rPr>
                <w:rFonts w:hint="eastAsia" w:ascii="黑体" w:hAnsi="黑体" w:eastAsia="黑体"/>
                <w:kern w:val="0"/>
                <w:szCs w:val="21"/>
              </w:rPr>
              <w:t>科研机构</w:t>
            </w:r>
          </w:p>
        </w:tc>
        <w:tc>
          <w:tcPr>
            <w:tcW w:w="50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8C3B56">
            <w:pPr>
              <w:widowControl/>
              <w:spacing w:line="320" w:lineRule="exact"/>
              <w:ind w:left="-107" w:leftChars="-51" w:right="-107" w:rightChars="-51"/>
              <w:jc w:val="center"/>
              <w:rPr>
                <w:rFonts w:hint="default" w:ascii="Times New Roman" w:hAnsi="Times New Roman" w:eastAsia="仿宋_GB2312" w:cs="Times New Roman"/>
                <w:sz w:val="21"/>
                <w:szCs w:val="21"/>
              </w:rPr>
            </w:pPr>
            <w:r>
              <w:rPr>
                <w:rFonts w:hint="eastAsia" w:ascii="黑体" w:hAnsi="黑体" w:eastAsia="黑体"/>
                <w:kern w:val="0"/>
                <w:szCs w:val="21"/>
              </w:rPr>
              <w:t>社会公益组织</w:t>
            </w:r>
          </w:p>
        </w:tc>
        <w:tc>
          <w:tcPr>
            <w:tcW w:w="47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11D9D5">
            <w:pPr>
              <w:widowControl/>
              <w:spacing w:line="320" w:lineRule="exact"/>
              <w:ind w:left="-106" w:leftChars="-51" w:right="-107" w:rightChars="-51" w:hanging="1" w:firstLineChars="0"/>
              <w:jc w:val="center"/>
              <w:rPr>
                <w:rFonts w:hint="default" w:ascii="Times New Roman" w:hAnsi="Times New Roman" w:eastAsia="仿宋_GB2312" w:cs="Times New Roman"/>
                <w:sz w:val="21"/>
                <w:szCs w:val="21"/>
              </w:rPr>
            </w:pPr>
            <w:r>
              <w:rPr>
                <w:rFonts w:hint="eastAsia" w:ascii="黑体" w:hAnsi="黑体" w:eastAsia="黑体"/>
                <w:kern w:val="0"/>
                <w:szCs w:val="21"/>
              </w:rPr>
              <w:t>法律服务机构</w:t>
            </w:r>
          </w:p>
        </w:tc>
        <w:tc>
          <w:tcPr>
            <w:tcW w:w="3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3E32E3">
            <w:pPr>
              <w:widowControl/>
              <w:spacing w:line="360" w:lineRule="exact"/>
              <w:ind w:left="-63" w:leftChars="-30" w:right="-134" w:rightChars="-64"/>
              <w:jc w:val="center"/>
              <w:rPr>
                <w:rFonts w:hint="default" w:ascii="Times New Roman" w:hAnsi="Times New Roman" w:eastAsia="仿宋_GB2312" w:cs="Times New Roman"/>
                <w:sz w:val="21"/>
                <w:szCs w:val="21"/>
              </w:rPr>
            </w:pPr>
            <w:r>
              <w:rPr>
                <w:rFonts w:hint="eastAsia" w:ascii="黑体" w:hAnsi="黑体" w:eastAsia="黑体"/>
                <w:kern w:val="0"/>
                <w:szCs w:val="21"/>
              </w:rPr>
              <w:t>其他</w:t>
            </w:r>
          </w:p>
        </w:tc>
        <w:tc>
          <w:tcPr>
            <w:tcW w:w="49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50ECB7">
            <w:pPr>
              <w:jc w:val="center"/>
              <w:rPr>
                <w:rFonts w:hint="default" w:ascii="Times New Roman" w:hAnsi="Times New Roman" w:eastAsia="仿宋_GB2312" w:cs="Times New Roman"/>
                <w:sz w:val="21"/>
                <w:szCs w:val="21"/>
              </w:rPr>
            </w:pPr>
          </w:p>
        </w:tc>
      </w:tr>
      <w:tr w14:paraId="6289C5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4"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058ABB">
            <w:pPr>
              <w:widowControl/>
              <w:rPr>
                <w:rFonts w:hint="default" w:ascii="Times New Roman" w:hAnsi="Times New Roman" w:eastAsia="仿宋_GB2312" w:cs="Times New Roman"/>
                <w:color w:val="auto"/>
                <w:sz w:val="21"/>
                <w:szCs w:val="21"/>
              </w:rPr>
            </w:pPr>
            <w:r>
              <w:rPr>
                <w:rFonts w:hint="eastAsia" w:ascii="黑体" w:hAnsi="黑体" w:eastAsia="黑体"/>
                <w:color w:val="auto"/>
                <w:kern w:val="0"/>
                <w:szCs w:val="21"/>
              </w:rPr>
              <w:t>一、本年新收政府信息公开申请数量</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260E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EDCB4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B14CF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5854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3A3C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52DC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3295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eastAsia="zh-CN"/>
              </w:rPr>
            </w:pPr>
            <w:r>
              <w:rPr>
                <w:rFonts w:hint="eastAsia" w:ascii="仿宋_GB2312" w:hAnsi="Times New Roman" w:eastAsia="仿宋_GB2312"/>
                <w:color w:val="auto"/>
                <w:szCs w:val="21"/>
                <w:lang w:val="en-US" w:eastAsia="zh-CN"/>
              </w:rPr>
              <w:t>0</w:t>
            </w:r>
          </w:p>
        </w:tc>
      </w:tr>
      <w:tr w14:paraId="59D417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2"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BD401B">
            <w:pPr>
              <w:widowControl/>
              <w:rPr>
                <w:rFonts w:hint="default" w:ascii="Times New Roman" w:hAnsi="Times New Roman" w:eastAsia="仿宋_GB2312" w:cs="Times New Roman"/>
                <w:color w:val="auto"/>
                <w:sz w:val="21"/>
                <w:szCs w:val="21"/>
              </w:rPr>
            </w:pPr>
            <w:r>
              <w:rPr>
                <w:rFonts w:hint="eastAsia" w:ascii="黑体" w:hAnsi="黑体" w:eastAsia="黑体"/>
                <w:color w:val="auto"/>
                <w:kern w:val="0"/>
                <w:szCs w:val="21"/>
              </w:rPr>
              <w:t>二、上年结转政府信息公开申请数量</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7CDD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EBC58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C104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C758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57183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14E54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84D56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255F25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2" w:hRule="atLeast"/>
          <w:jc w:val="center"/>
        </w:trPr>
        <w:tc>
          <w:tcPr>
            <w:tcW w:w="44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F35BD7">
            <w:pPr>
              <w:widowControl/>
              <w:spacing w:after="180"/>
              <w:rPr>
                <w:rFonts w:hint="default" w:ascii="Times New Roman" w:hAnsi="Times New Roman" w:eastAsia="仿宋_GB2312" w:cs="Times New Roman"/>
                <w:color w:val="auto"/>
                <w:sz w:val="21"/>
                <w:szCs w:val="21"/>
              </w:rPr>
            </w:pPr>
            <w:r>
              <w:rPr>
                <w:rFonts w:hint="eastAsia" w:ascii="黑体" w:hAnsi="黑体" w:eastAsia="黑体"/>
                <w:color w:val="auto"/>
                <w:kern w:val="0"/>
                <w:szCs w:val="21"/>
              </w:rPr>
              <w:t>三、本年度办理结果</w:t>
            </w:r>
          </w:p>
        </w:tc>
        <w:tc>
          <w:tcPr>
            <w:tcW w:w="4977"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5E9D13">
            <w:pPr>
              <w:widowControl/>
              <w:rPr>
                <w:rFonts w:hint="default" w:ascii="Times New Roman" w:hAnsi="Times New Roman" w:eastAsia="仿宋_GB2312" w:cs="Times New Roman"/>
                <w:color w:val="auto"/>
                <w:sz w:val="21"/>
                <w:szCs w:val="21"/>
              </w:rPr>
            </w:pPr>
            <w:r>
              <w:rPr>
                <w:rFonts w:hint="eastAsia" w:ascii="黑体" w:hAnsi="黑体" w:eastAsia="黑体"/>
                <w:color w:val="auto"/>
                <w:kern w:val="0"/>
                <w:szCs w:val="21"/>
              </w:rPr>
              <w:t>（一）予以公开</w:t>
            </w:r>
          </w:p>
        </w:tc>
        <w:tc>
          <w:tcPr>
            <w:tcW w:w="524"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05ABA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eastAsia="zh-CN"/>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4748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E705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4B46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C84A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75F1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F73A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eastAsia="zh-CN"/>
              </w:rPr>
            </w:pPr>
            <w:r>
              <w:rPr>
                <w:rFonts w:hint="eastAsia" w:ascii="仿宋_GB2312" w:hAnsi="Times New Roman" w:eastAsia="仿宋_GB2312"/>
                <w:color w:val="auto"/>
                <w:szCs w:val="21"/>
                <w:lang w:val="en-US" w:eastAsia="zh-CN"/>
              </w:rPr>
              <w:t>0</w:t>
            </w:r>
          </w:p>
        </w:tc>
      </w:tr>
      <w:tr w14:paraId="748FF4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54"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B786FD">
            <w:pPr>
              <w:rPr>
                <w:rFonts w:hint="default" w:ascii="Times New Roman" w:hAnsi="Times New Roman" w:eastAsia="仿宋_GB2312" w:cs="Times New Roman"/>
                <w:color w:val="auto"/>
                <w:sz w:val="21"/>
                <w:szCs w:val="21"/>
              </w:rPr>
            </w:pPr>
          </w:p>
        </w:tc>
        <w:tc>
          <w:tcPr>
            <w:tcW w:w="4977"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31F43C">
            <w:pPr>
              <w:widowControl/>
              <w:rPr>
                <w:rFonts w:hint="default" w:ascii="Times New Roman" w:hAnsi="Times New Roman" w:eastAsia="仿宋_GB2312" w:cs="Times New Roman"/>
                <w:color w:val="auto"/>
                <w:sz w:val="21"/>
                <w:szCs w:val="21"/>
              </w:rPr>
            </w:pPr>
            <w:r>
              <w:rPr>
                <w:rFonts w:hint="eastAsia" w:ascii="黑体" w:hAnsi="黑体" w:eastAsia="黑体"/>
                <w:color w:val="auto"/>
                <w:kern w:val="0"/>
                <w:szCs w:val="21"/>
              </w:rPr>
              <w:t>（二）部分公开（区分处理的，只计这一情形，不计其他情形）</w:t>
            </w:r>
          </w:p>
        </w:tc>
        <w:tc>
          <w:tcPr>
            <w:tcW w:w="524"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78C6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CF4F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6F3B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9499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E87A6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890F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3534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08E79A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6"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9F0F96">
            <w:pPr>
              <w:rPr>
                <w:rFonts w:hint="default" w:ascii="Times New Roman" w:hAnsi="Times New Roman" w:eastAsia="仿宋_GB2312" w:cs="Times New Roman"/>
                <w:color w:val="auto"/>
                <w:sz w:val="21"/>
                <w:szCs w:val="21"/>
              </w:rPr>
            </w:pPr>
          </w:p>
        </w:tc>
        <w:tc>
          <w:tcPr>
            <w:tcW w:w="181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5BC3A2">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仿宋_GB2312" w:cs="Times New Roman"/>
                <w:color w:val="auto"/>
                <w:sz w:val="21"/>
                <w:szCs w:val="21"/>
              </w:rPr>
            </w:pPr>
            <w:r>
              <w:rPr>
                <w:rFonts w:hint="eastAsia" w:ascii="黑体" w:hAnsi="黑体" w:eastAsia="黑体"/>
                <w:color w:val="auto"/>
                <w:kern w:val="0"/>
                <w:szCs w:val="21"/>
              </w:rPr>
              <w:t>（三）不予公开</w:t>
            </w: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EF13F2">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3598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eastAsia="zh-CN"/>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99745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6B52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B51B7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3374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CCDE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D07D1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s="Times New Roman"/>
                <w:color w:val="auto"/>
                <w:sz w:val="21"/>
                <w:szCs w:val="21"/>
                <w:lang w:eastAsia="zh-CN"/>
              </w:rPr>
            </w:pPr>
            <w:r>
              <w:rPr>
                <w:rFonts w:hint="eastAsia" w:ascii="仿宋_GB2312" w:hAnsi="Times New Roman" w:eastAsia="仿宋_GB2312"/>
                <w:color w:val="auto"/>
                <w:szCs w:val="21"/>
                <w:lang w:val="en-US" w:eastAsia="zh-CN"/>
              </w:rPr>
              <w:t>0</w:t>
            </w:r>
          </w:p>
        </w:tc>
      </w:tr>
      <w:tr w14:paraId="5EA455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E41AD5">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62AB96">
            <w:pPr>
              <w:spacing w:line="240" w:lineRule="auto"/>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28129D">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2.其他法律行政法规禁止公开</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ABEEC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48077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638A5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CC079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C11E9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BA87C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7D77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64EC2E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3"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C6071C">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D38A8B">
            <w:pPr>
              <w:spacing w:line="240" w:lineRule="auto"/>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82B18F">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3.危及“三安全一稳定”</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08CE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0943F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FA8B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5531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7F19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CF99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23E0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26B48D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0"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EF8D4F">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AAD1E4">
            <w:pPr>
              <w:spacing w:line="240" w:lineRule="auto"/>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AA214A">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4.保护第三方合法权益</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0A94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596F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1F0E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A1B2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7AFF8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22F1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B1C3C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2A87F9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0"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8FBA83">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8816BF">
            <w:pPr>
              <w:spacing w:line="240" w:lineRule="auto"/>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53D293">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5.属于三类内部事务信息</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9BF6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3D74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2BC4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B15D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8EC41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B7D79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B5B8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0EFCB1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2"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04209E">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029A0C">
            <w:pPr>
              <w:spacing w:line="240" w:lineRule="auto"/>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AF6B58">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6.属于四类过程性信息</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BB9B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8E963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E82C6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2C93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DC5CB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D5A0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963E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14B19D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9"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37FF7C">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A87BD2">
            <w:pPr>
              <w:spacing w:line="240" w:lineRule="auto"/>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B520CB">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7.属于行政执法案卷</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651C1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041A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F8E9B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D187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1448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ACE7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C1ED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7AA65A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5"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9F7718">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16E040">
            <w:pPr>
              <w:spacing w:line="240" w:lineRule="auto"/>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F9AF18">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8.属于行政查询事项</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776C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71DD2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D0FE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AD546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5E75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8199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3552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665511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5"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6AEB1F">
            <w:pPr>
              <w:rPr>
                <w:rFonts w:hint="default" w:ascii="Times New Roman" w:hAnsi="Times New Roman" w:eastAsia="仿宋_GB2312" w:cs="Times New Roman"/>
                <w:color w:val="auto"/>
                <w:sz w:val="21"/>
                <w:szCs w:val="21"/>
              </w:rPr>
            </w:pPr>
          </w:p>
        </w:tc>
        <w:tc>
          <w:tcPr>
            <w:tcW w:w="181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9AFF86">
            <w:pPr>
              <w:widowControl/>
              <w:spacing w:line="240" w:lineRule="auto"/>
              <w:ind w:left="-107" w:leftChars="-51"/>
              <w:rPr>
                <w:rFonts w:hint="default" w:ascii="Times New Roman" w:hAnsi="Times New Roman" w:eastAsia="仿宋_GB2312" w:cs="Times New Roman"/>
                <w:color w:val="auto"/>
                <w:sz w:val="21"/>
                <w:szCs w:val="21"/>
              </w:rPr>
            </w:pPr>
            <w:r>
              <w:rPr>
                <w:rFonts w:hint="eastAsia" w:ascii="黑体" w:hAnsi="黑体" w:eastAsia="黑体"/>
                <w:color w:val="auto"/>
                <w:kern w:val="0"/>
                <w:szCs w:val="21"/>
              </w:rPr>
              <w:t>（四）无法提供</w:t>
            </w: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255444">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1.本机关不掌握相关政府信息</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1ABD3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eastAsia="zh-CN"/>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1E61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C71A8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3AAD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4DD0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CF77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3585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eastAsia="zh-CN"/>
              </w:rPr>
            </w:pPr>
            <w:r>
              <w:rPr>
                <w:rFonts w:hint="eastAsia" w:ascii="仿宋_GB2312" w:hAnsi="Times New Roman" w:eastAsia="仿宋_GB2312"/>
                <w:color w:val="auto"/>
                <w:szCs w:val="21"/>
                <w:lang w:val="en-US" w:eastAsia="zh-CN"/>
              </w:rPr>
              <w:t>0</w:t>
            </w:r>
          </w:p>
        </w:tc>
      </w:tr>
      <w:tr w14:paraId="74CA53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2"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A386B5">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85D211">
            <w:pPr>
              <w:spacing w:line="200" w:lineRule="exact"/>
              <w:ind w:left="-107" w:leftChars="-51"/>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EB56F5">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2.没有现成信息需要另行制作</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8233F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622E3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98D9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9A41F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D5AFB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B67C3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4F3CC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18A27F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2"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97D15F">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B9582E">
            <w:pPr>
              <w:spacing w:line="200" w:lineRule="exact"/>
              <w:ind w:left="-107" w:leftChars="-51"/>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940B2F">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3.补正后申请内容仍不明确</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80F3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D5EB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4D3D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01E7E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37A3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2076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543B7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2B95AC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5"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C82A35">
            <w:pPr>
              <w:rPr>
                <w:rFonts w:hint="default" w:ascii="Times New Roman" w:hAnsi="Times New Roman" w:eastAsia="仿宋_GB2312" w:cs="Times New Roman"/>
                <w:color w:val="auto"/>
                <w:sz w:val="21"/>
                <w:szCs w:val="21"/>
              </w:rPr>
            </w:pPr>
          </w:p>
        </w:tc>
        <w:tc>
          <w:tcPr>
            <w:tcW w:w="181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7534C6">
            <w:pPr>
              <w:widowControl/>
              <w:spacing w:line="240" w:lineRule="auto"/>
              <w:ind w:left="-107" w:leftChars="-51"/>
              <w:rPr>
                <w:rFonts w:hint="default" w:ascii="Times New Roman" w:hAnsi="Times New Roman" w:eastAsia="仿宋_GB2312" w:cs="Times New Roman"/>
                <w:color w:val="auto"/>
                <w:sz w:val="21"/>
                <w:szCs w:val="21"/>
              </w:rPr>
            </w:pPr>
            <w:r>
              <w:rPr>
                <w:rFonts w:hint="eastAsia" w:ascii="黑体" w:hAnsi="黑体" w:eastAsia="黑体"/>
                <w:color w:val="auto"/>
                <w:kern w:val="0"/>
                <w:szCs w:val="21"/>
              </w:rPr>
              <w:t>（五）不予处理</w:t>
            </w: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CB1260">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1.信访举报投诉类申请</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0807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eastAsia="zh-CN"/>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BEEB7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3882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6D628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B0495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9AF9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5A8F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eastAsia="zh-CN"/>
              </w:rPr>
            </w:pPr>
            <w:r>
              <w:rPr>
                <w:rFonts w:hint="eastAsia" w:ascii="仿宋_GB2312" w:hAnsi="Times New Roman" w:eastAsia="仿宋_GB2312"/>
                <w:color w:val="auto"/>
                <w:szCs w:val="21"/>
                <w:lang w:val="en-US" w:eastAsia="zh-CN"/>
              </w:rPr>
              <w:t>0</w:t>
            </w:r>
          </w:p>
        </w:tc>
      </w:tr>
      <w:tr w14:paraId="4E0CD4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32"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A6E893">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86CF5F">
            <w:pPr>
              <w:spacing w:line="240" w:lineRule="auto"/>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0769CF">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2.重复申请</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54A2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D0891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13448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858A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0B62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A007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CEC74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2F2A92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5"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8ABE14">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8B6C4C">
            <w:pPr>
              <w:spacing w:line="240" w:lineRule="auto"/>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7D53BC">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3.要求提供公开出版物</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2DFC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4859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615E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CB0E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0A7CD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90A2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BFDA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4ACEE2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0"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684EE5">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51C669">
            <w:pPr>
              <w:spacing w:line="240" w:lineRule="auto"/>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33D8D9">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4.无正当理由大量反复申请</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12A9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292D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6CE5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C4E3D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D9A98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53BB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93BA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7410A8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54"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EC1081">
            <w:pPr>
              <w:rPr>
                <w:rFonts w:hint="default" w:ascii="Times New Roman" w:hAnsi="Times New Roman" w:eastAsia="仿宋_GB2312" w:cs="Times New Roman"/>
                <w:color w:val="auto"/>
                <w:sz w:val="21"/>
                <w:szCs w:val="21"/>
              </w:rPr>
            </w:pPr>
          </w:p>
        </w:tc>
        <w:tc>
          <w:tcPr>
            <w:tcW w:w="181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0B620D">
            <w:pPr>
              <w:spacing w:line="240" w:lineRule="auto"/>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7C7A49">
            <w:pPr>
              <w:widowControl/>
              <w:spacing w:line="240" w:lineRule="auto"/>
              <w:rPr>
                <w:rFonts w:hint="eastAsia" w:ascii="仿宋_GB2312" w:hAnsi="黑体" w:eastAsia="仿宋_GB2312"/>
                <w:color w:val="auto"/>
                <w:kern w:val="0"/>
                <w:szCs w:val="21"/>
              </w:rPr>
            </w:pPr>
            <w:r>
              <w:rPr>
                <w:rFonts w:hint="eastAsia" w:ascii="仿宋_GB2312" w:hAnsi="黑体" w:eastAsia="仿宋_GB2312"/>
                <w:color w:val="auto"/>
                <w:kern w:val="0"/>
                <w:szCs w:val="21"/>
              </w:rPr>
              <w:t>5.要求行政机关确认或重新</w:t>
            </w:r>
          </w:p>
          <w:p w14:paraId="35CB76AD">
            <w:pPr>
              <w:widowControl/>
              <w:spacing w:line="240" w:lineRule="auto"/>
              <w:rPr>
                <w:rFonts w:hint="default" w:ascii="仿宋_GB2312" w:hAnsi="黑体" w:eastAsia="仿宋_GB2312"/>
                <w:color w:val="auto"/>
                <w:kern w:val="0"/>
                <w:szCs w:val="21"/>
              </w:rPr>
            </w:pPr>
            <w:r>
              <w:rPr>
                <w:rFonts w:hint="eastAsia" w:ascii="仿宋_GB2312" w:hAnsi="黑体" w:eastAsia="仿宋_GB2312"/>
                <w:color w:val="auto"/>
                <w:kern w:val="0"/>
                <w:szCs w:val="21"/>
              </w:rPr>
              <w:t>出具已获取信息</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03E47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98F3C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52AD3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A570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6DC6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000D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49F57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3F81F2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3"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BD9EE6">
            <w:pPr>
              <w:rPr>
                <w:rFonts w:hint="default" w:ascii="Times New Roman" w:hAnsi="Times New Roman" w:eastAsia="仿宋_GB2312" w:cs="Times New Roman"/>
                <w:color w:val="auto"/>
                <w:sz w:val="21"/>
                <w:szCs w:val="21"/>
              </w:rPr>
            </w:pPr>
          </w:p>
        </w:tc>
        <w:tc>
          <w:tcPr>
            <w:tcW w:w="1810" w:type="dxa"/>
            <w:vMerge w:val="restart"/>
            <w:tcBorders>
              <w:top w:val="nil"/>
              <w:left w:val="nil"/>
              <w:right w:val="single" w:color="auto" w:sz="8" w:space="0"/>
            </w:tcBorders>
            <w:shd w:val="clear" w:color="auto" w:fill="auto"/>
            <w:tcMar>
              <w:top w:w="0" w:type="dxa"/>
              <w:left w:w="108" w:type="dxa"/>
              <w:bottom w:w="0" w:type="dxa"/>
              <w:right w:w="108" w:type="dxa"/>
            </w:tcMar>
            <w:vAlign w:val="center"/>
          </w:tcPr>
          <w:p w14:paraId="5B4AEDDC">
            <w:pPr>
              <w:widowControl/>
              <w:spacing w:line="240" w:lineRule="auto"/>
              <w:rPr>
                <w:rFonts w:hint="default" w:ascii="Times New Roman" w:hAnsi="Times New Roman" w:eastAsia="仿宋_GB2312" w:cs="Times New Roman"/>
                <w:color w:val="auto"/>
                <w:sz w:val="21"/>
                <w:szCs w:val="21"/>
              </w:rPr>
            </w:pPr>
            <w:r>
              <w:rPr>
                <w:rFonts w:hint="eastAsia" w:ascii="黑体" w:hAnsi="黑体" w:eastAsia="黑体"/>
                <w:color w:val="auto"/>
                <w:kern w:val="0"/>
                <w:szCs w:val="21"/>
              </w:rPr>
              <w:t>（六）其他处理</w:t>
            </w: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D08DF1">
            <w:pPr>
              <w:widowControl/>
              <w:spacing w:line="240" w:lineRule="auto"/>
              <w:rPr>
                <w:rFonts w:hint="default" w:ascii="仿宋_GB2312" w:hAnsi="黑体" w:eastAsia="仿宋_GB2312"/>
                <w:color w:val="auto"/>
                <w:kern w:val="0"/>
                <w:szCs w:val="21"/>
                <w:lang w:val="en-US" w:eastAsia="zh-CN"/>
              </w:rPr>
            </w:pPr>
            <w:r>
              <w:rPr>
                <w:rFonts w:hint="eastAsia" w:ascii="仿宋_GB2312" w:hAnsi="黑体" w:eastAsia="仿宋_GB2312"/>
                <w:color w:val="auto"/>
                <w:kern w:val="0"/>
                <w:szCs w:val="21"/>
              </w:rPr>
              <w:t>1.申请人无正当理由逾期不补正、行政机关不再处理其政府信息公开申请</w:t>
            </w:r>
          </w:p>
        </w:tc>
        <w:tc>
          <w:tcPr>
            <w:tcW w:w="521" w:type="dxa"/>
            <w:tcBorders>
              <w:top w:val="nil"/>
              <w:left w:val="nil"/>
              <w:right w:val="single" w:color="auto" w:sz="8" w:space="0"/>
            </w:tcBorders>
            <w:shd w:val="clear" w:color="auto" w:fill="auto"/>
            <w:tcMar>
              <w:top w:w="0" w:type="dxa"/>
              <w:left w:w="108" w:type="dxa"/>
              <w:bottom w:w="0" w:type="dxa"/>
              <w:right w:w="108" w:type="dxa"/>
            </w:tcMar>
            <w:vAlign w:val="center"/>
          </w:tcPr>
          <w:p w14:paraId="5456A4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right w:val="single" w:color="auto" w:sz="8" w:space="0"/>
            </w:tcBorders>
            <w:shd w:val="clear" w:color="auto" w:fill="auto"/>
            <w:tcMar>
              <w:top w:w="0" w:type="dxa"/>
              <w:left w:w="108" w:type="dxa"/>
              <w:bottom w:w="0" w:type="dxa"/>
              <w:right w:w="108" w:type="dxa"/>
            </w:tcMar>
            <w:vAlign w:val="center"/>
          </w:tcPr>
          <w:p w14:paraId="17C42A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right w:val="single" w:color="auto" w:sz="8" w:space="0"/>
            </w:tcBorders>
            <w:shd w:val="clear" w:color="auto" w:fill="auto"/>
            <w:tcMar>
              <w:top w:w="0" w:type="dxa"/>
              <w:left w:w="108" w:type="dxa"/>
              <w:bottom w:w="0" w:type="dxa"/>
              <w:right w:w="108" w:type="dxa"/>
            </w:tcMar>
            <w:vAlign w:val="center"/>
          </w:tcPr>
          <w:p w14:paraId="7B7B89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right w:val="single" w:color="auto" w:sz="8" w:space="0"/>
            </w:tcBorders>
            <w:shd w:val="clear" w:color="auto" w:fill="auto"/>
            <w:tcMar>
              <w:top w:w="0" w:type="dxa"/>
              <w:left w:w="108" w:type="dxa"/>
              <w:bottom w:w="0" w:type="dxa"/>
              <w:right w:w="108" w:type="dxa"/>
            </w:tcMar>
            <w:vAlign w:val="center"/>
          </w:tcPr>
          <w:p w14:paraId="00B7C3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right w:val="single" w:color="auto" w:sz="8" w:space="0"/>
            </w:tcBorders>
            <w:shd w:val="clear" w:color="auto" w:fill="auto"/>
            <w:tcMar>
              <w:top w:w="0" w:type="dxa"/>
              <w:left w:w="108" w:type="dxa"/>
              <w:bottom w:w="0" w:type="dxa"/>
              <w:right w:w="108" w:type="dxa"/>
            </w:tcMar>
            <w:vAlign w:val="center"/>
          </w:tcPr>
          <w:p w14:paraId="3CE3C0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right w:val="single" w:color="auto" w:sz="8" w:space="0"/>
            </w:tcBorders>
            <w:shd w:val="clear" w:color="auto" w:fill="auto"/>
            <w:tcMar>
              <w:top w:w="0" w:type="dxa"/>
              <w:left w:w="108" w:type="dxa"/>
              <w:bottom w:w="0" w:type="dxa"/>
              <w:right w:w="108" w:type="dxa"/>
            </w:tcMar>
            <w:vAlign w:val="center"/>
          </w:tcPr>
          <w:p w14:paraId="2C5661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right w:val="single" w:color="auto" w:sz="8" w:space="0"/>
            </w:tcBorders>
            <w:shd w:val="clear" w:color="auto" w:fill="auto"/>
            <w:tcMar>
              <w:top w:w="0" w:type="dxa"/>
              <w:left w:w="108" w:type="dxa"/>
              <w:bottom w:w="0" w:type="dxa"/>
              <w:right w:w="108" w:type="dxa"/>
            </w:tcMar>
            <w:vAlign w:val="center"/>
          </w:tcPr>
          <w:p w14:paraId="21C423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r w14:paraId="01A5E1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3"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EDB6DC">
            <w:pPr>
              <w:rPr>
                <w:rFonts w:hint="default" w:ascii="Times New Roman" w:hAnsi="Times New Roman" w:cs="Times New Roman"/>
                <w:color w:val="auto"/>
              </w:rPr>
            </w:pPr>
          </w:p>
        </w:tc>
        <w:tc>
          <w:tcPr>
            <w:tcW w:w="1810" w:type="dxa"/>
            <w:vMerge w:val="continue"/>
            <w:tcBorders>
              <w:left w:val="nil"/>
              <w:right w:val="single" w:color="auto" w:sz="8" w:space="0"/>
            </w:tcBorders>
            <w:shd w:val="clear" w:color="auto" w:fill="auto"/>
            <w:tcMar>
              <w:top w:w="0" w:type="dxa"/>
              <w:left w:w="108" w:type="dxa"/>
              <w:bottom w:w="0" w:type="dxa"/>
              <w:right w:w="108" w:type="dxa"/>
            </w:tcMar>
            <w:vAlign w:val="center"/>
          </w:tcPr>
          <w:p w14:paraId="394C77ED">
            <w:pPr>
              <w:widowControl/>
              <w:spacing w:line="300" w:lineRule="exact"/>
              <w:rPr>
                <w:rFonts w:hint="default" w:ascii="Times New Roman" w:hAnsi="Times New Roman" w:cs="Times New Roman"/>
                <w:color w:val="auto"/>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7787C4">
            <w:pPr>
              <w:widowControl/>
              <w:spacing w:line="240" w:lineRule="auto"/>
              <w:rPr>
                <w:rFonts w:hint="default" w:ascii="仿宋_GB2312" w:hAnsi="黑体" w:eastAsia="仿宋_GB2312"/>
                <w:color w:val="auto"/>
                <w:kern w:val="0"/>
                <w:szCs w:val="21"/>
                <w:lang w:val="en-US" w:eastAsia="zh-CN"/>
              </w:rPr>
            </w:pPr>
            <w:r>
              <w:rPr>
                <w:rFonts w:hint="eastAsia" w:ascii="仿宋_GB2312" w:hAnsi="黑体" w:eastAsia="仿宋_GB2312"/>
                <w:color w:val="auto"/>
                <w:kern w:val="0"/>
                <w:szCs w:val="21"/>
              </w:rPr>
              <w:t>2.申请人逾期未按收费通知要求缴纳费用、行政机关不再处理其政府信息公开申请</w:t>
            </w:r>
          </w:p>
        </w:tc>
        <w:tc>
          <w:tcPr>
            <w:tcW w:w="521" w:type="dxa"/>
            <w:tcBorders>
              <w:left w:val="nil"/>
              <w:right w:val="single" w:color="auto" w:sz="8" w:space="0"/>
            </w:tcBorders>
            <w:shd w:val="clear" w:color="auto" w:fill="auto"/>
            <w:tcMar>
              <w:top w:w="0" w:type="dxa"/>
              <w:left w:w="108" w:type="dxa"/>
              <w:bottom w:w="0" w:type="dxa"/>
              <w:right w:w="108" w:type="dxa"/>
            </w:tcMar>
            <w:vAlign w:val="center"/>
          </w:tcPr>
          <w:p w14:paraId="1D78201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376" w:type="dxa"/>
            <w:gridSpan w:val="2"/>
            <w:tcBorders>
              <w:left w:val="nil"/>
              <w:right w:val="single" w:color="auto" w:sz="8" w:space="0"/>
            </w:tcBorders>
            <w:shd w:val="clear" w:color="auto" w:fill="auto"/>
            <w:tcMar>
              <w:top w:w="0" w:type="dxa"/>
              <w:left w:w="108" w:type="dxa"/>
              <w:bottom w:w="0" w:type="dxa"/>
              <w:right w:w="108" w:type="dxa"/>
            </w:tcMar>
            <w:vAlign w:val="center"/>
          </w:tcPr>
          <w:p w14:paraId="17FC10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376" w:type="dxa"/>
            <w:gridSpan w:val="2"/>
            <w:tcBorders>
              <w:left w:val="nil"/>
              <w:right w:val="single" w:color="auto" w:sz="8" w:space="0"/>
            </w:tcBorders>
            <w:shd w:val="clear" w:color="auto" w:fill="auto"/>
            <w:tcMar>
              <w:top w:w="0" w:type="dxa"/>
              <w:left w:w="108" w:type="dxa"/>
              <w:bottom w:w="0" w:type="dxa"/>
              <w:right w:w="108" w:type="dxa"/>
            </w:tcMar>
            <w:vAlign w:val="center"/>
          </w:tcPr>
          <w:p w14:paraId="71AE51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502" w:type="dxa"/>
            <w:tcBorders>
              <w:left w:val="nil"/>
              <w:right w:val="single" w:color="auto" w:sz="8" w:space="0"/>
            </w:tcBorders>
            <w:shd w:val="clear" w:color="auto" w:fill="auto"/>
            <w:tcMar>
              <w:top w:w="0" w:type="dxa"/>
              <w:left w:w="108" w:type="dxa"/>
              <w:bottom w:w="0" w:type="dxa"/>
              <w:right w:w="108" w:type="dxa"/>
            </w:tcMar>
            <w:vAlign w:val="center"/>
          </w:tcPr>
          <w:p w14:paraId="76AB32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471" w:type="dxa"/>
            <w:tcBorders>
              <w:left w:val="nil"/>
              <w:right w:val="single" w:color="auto" w:sz="8" w:space="0"/>
            </w:tcBorders>
            <w:shd w:val="clear" w:color="auto" w:fill="auto"/>
            <w:tcMar>
              <w:top w:w="0" w:type="dxa"/>
              <w:left w:w="108" w:type="dxa"/>
              <w:bottom w:w="0" w:type="dxa"/>
              <w:right w:w="108" w:type="dxa"/>
            </w:tcMar>
            <w:vAlign w:val="center"/>
          </w:tcPr>
          <w:p w14:paraId="03D8052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367" w:type="dxa"/>
            <w:tcBorders>
              <w:left w:val="nil"/>
              <w:right w:val="single" w:color="auto" w:sz="8" w:space="0"/>
            </w:tcBorders>
            <w:shd w:val="clear" w:color="auto" w:fill="auto"/>
            <w:tcMar>
              <w:top w:w="0" w:type="dxa"/>
              <w:left w:w="108" w:type="dxa"/>
              <w:bottom w:w="0" w:type="dxa"/>
              <w:right w:w="108" w:type="dxa"/>
            </w:tcMar>
            <w:vAlign w:val="center"/>
          </w:tcPr>
          <w:p w14:paraId="5723CEB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490" w:type="dxa"/>
            <w:tcBorders>
              <w:left w:val="nil"/>
              <w:right w:val="single" w:color="auto" w:sz="8" w:space="0"/>
            </w:tcBorders>
            <w:shd w:val="clear" w:color="auto" w:fill="auto"/>
            <w:tcMar>
              <w:top w:w="0" w:type="dxa"/>
              <w:left w:w="108" w:type="dxa"/>
              <w:bottom w:w="0" w:type="dxa"/>
              <w:right w:w="108" w:type="dxa"/>
            </w:tcMar>
            <w:vAlign w:val="center"/>
          </w:tcPr>
          <w:p w14:paraId="273C7A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r>
      <w:tr w14:paraId="659A35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3" w:hRule="atLeast"/>
          <w:jc w:val="center"/>
        </w:trPr>
        <w:tc>
          <w:tcPr>
            <w:tcW w:w="442" w:type="dxa"/>
            <w:vMerge w:val="continue"/>
            <w:tcBorders>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FDB39C">
            <w:pPr>
              <w:rPr>
                <w:rFonts w:hint="default" w:ascii="Times New Roman" w:hAnsi="Times New Roman" w:eastAsia="仿宋_GB2312" w:cs="Times New Roman"/>
                <w:color w:val="auto"/>
                <w:sz w:val="21"/>
                <w:szCs w:val="21"/>
              </w:rPr>
            </w:pPr>
          </w:p>
        </w:tc>
        <w:tc>
          <w:tcPr>
            <w:tcW w:w="1810" w:type="dxa"/>
            <w:vMerge w:val="continue"/>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6F8B09">
            <w:pPr>
              <w:widowControl/>
              <w:spacing w:line="300" w:lineRule="exact"/>
              <w:rPr>
                <w:rFonts w:hint="default" w:ascii="Times New Roman" w:hAnsi="Times New Roman" w:eastAsia="仿宋_GB2312" w:cs="Times New Roman"/>
                <w:color w:val="auto"/>
                <w:sz w:val="21"/>
                <w:szCs w:val="21"/>
              </w:rPr>
            </w:pPr>
          </w:p>
        </w:tc>
        <w:tc>
          <w:tcPr>
            <w:tcW w:w="31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B6DD16">
            <w:pPr>
              <w:widowControl/>
              <w:spacing w:line="240" w:lineRule="auto"/>
              <w:rPr>
                <w:rFonts w:hint="default" w:ascii="仿宋_GB2312" w:hAnsi="黑体" w:eastAsia="仿宋_GB2312"/>
                <w:color w:val="auto"/>
                <w:kern w:val="0"/>
                <w:szCs w:val="21"/>
                <w:lang w:val="en-US" w:eastAsia="zh-CN"/>
              </w:rPr>
            </w:pPr>
            <w:r>
              <w:rPr>
                <w:rFonts w:hint="eastAsia" w:ascii="仿宋_GB2312" w:hAnsi="黑体" w:eastAsia="仿宋_GB2312"/>
                <w:color w:val="auto"/>
                <w:kern w:val="0"/>
                <w:szCs w:val="21"/>
              </w:rPr>
              <w:t>3.其他</w:t>
            </w:r>
          </w:p>
        </w:tc>
        <w:tc>
          <w:tcPr>
            <w:tcW w:w="521"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BC11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376" w:type="dxa"/>
            <w:gridSpan w:val="2"/>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6BC4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376" w:type="dxa"/>
            <w:gridSpan w:val="2"/>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B1B2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502"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6022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471"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8A66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36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625C7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c>
          <w:tcPr>
            <w:tcW w:w="490"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AC765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仿宋_GB2312" w:hAnsi="Times New Roman" w:eastAsia="仿宋_GB2312"/>
                <w:color w:val="auto"/>
                <w:szCs w:val="21"/>
                <w:lang w:val="en-US" w:eastAsia="zh-CN"/>
              </w:rPr>
              <w:t>0</w:t>
            </w:r>
          </w:p>
        </w:tc>
      </w:tr>
      <w:tr w14:paraId="75AF68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9" w:hRule="atLeast"/>
          <w:jc w:val="center"/>
        </w:trPr>
        <w:tc>
          <w:tcPr>
            <w:tcW w:w="44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9A74A5">
            <w:pPr>
              <w:rPr>
                <w:rFonts w:hint="default" w:ascii="Times New Roman" w:hAnsi="Times New Roman" w:eastAsia="仿宋_GB2312" w:cs="Times New Roman"/>
                <w:color w:val="auto"/>
                <w:sz w:val="21"/>
                <w:szCs w:val="21"/>
              </w:rPr>
            </w:pPr>
          </w:p>
        </w:tc>
        <w:tc>
          <w:tcPr>
            <w:tcW w:w="4977"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EA69B4">
            <w:pPr>
              <w:widowControl/>
              <w:spacing w:line="300" w:lineRule="exact"/>
              <w:rPr>
                <w:rFonts w:hint="default" w:ascii="Times New Roman" w:hAnsi="Times New Roman" w:eastAsia="仿宋_GB2312" w:cs="Times New Roman"/>
                <w:color w:val="auto"/>
                <w:sz w:val="21"/>
                <w:szCs w:val="21"/>
              </w:rPr>
            </w:pPr>
            <w:r>
              <w:rPr>
                <w:rFonts w:hint="eastAsia" w:ascii="黑体" w:hAnsi="黑体" w:eastAsia="黑体"/>
                <w:color w:val="auto"/>
                <w:kern w:val="0"/>
                <w:szCs w:val="21"/>
              </w:rPr>
              <w:t>（七）总计</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F260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eastAsia="zh-CN"/>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6F79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B164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271C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0087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9633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2396A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lang w:eastAsia="zh-CN"/>
              </w:rPr>
            </w:pPr>
            <w:r>
              <w:rPr>
                <w:rFonts w:hint="eastAsia" w:ascii="仿宋_GB2312" w:hAnsi="Times New Roman" w:eastAsia="仿宋_GB2312"/>
                <w:color w:val="auto"/>
                <w:szCs w:val="21"/>
                <w:lang w:val="en-US" w:eastAsia="zh-CN"/>
              </w:rPr>
              <w:t>0</w:t>
            </w:r>
          </w:p>
        </w:tc>
      </w:tr>
      <w:tr w14:paraId="102090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2"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7B7B26">
            <w:pPr>
              <w:widowControl/>
              <w:spacing w:line="300" w:lineRule="exact"/>
              <w:rPr>
                <w:rFonts w:hint="default" w:ascii="Times New Roman" w:hAnsi="Times New Roman" w:eastAsia="仿宋_GB2312" w:cs="Times New Roman"/>
                <w:color w:val="auto"/>
                <w:sz w:val="21"/>
                <w:szCs w:val="21"/>
              </w:rPr>
            </w:pPr>
            <w:r>
              <w:rPr>
                <w:rFonts w:hint="eastAsia" w:ascii="黑体" w:hAnsi="黑体" w:eastAsia="黑体"/>
                <w:color w:val="auto"/>
                <w:kern w:val="0"/>
                <w:szCs w:val="21"/>
              </w:rPr>
              <w:t>四、结转下年度继续办理</w:t>
            </w:r>
          </w:p>
        </w:tc>
        <w:tc>
          <w:tcPr>
            <w:tcW w:w="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1447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C8506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7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590A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50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5CA19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028F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3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9187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c>
          <w:tcPr>
            <w:tcW w:w="49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D15BF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 w:val="21"/>
                <w:szCs w:val="21"/>
              </w:rPr>
            </w:pPr>
            <w:r>
              <w:rPr>
                <w:rFonts w:hint="eastAsia" w:ascii="仿宋_GB2312" w:hAnsi="Times New Roman" w:eastAsia="仿宋_GB2312"/>
                <w:color w:val="auto"/>
                <w:szCs w:val="21"/>
                <w:lang w:val="en-US" w:eastAsia="zh-CN"/>
              </w:rPr>
              <w:t>0</w:t>
            </w:r>
          </w:p>
        </w:tc>
      </w:tr>
    </w:tbl>
    <w:p w14:paraId="2E8AD1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四、</w:t>
      </w:r>
      <w:r>
        <w:rPr>
          <w:rFonts w:hint="default" w:ascii="Times New Roman" w:hAnsi="Times New Roman" w:eastAsia="黑体" w:cs="Times New Roman"/>
          <w:color w:val="000000" w:themeColor="text1"/>
          <w:sz w:val="32"/>
          <w:szCs w:val="32"/>
          <w14:textFill>
            <w14:solidFill>
              <w14:schemeClr w14:val="tx1"/>
            </w14:solidFill>
          </w14:textFill>
        </w:rPr>
        <w:t>政府信息公开行政复议、行政诉讼情况</w:t>
      </w:r>
    </w:p>
    <w:p w14:paraId="1C2810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自202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年1月1日起至202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年12月31日止，县信访局未收到政府信息公开行政复议、行政诉讼。</w:t>
      </w:r>
    </w:p>
    <w:tbl>
      <w:tblPr>
        <w:tblStyle w:val="6"/>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89"/>
        <w:gridCol w:w="590"/>
        <w:gridCol w:w="590"/>
        <w:gridCol w:w="590"/>
        <w:gridCol w:w="481"/>
        <w:gridCol w:w="590"/>
        <w:gridCol w:w="590"/>
        <w:gridCol w:w="590"/>
        <w:gridCol w:w="590"/>
        <w:gridCol w:w="481"/>
        <w:gridCol w:w="590"/>
        <w:gridCol w:w="590"/>
        <w:gridCol w:w="590"/>
        <w:gridCol w:w="590"/>
        <w:gridCol w:w="481"/>
      </w:tblGrid>
      <w:tr w14:paraId="7247FE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2" w:hRule="atLeast"/>
          <w:jc w:val="center"/>
        </w:trPr>
        <w:tc>
          <w:tcPr>
            <w:tcW w:w="2839"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AAE45B">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行政复议</w:t>
            </w:r>
          </w:p>
        </w:tc>
        <w:tc>
          <w:tcPr>
            <w:tcW w:w="0" w:type="auto"/>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C21405">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行政诉讼</w:t>
            </w:r>
          </w:p>
        </w:tc>
      </w:tr>
      <w:tr w14:paraId="2552D7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3" w:hRule="atLeast"/>
          <w:jc w:val="center"/>
        </w:trPr>
        <w:tc>
          <w:tcPr>
            <w:tcW w:w="59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629230">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DAB9BD">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EC883D">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8F5678">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972963">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c>
          <w:tcPr>
            <w:tcW w:w="0" w:type="auto"/>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9DD5BD">
            <w:pPr>
              <w:bidi w:val="0"/>
              <w:jc w:val="center"/>
              <w:rPr>
                <w:rFonts w:hint="default" w:ascii="Times New Roman" w:hAnsi="Times New Roman" w:eastAsia="仿宋_GB2312" w:cs="Times New Roman"/>
              </w:rPr>
            </w:pPr>
            <w:r>
              <w:rPr>
                <w:rFonts w:hint="default" w:ascii="Times New Roman" w:hAnsi="Times New Roman" w:eastAsia="仿宋_GB2312" w:cs="Times New Roman"/>
              </w:rPr>
              <w:t>未经复议直接起诉</w:t>
            </w:r>
          </w:p>
        </w:tc>
        <w:tc>
          <w:tcPr>
            <w:tcW w:w="0" w:type="auto"/>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5A6D69">
            <w:pPr>
              <w:bidi w:val="0"/>
              <w:jc w:val="center"/>
              <w:rPr>
                <w:rFonts w:hint="default" w:ascii="Times New Roman" w:hAnsi="Times New Roman" w:eastAsia="仿宋_GB2312" w:cs="Times New Roman"/>
              </w:rPr>
            </w:pPr>
            <w:r>
              <w:rPr>
                <w:rFonts w:hint="default" w:ascii="Times New Roman" w:hAnsi="Times New Roman" w:eastAsia="仿宋_GB2312" w:cs="Times New Roman"/>
              </w:rPr>
              <w:t>复议后起诉</w:t>
            </w:r>
          </w:p>
        </w:tc>
      </w:tr>
      <w:tr w14:paraId="495FBD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9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BCE0BE">
            <w:pPr>
              <w:bidi w:val="0"/>
              <w:jc w:val="center"/>
              <w:rPr>
                <w:rFonts w:hint="default" w:ascii="Times New Roman" w:hAnsi="Times New Roman" w:eastAsia="仿宋_GB2312" w:cs="Times New Roman"/>
              </w:rPr>
            </w:pPr>
          </w:p>
        </w:tc>
        <w:tc>
          <w:tcPr>
            <w:tcW w:w="0" w:type="auto"/>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CFF711">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667FB4">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F2D7FA">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2FB27E">
            <w:pPr>
              <w:bidi w:val="0"/>
              <w:jc w:val="center"/>
              <w:rPr>
                <w:rFonts w:hint="default" w:ascii="Times New Roman" w:hAnsi="Times New Roman" w:eastAsia="仿宋_GB2312" w:cs="Times New Roman"/>
              </w:rPr>
            </w:pP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9BBB12">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99FE01">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095FDE">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DA441F">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256945">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0E15A1">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8734CB">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329601">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B5CFB7">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01591A">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r>
      <w:tr w14:paraId="2317F7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5" w:hRule="atLeast"/>
          <w:jc w:val="center"/>
        </w:trPr>
        <w:tc>
          <w:tcPr>
            <w:tcW w:w="5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0F0D1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8DBAC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8D517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1332DA">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5C474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0A063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ECE81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CEADA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D365CE">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44384B">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CA119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B16FA6">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CA1C4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BDB87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5C1E52">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bl>
    <w:p w14:paraId="33ACB7A8">
      <w:pPr>
        <w:bidi w:val="0"/>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五、存在的主要问题及改进情况</w:t>
      </w:r>
    </w:p>
    <w:p w14:paraId="0DDF25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一是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政务公开工作缺乏相对专业和专职的工作人员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；二是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政务信息内容不够全面，信息发布规范度需要进一步加强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14:paraId="6636D1D7">
      <w:pPr>
        <w:keepNext w:val="0"/>
        <w:keepLines w:val="0"/>
        <w:widowControl/>
        <w:suppressLineNumbers w:val="0"/>
        <w:ind w:firstLine="640" w:firstLineChars="200"/>
        <w:jc w:val="left"/>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2024年，沂源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县信访局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严格按照《2024年沂源县政务公开工作方案》要求，加强政务公开队伍建设，明确分管领导和政务公开专职工作人员，确保各项工作有效落实；完善“三审三校”制度，强化</w:t>
      </w:r>
      <w:r>
        <w:rPr>
          <w:rFonts w:ascii="仿宋_GB2312" w:hAnsi="宋体" w:eastAsia="仿宋_GB2312" w:cs="仿宋_GB2312"/>
          <w:color w:val="000000" w:themeColor="text1"/>
          <w:kern w:val="0"/>
          <w:sz w:val="31"/>
          <w:szCs w:val="31"/>
          <w:lang w:val="en-US" w:eastAsia="zh-CN" w:bidi="ar"/>
          <w14:textFill>
            <w14:solidFill>
              <w14:schemeClr w14:val="tx1"/>
            </w14:solidFill>
          </w14:textFill>
        </w:rPr>
        <w:t>日常监测反馈</w:t>
      </w:r>
      <w:r>
        <w:rPr>
          <w:rFonts w:hint="eastAsia" w:ascii="仿宋_GB2312" w:hAnsi="宋体" w:eastAsia="仿宋_GB2312" w:cs="仿宋_GB2312"/>
          <w:color w:val="000000" w:themeColor="text1"/>
          <w:kern w:val="0"/>
          <w:sz w:val="31"/>
          <w:szCs w:val="31"/>
          <w:lang w:val="en-US" w:eastAsia="zh-CN" w:bidi="ar"/>
          <w14:textFill>
            <w14:solidFill>
              <w14:schemeClr w14:val="tx1"/>
            </w14:solidFill>
          </w14:textFill>
        </w:rPr>
        <w:t>，将各科室、中心政务公开工作情况纳入年度</w:t>
      </w:r>
      <w:r>
        <w:rPr>
          <w:rFonts w:ascii="仿宋_GB2312" w:hAnsi="宋体" w:eastAsia="仿宋_GB2312" w:cs="仿宋_GB2312"/>
          <w:color w:val="000000" w:themeColor="text1"/>
          <w:kern w:val="0"/>
          <w:sz w:val="31"/>
          <w:szCs w:val="31"/>
          <w:lang w:val="en-US" w:eastAsia="zh-CN" w:bidi="ar"/>
          <w14:textFill>
            <w14:solidFill>
              <w14:schemeClr w14:val="tx1"/>
            </w14:solidFill>
          </w14:textFill>
        </w:rPr>
        <w:t>考</w:t>
      </w:r>
      <w:r>
        <w:rPr>
          <w:rFonts w:hint="eastAsia" w:ascii="仿宋_GB2312" w:hAnsi="宋体" w:eastAsia="仿宋_GB2312" w:cs="仿宋_GB2312"/>
          <w:color w:val="000000" w:themeColor="text1"/>
          <w:kern w:val="0"/>
          <w:sz w:val="31"/>
          <w:szCs w:val="31"/>
          <w:lang w:val="en-US" w:eastAsia="zh-CN" w:bidi="ar"/>
          <w14:textFill>
            <w14:solidFill>
              <w14:schemeClr w14:val="tx1"/>
            </w14:solidFill>
          </w14:textFill>
        </w:rPr>
        <w:t>核，不断增强公开主动性、信息规范性，推动政务公开常态化开展。</w:t>
      </w:r>
    </w:p>
    <w:p w14:paraId="537338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14:paraId="7D037C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2024年，沂源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县信访局未收取信息处理费。</w:t>
      </w:r>
    </w:p>
    <w:p w14:paraId="39D34E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2024年，沂源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县信访局未收到人大代表建议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和政协提案。</w:t>
      </w:r>
    </w:p>
    <w:p w14:paraId="14F1DC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 沂源县信访局</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以群众需求为导向，完善</w:t>
      </w:r>
      <w:r>
        <w:rPr>
          <w:rFonts w:hint="eastAsia" w:ascii="Times New Roman" w:hAnsi="Times New Roman" w:eastAsia="仿宋_GB2312" w:cs="Times New Roman"/>
          <w:color w:val="000000" w:themeColor="text1"/>
          <w:sz w:val="32"/>
          <w:szCs w:val="40"/>
          <w:lang w:val="en-US" w:eastAsia="zh-CN"/>
          <w14:textFill>
            <w14:solidFill>
              <w14:schemeClr w14:val="tx1"/>
            </w14:solidFill>
          </w14:textFill>
        </w:rPr>
        <w:t>政务公开</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工作制度，强化三项举措，积极拓宽公开渠道，不断提升便民服务质量和政务公开水平。</w:t>
      </w:r>
      <w:r>
        <w:rPr>
          <w:rFonts w:hint="default" w:ascii="Times New Roman" w:hAnsi="Times New Roman" w:eastAsia="楷体_GB2312" w:cs="Times New Roman"/>
          <w:color w:val="000000" w:themeColor="text1"/>
          <w:sz w:val="32"/>
          <w:szCs w:val="40"/>
          <w:lang w:val="en-US" w:eastAsia="zh-CN"/>
          <w14:textFill>
            <w14:solidFill>
              <w14:schemeClr w14:val="tx1"/>
            </w14:solidFill>
          </w14:textFill>
        </w:rPr>
        <w:t>一是打造人民来访接待中心，推动阵地建设标准化。</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设置政务信息宣传角、咨询窗口、休息区，配备叫号机、储物柜等设施，并安排工作人员负责引导，为群众提供高效便捷的服务。</w:t>
      </w:r>
      <w:r>
        <w:rPr>
          <w:rFonts w:hint="default" w:ascii="Times New Roman" w:hAnsi="Times New Roman" w:eastAsia="楷体_GB2312" w:cs="Times New Roman"/>
          <w:color w:val="000000" w:themeColor="text1"/>
          <w:sz w:val="32"/>
          <w:szCs w:val="40"/>
          <w:lang w:val="en-US" w:eastAsia="zh-CN"/>
          <w14:textFill>
            <w14:solidFill>
              <w14:schemeClr w14:val="tx1"/>
            </w14:solidFill>
          </w14:textFill>
        </w:rPr>
        <w:t>二是拓宽政务信息发布平台，推动公开渠道便民化。</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通过线上与线下相结合的形式及时公开工作动态、接访公告</w:t>
      </w:r>
      <w:r>
        <w:rPr>
          <w:rFonts w:hint="eastAsia" w:ascii="Times New Roman" w:hAnsi="Times New Roman" w:eastAsia="仿宋_GB2312" w:cs="Times New Roman"/>
          <w:color w:val="000000" w:themeColor="text1"/>
          <w:sz w:val="32"/>
          <w:szCs w:val="40"/>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用好政府网站、广播电视台、微信公众号等媒体平台，及时发布便民信息。</w:t>
      </w:r>
      <w:r>
        <w:rPr>
          <w:rFonts w:hint="default" w:ascii="Times New Roman" w:hAnsi="Times New Roman" w:eastAsia="楷体_GB2312" w:cs="Times New Roman"/>
          <w:color w:val="000000" w:themeColor="text1"/>
          <w:sz w:val="32"/>
          <w:szCs w:val="40"/>
          <w:lang w:val="en-US" w:eastAsia="zh-CN"/>
          <w14:textFill>
            <w14:solidFill>
              <w14:schemeClr w14:val="tx1"/>
            </w14:solidFill>
          </w14:textFill>
        </w:rPr>
        <w:t>三是强化政策解读，推动宣传形式多样化。</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将信访宣传与政务公开工作相结合，通过《信访工作条例》“赶大集”的形式，将政策宣讲到基层，营造良好的社会氛围；制作绘声绘色的、贴近群众生活的动漫视频，从</w:t>
      </w:r>
      <w:r>
        <w:rPr>
          <w:rFonts w:hint="eastAsia" w:ascii="Times New Roman" w:hAnsi="Times New Roman" w:eastAsia="仿宋_GB2312" w:cs="Times New Roman"/>
          <w:color w:val="000000" w:themeColor="text1"/>
          <w:sz w:val="32"/>
          <w:szCs w:val="40"/>
          <w:lang w:val="en-US" w:eastAsia="zh-CN"/>
          <w14:textFill>
            <w14:solidFill>
              <w14:schemeClr w14:val="tx1"/>
            </w14:solidFill>
          </w14:textFill>
        </w:rPr>
        <w:t>群众间的日常小事切入</w:t>
      </w:r>
      <w:r>
        <w:rPr>
          <w:rFonts w:hint="default" w:ascii="Times New Roman" w:hAnsi="Times New Roman" w:eastAsia="仿宋_GB2312" w:cs="Times New Roman"/>
          <w:color w:val="000000" w:themeColor="text1"/>
          <w:sz w:val="32"/>
          <w:szCs w:val="40"/>
          <w:lang w:val="en-US" w:eastAsia="zh-CN"/>
          <w14:textFill>
            <w14:solidFill>
              <w14:schemeClr w14:val="tx1"/>
            </w14:solidFill>
          </w14:textFill>
        </w:rPr>
        <w:t>，讲解信访部门的有关规定，</w:t>
      </w:r>
      <w:r>
        <w:rPr>
          <w:rFonts w:hint="eastAsia" w:ascii="Times New Roman" w:hAnsi="Times New Roman" w:eastAsia="仿宋_GB2312" w:cs="Times New Roman"/>
          <w:color w:val="000000" w:themeColor="text1"/>
          <w:sz w:val="32"/>
          <w:szCs w:val="40"/>
          <w:lang w:val="en-US" w:eastAsia="zh-CN"/>
          <w14:textFill>
            <w14:solidFill>
              <w14:schemeClr w14:val="tx1"/>
            </w14:solidFill>
          </w14:textFill>
        </w:rPr>
        <w:t>引导群众依法有序维护自身合法权益。</w:t>
      </w:r>
    </w:p>
    <w:p w14:paraId="44865FA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沂源县信访局紧紧围绕中心工作，严格落实《2024年沂源县政务公开工作方案》，一是强化组织引领，建立日常工作机制，让政务公开更有力度；二是拓宽公开渠道，丰富更新信息内容，让政务公开更有广度；三是聚焦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生领域，精准回应群众诉求，让政务公开更有温度。</w:t>
      </w:r>
    </w:p>
    <w:p w14:paraId="0C7839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无需要报告的其他事项。</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9D08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A84A66">
                          <w:pPr>
                            <w:pStyle w:val="3"/>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A84A66">
                    <w:pPr>
                      <w:pStyle w:val="3"/>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66F15"/>
    <w:multiLevelType w:val="singleLevel"/>
    <w:tmpl w:val="2F566F1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2Yzg1ZGMwMjU2Y2E4MzZlZWMzMjMxNjBmODQ0YzQifQ=="/>
  </w:docVars>
  <w:rsids>
    <w:rsidRoot w:val="00000000"/>
    <w:rsid w:val="00DB41F1"/>
    <w:rsid w:val="055B43BA"/>
    <w:rsid w:val="061565EF"/>
    <w:rsid w:val="080B33F3"/>
    <w:rsid w:val="0D915019"/>
    <w:rsid w:val="15A074FD"/>
    <w:rsid w:val="16332694"/>
    <w:rsid w:val="17684BDB"/>
    <w:rsid w:val="1B0F0983"/>
    <w:rsid w:val="1B172758"/>
    <w:rsid w:val="1CFA2754"/>
    <w:rsid w:val="21464FF7"/>
    <w:rsid w:val="23F61BA8"/>
    <w:rsid w:val="271E5A21"/>
    <w:rsid w:val="278E2E0B"/>
    <w:rsid w:val="2C7B3859"/>
    <w:rsid w:val="2DCA1771"/>
    <w:rsid w:val="2E614626"/>
    <w:rsid w:val="2FF17C60"/>
    <w:rsid w:val="30693E4C"/>
    <w:rsid w:val="306E68A2"/>
    <w:rsid w:val="346D7864"/>
    <w:rsid w:val="3486483B"/>
    <w:rsid w:val="36A9293B"/>
    <w:rsid w:val="37236797"/>
    <w:rsid w:val="38731576"/>
    <w:rsid w:val="38A377F8"/>
    <w:rsid w:val="3A2123FC"/>
    <w:rsid w:val="3BEF65C5"/>
    <w:rsid w:val="41BB0B0E"/>
    <w:rsid w:val="41DA54D8"/>
    <w:rsid w:val="44F24B62"/>
    <w:rsid w:val="517E4D1E"/>
    <w:rsid w:val="52174BE1"/>
    <w:rsid w:val="55A1648C"/>
    <w:rsid w:val="5C943C3B"/>
    <w:rsid w:val="5D7A5DE9"/>
    <w:rsid w:val="602729AE"/>
    <w:rsid w:val="60677C0F"/>
    <w:rsid w:val="6133109C"/>
    <w:rsid w:val="61B54E59"/>
    <w:rsid w:val="64BB5E3B"/>
    <w:rsid w:val="66B94430"/>
    <w:rsid w:val="67BB1806"/>
    <w:rsid w:val="6E937042"/>
    <w:rsid w:val="6F306B00"/>
    <w:rsid w:val="6F8C47A9"/>
    <w:rsid w:val="702D5518"/>
    <w:rsid w:val="717C67E5"/>
    <w:rsid w:val="739F163C"/>
    <w:rsid w:val="78FA24A3"/>
    <w:rsid w:val="79232D29"/>
    <w:rsid w:val="7E913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1628</Words>
  <Characters>1721</Characters>
  <Lines>0</Lines>
  <Paragraphs>0</Paragraphs>
  <TotalTime>1</TotalTime>
  <ScaleCrop>false</ScaleCrop>
  <LinksUpToDate>false</LinksUpToDate>
  <CharactersWithSpaces>1721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2022-01-12T12:29:00Z</dcterms:created>
  <dc:creator>Administrator</dc:creator>
  <cp:lastModifiedBy>Y.君</cp:lastModifiedBy>
  <cp:lastPrinted>2025-01-15T06:12:00Z</cp:lastPrinted>
  <dcterms:modified xsi:type="dcterms:W3CDTF">2025-01-20T01:11:23Z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70691EC8741B4BADB057C52263590A21</vt:lpwstr>
  </property>
  <property fmtid="{D5CDD505-2E9C-101B-9397-08002B2CF9AE}" pid="4" name="KSOTemplateDocerSaveRecord">
    <vt:lpwstr>eyJoZGlkIjoiYTA2Yzg1ZGMwMjU2Y2E4MzZlZWMzMjMxNjBmODQ0YzQiLCJ1c2VySWQiOiI0OTg1MjA4OTQifQ==</vt:lpwstr>
  </property>
</Properties>
</file>