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pacing w:line="720" w:lineRule="exact"/>
        <w:jc w:val="center"/>
        <w:rPr>
          <w:rFonts w:ascii="方正小标宋简体" w:hAnsi="宋体" w:eastAsia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宋体" w:eastAsia="方正小标宋简体"/>
          <w:b w:val="0"/>
          <w:bCs w:val="0"/>
          <w:sz w:val="44"/>
          <w:szCs w:val="44"/>
        </w:rPr>
        <w:t>沂源县信访局</w:t>
      </w:r>
    </w:p>
    <w:p>
      <w:pPr>
        <w:pStyle w:val="5"/>
        <w:widowControl/>
        <w:spacing w:line="720" w:lineRule="exact"/>
        <w:jc w:val="center"/>
        <w:rPr>
          <w:rFonts w:ascii="方正小标宋简体" w:hAnsi="宋体" w:eastAsia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宋体" w:eastAsia="方正小标宋简体"/>
          <w:b w:val="0"/>
          <w:bCs w:val="0"/>
          <w:sz w:val="44"/>
          <w:szCs w:val="44"/>
        </w:rPr>
        <w:t>2018年政府信息公开年度报告</w:t>
      </w:r>
    </w:p>
    <w:p>
      <w:pPr>
        <w:pStyle w:val="5"/>
        <w:widowControl/>
        <w:rPr>
          <w:rFonts w:ascii="仿宋" w:hAnsi="仿宋"/>
          <w:b w:val="0"/>
          <w:bCs w:val="0"/>
          <w:sz w:val="32"/>
          <w:szCs w:val="32"/>
        </w:rPr>
      </w:pPr>
      <w:r>
        <w:rPr>
          <w:rFonts w:ascii="仿宋" w:hAnsi="仿宋"/>
          <w:b w:val="0"/>
          <w:bCs w:val="0"/>
          <w:sz w:val="32"/>
          <w:szCs w:val="32"/>
        </w:rPr>
        <w:t xml:space="preserve">    </w:t>
      </w:r>
    </w:p>
    <w:p>
      <w:pPr>
        <w:pStyle w:val="5"/>
        <w:widowControl/>
        <w:ind w:firstLine="640" w:firstLineChars="200"/>
        <w:rPr>
          <w:rFonts w:ascii="仿宋_GB2312" w:eastAsia="仿宋_GB2312"/>
          <w:b w:val="0"/>
          <w:bCs w:val="0"/>
        </w:rPr>
      </w:pPr>
      <w:r>
        <w:rPr>
          <w:rFonts w:hint="eastAsia" w:ascii="仿宋_GB2312" w:hAnsi="仿宋" w:eastAsia="仿宋_GB2312"/>
          <w:b w:val="0"/>
          <w:bCs w:val="0"/>
          <w:sz w:val="32"/>
          <w:szCs w:val="32"/>
        </w:rPr>
        <w:t>为进一步推进信访局政府信息公开工作的开展，按照沂源县人民政府办公室要求，现将我单位2018年政府信息公开年度报告公布如下：</w:t>
      </w:r>
    </w:p>
    <w:p>
      <w:pPr>
        <w:pStyle w:val="5"/>
        <w:widowControl/>
        <w:rPr>
          <w:b w:val="0"/>
          <w:bCs w:val="0"/>
        </w:rPr>
      </w:pPr>
      <w:r>
        <w:rPr>
          <w:rFonts w:hint="eastAsia" w:ascii="黑体" w:hAnsi="宋体" w:eastAsia="黑体"/>
          <w:b w:val="0"/>
          <w:bCs w:val="0"/>
          <w:sz w:val="32"/>
          <w:szCs w:val="32"/>
        </w:rPr>
        <w:t xml:space="preserve">    一、政府信息公开工作概述</w:t>
      </w:r>
    </w:p>
    <w:p>
      <w:pPr>
        <w:pStyle w:val="5"/>
        <w:widowControl/>
        <w:ind w:firstLine="640" w:firstLineChars="200"/>
        <w:rPr>
          <w:rFonts w:ascii="仿宋_GB2312" w:hAnsi="仿宋" w:eastAsia="仿宋_GB2312"/>
          <w:b w:val="0"/>
          <w:bCs w:val="0"/>
          <w:sz w:val="32"/>
          <w:szCs w:val="32"/>
        </w:rPr>
      </w:pPr>
      <w:r>
        <w:rPr>
          <w:rFonts w:hint="eastAsia" w:ascii="仿宋_GB2312" w:hAnsi="仿宋" w:eastAsia="仿宋_GB2312"/>
          <w:b w:val="0"/>
          <w:bCs w:val="0"/>
          <w:sz w:val="32"/>
          <w:szCs w:val="32"/>
        </w:rPr>
        <w:t>2018年，在县委、县政府的正确领导下，认真贯彻落实国家、省、市、县关于政府信息公开的相关要求，不断建立健全政府信息公开的制度和规定，切实加大信息公开力度，充分发挥相关载体作用，在沂源通讯等大众媒体上公开相关信访法规、信息，拓宽了群众获取信息渠道，使政府信息公开的形式得到进一步完善。</w:t>
      </w:r>
    </w:p>
    <w:p>
      <w:pPr>
        <w:pStyle w:val="5"/>
        <w:widowControl/>
        <w:ind w:firstLine="640" w:firstLineChars="200"/>
        <w:rPr>
          <w:rFonts w:ascii="黑体" w:hAnsi="宋体" w:eastAsia="黑体"/>
          <w:b w:val="0"/>
          <w:bCs w:val="0"/>
          <w:sz w:val="32"/>
          <w:szCs w:val="32"/>
        </w:rPr>
      </w:pPr>
      <w:r>
        <w:rPr>
          <w:rFonts w:hint="eastAsia" w:ascii="黑体" w:hAnsi="宋体" w:eastAsia="黑体"/>
          <w:b w:val="0"/>
          <w:bCs w:val="0"/>
          <w:sz w:val="32"/>
          <w:szCs w:val="32"/>
        </w:rPr>
        <w:t>二、政府信息公开的组织领导和制度建设情况</w:t>
      </w:r>
    </w:p>
    <w:p>
      <w:pPr>
        <w:pStyle w:val="5"/>
        <w:widowControl/>
        <w:ind w:firstLine="640" w:firstLineChars="200"/>
        <w:rPr>
          <w:rFonts w:ascii="仿宋_GB2312" w:eastAsia="仿宋_GB2312"/>
          <w:b w:val="0"/>
          <w:bCs w:val="0"/>
          <w:sz w:val="32"/>
          <w:szCs w:val="32"/>
        </w:rPr>
      </w:pPr>
      <w:r>
        <w:rPr>
          <w:rFonts w:hint="eastAsia" w:ascii="楷体_GB2312" w:hAnsi="楷体" w:eastAsia="楷体_GB2312"/>
          <w:b w:val="0"/>
          <w:bCs w:val="0"/>
          <w:sz w:val="32"/>
          <w:szCs w:val="32"/>
        </w:rPr>
        <w:t>（一）强化组织领导。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局领导高度重视政府信息公开工作，明确主要负责人总负责、分管副局长牵头部署、有关科室具体落实的工作机制，为政府信息公开工作的顺利开展提供了组织和人员保障。</w:t>
      </w:r>
    </w:p>
    <w:p>
      <w:pPr>
        <w:pStyle w:val="5"/>
        <w:widowControl/>
        <w:ind w:firstLine="640"/>
        <w:rPr>
          <w:rFonts w:ascii="仿宋_GB2312" w:eastAsia="仿宋_GB2312"/>
          <w:b w:val="0"/>
          <w:bCs w:val="0"/>
          <w:sz w:val="32"/>
          <w:szCs w:val="32"/>
        </w:rPr>
      </w:pPr>
      <w:r>
        <w:rPr>
          <w:rFonts w:hint="eastAsia" w:ascii="楷体_GB2312" w:hAnsi="楷体" w:eastAsia="楷体_GB2312"/>
          <w:b w:val="0"/>
          <w:bCs w:val="0"/>
          <w:sz w:val="32"/>
          <w:szCs w:val="32"/>
        </w:rPr>
        <w:t>（二）加强制度建设。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</w:rPr>
        <w:t>为规范政府信息公开的内容、途径和保密工作相关要求，修改完善了《沂源县信访局保密制度》《沂源县信访局信息公开保密审查制度》，明确了信息公开范围、时间、程序、保密要求，确保政府信息公开工作持续良好开展。</w:t>
      </w:r>
    </w:p>
    <w:p>
      <w:pPr>
        <w:pStyle w:val="5"/>
        <w:widowControl/>
        <w:ind w:firstLine="640" w:firstLineChars="200"/>
        <w:rPr>
          <w:rFonts w:ascii="黑体" w:hAnsi="宋体" w:eastAsia="黑体"/>
          <w:b w:val="0"/>
          <w:bCs w:val="0"/>
          <w:sz w:val="32"/>
          <w:szCs w:val="32"/>
        </w:rPr>
      </w:pPr>
      <w:r>
        <w:rPr>
          <w:rFonts w:hint="eastAsia" w:ascii="黑体" w:hAnsi="宋体" w:eastAsia="黑体"/>
          <w:b w:val="0"/>
          <w:bCs w:val="0"/>
          <w:sz w:val="32"/>
          <w:szCs w:val="32"/>
        </w:rPr>
        <w:t>三、重点领域政府信息公开工作推进情况</w:t>
      </w:r>
    </w:p>
    <w:p>
      <w:pPr>
        <w:pStyle w:val="5"/>
        <w:widowControl/>
        <w:ind w:firstLine="640" w:firstLineChars="200"/>
        <w:rPr>
          <w:rFonts w:ascii="仿宋_GB2312" w:hAnsi="仿宋" w:eastAsia="仿宋_GB2312"/>
          <w:b w:val="0"/>
          <w:bCs w:val="0"/>
          <w:sz w:val="32"/>
          <w:szCs w:val="32"/>
        </w:rPr>
      </w:pPr>
      <w:r>
        <w:rPr>
          <w:rFonts w:hint="eastAsia" w:ascii="仿宋_GB2312" w:hAnsi="仿宋" w:eastAsia="仿宋_GB2312"/>
          <w:b w:val="0"/>
          <w:bCs w:val="0"/>
          <w:sz w:val="32"/>
          <w:szCs w:val="32"/>
        </w:rPr>
        <w:t xml:space="preserve">按照县政府财政部门要求，在淄博市预决算公开统一平台公开部门预决算报告，2018年公开“2017年沂源县信访局部门决算”和“2018年沂源县信访局部门预算”各1次。                        </w:t>
      </w:r>
    </w:p>
    <w:p>
      <w:pPr>
        <w:pStyle w:val="5"/>
        <w:widowControl/>
        <w:rPr>
          <w:rFonts w:ascii="黑体" w:hAnsi="宋体" w:eastAsia="黑体"/>
          <w:b w:val="0"/>
          <w:bCs w:val="0"/>
          <w:sz w:val="32"/>
          <w:szCs w:val="32"/>
        </w:rPr>
      </w:pPr>
      <w:r>
        <w:rPr>
          <w:rFonts w:ascii="仿宋" w:hAnsi="仿宋"/>
          <w:b w:val="0"/>
          <w:bCs w:val="0"/>
          <w:sz w:val="32"/>
          <w:szCs w:val="32"/>
        </w:rPr>
        <w:t xml:space="preserve">    </w:t>
      </w:r>
      <w:r>
        <w:rPr>
          <w:rFonts w:hint="eastAsia" w:ascii="黑体" w:hAnsi="宋体" w:eastAsia="黑体"/>
          <w:b w:val="0"/>
          <w:bCs w:val="0"/>
          <w:sz w:val="32"/>
          <w:szCs w:val="32"/>
        </w:rPr>
        <w:t>四、主动公开政府信息以及公开平台建设情况</w:t>
      </w:r>
    </w:p>
    <w:p>
      <w:pPr>
        <w:pStyle w:val="5"/>
        <w:widowControl/>
        <w:ind w:firstLine="640" w:firstLineChars="200"/>
        <w:rPr>
          <w:rFonts w:ascii="仿宋_GB2312" w:hAnsi="仿宋" w:eastAsia="仿宋_GB2312"/>
          <w:b w:val="0"/>
          <w:bCs w:val="0"/>
          <w:color w:val="FF0000"/>
          <w:sz w:val="32"/>
          <w:szCs w:val="32"/>
        </w:rPr>
      </w:pPr>
      <w:r>
        <w:rPr>
          <w:rFonts w:hint="eastAsia" w:ascii="楷体_GB2312" w:eastAsia="楷体_GB2312"/>
          <w:b w:val="0"/>
          <w:bCs w:val="0"/>
          <w:sz w:val="32"/>
          <w:szCs w:val="32"/>
        </w:rPr>
        <w:t>（一）主动公开政府信息。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</w:rPr>
        <w:t>2018年，根据县政府要求，主动在政府网站公开10条信息；在沂源通讯等大众媒体公开相关法规信息105次，初步统计阅读人数达37万人次；组织20余个部门、单位开展“信访法规赶大集”活动，分发宣传材料8000余份。</w:t>
      </w:r>
    </w:p>
    <w:p>
      <w:pPr>
        <w:pStyle w:val="5"/>
        <w:widowControl/>
        <w:ind w:firstLine="640" w:firstLineChars="200"/>
        <w:rPr>
          <w:rFonts w:ascii="楷体_GB2312" w:eastAsia="楷体_GB2312"/>
          <w:b w:val="0"/>
          <w:bCs w:val="0"/>
          <w:sz w:val="32"/>
          <w:szCs w:val="32"/>
        </w:rPr>
      </w:pPr>
      <w:r>
        <w:rPr>
          <w:rFonts w:hint="eastAsia" w:ascii="楷体_GB2312" w:eastAsia="楷体_GB2312"/>
          <w:b w:val="0"/>
          <w:bCs w:val="0"/>
          <w:sz w:val="32"/>
          <w:szCs w:val="32"/>
        </w:rPr>
        <w:t>（二）公开平台建设情况。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县信访局无门户网站。</w:t>
      </w:r>
    </w:p>
    <w:p>
      <w:pPr>
        <w:pStyle w:val="5"/>
        <w:widowControl/>
        <w:ind w:firstLine="640" w:firstLineChars="200"/>
        <w:rPr>
          <w:rFonts w:ascii="黑体" w:eastAsia="黑体"/>
          <w:b w:val="0"/>
          <w:bCs w:val="0"/>
          <w:sz w:val="32"/>
          <w:szCs w:val="32"/>
        </w:rPr>
      </w:pPr>
      <w:r>
        <w:rPr>
          <w:rFonts w:hint="eastAsia" w:ascii="黑体" w:eastAsia="黑体"/>
          <w:b w:val="0"/>
          <w:bCs w:val="0"/>
          <w:sz w:val="32"/>
          <w:szCs w:val="32"/>
        </w:rPr>
        <w:t>五、政府信息公开申请的办理情况</w:t>
      </w:r>
    </w:p>
    <w:p>
      <w:pPr>
        <w:pStyle w:val="5"/>
        <w:widowControl/>
        <w:ind w:firstLine="640" w:firstLineChars="200"/>
        <w:rPr>
          <w:rFonts w:ascii="仿宋_GB2312" w:hAnsi="仿宋" w:eastAsia="仿宋_GB2312"/>
          <w:b w:val="0"/>
          <w:bCs w:val="0"/>
          <w:sz w:val="32"/>
          <w:szCs w:val="32"/>
        </w:rPr>
      </w:pPr>
      <w:r>
        <w:rPr>
          <w:rFonts w:hint="eastAsia" w:ascii="仿宋_GB2312" w:hAnsi="仿宋" w:eastAsia="仿宋_GB2312"/>
          <w:b w:val="0"/>
          <w:bCs w:val="0"/>
          <w:sz w:val="32"/>
          <w:szCs w:val="32"/>
        </w:rPr>
        <w:t>2018年度未接到公民、法人或其他组织有关公开政府信息的申请。</w:t>
      </w:r>
    </w:p>
    <w:p>
      <w:pPr>
        <w:pStyle w:val="5"/>
        <w:widowControl/>
        <w:rPr>
          <w:b w:val="0"/>
          <w:bCs w:val="0"/>
        </w:rPr>
      </w:pPr>
      <w:r>
        <w:rPr>
          <w:rFonts w:hint="eastAsia" w:ascii="黑体" w:hAnsi="宋体" w:eastAsia="黑体"/>
          <w:b w:val="0"/>
          <w:bCs w:val="0"/>
          <w:sz w:val="32"/>
          <w:szCs w:val="32"/>
        </w:rPr>
        <w:t xml:space="preserve">    六、政府信息公开的收费及减免情况</w:t>
      </w:r>
    </w:p>
    <w:p>
      <w:pPr>
        <w:pStyle w:val="5"/>
        <w:widowControl/>
        <w:ind w:firstLine="640" w:firstLineChars="200"/>
        <w:rPr>
          <w:rFonts w:ascii="仿宋_GB2312" w:eastAsia="仿宋_GB2312"/>
          <w:b w:val="0"/>
          <w:bCs w:val="0"/>
        </w:rPr>
      </w:pPr>
      <w:r>
        <w:rPr>
          <w:rFonts w:hint="eastAsia" w:ascii="仿宋_GB2312" w:hAnsi="仿宋" w:eastAsia="仿宋_GB2312"/>
          <w:b w:val="0"/>
          <w:bCs w:val="0"/>
          <w:sz w:val="32"/>
          <w:szCs w:val="32"/>
        </w:rPr>
        <w:t>信访局无行政收费项目。</w:t>
      </w:r>
    </w:p>
    <w:p>
      <w:pPr>
        <w:pStyle w:val="5"/>
        <w:widowControl/>
        <w:rPr>
          <w:b w:val="0"/>
          <w:bCs w:val="0"/>
        </w:rPr>
      </w:pPr>
      <w:r>
        <w:rPr>
          <w:rFonts w:hint="eastAsia" w:ascii="黑体" w:hAnsi="宋体" w:eastAsia="黑体"/>
          <w:b w:val="0"/>
          <w:bCs w:val="0"/>
          <w:sz w:val="32"/>
          <w:szCs w:val="32"/>
        </w:rPr>
        <w:t xml:space="preserve">    七、因政府信息公开申请行政复议、提起行政诉讼的情况</w:t>
      </w:r>
    </w:p>
    <w:p>
      <w:pPr>
        <w:pStyle w:val="5"/>
        <w:widowControl/>
        <w:ind w:firstLine="640" w:firstLineChars="200"/>
        <w:rPr>
          <w:rFonts w:ascii="仿宋_GB2312" w:hAnsi="仿宋" w:eastAsia="仿宋_GB2312"/>
          <w:b w:val="0"/>
          <w:bCs w:val="0"/>
          <w:sz w:val="32"/>
          <w:szCs w:val="32"/>
        </w:rPr>
      </w:pPr>
      <w:r>
        <w:rPr>
          <w:rFonts w:hint="eastAsia" w:ascii="仿宋_GB2312" w:hAnsi="仿宋" w:eastAsia="仿宋_GB2312"/>
          <w:b w:val="0"/>
          <w:bCs w:val="0"/>
          <w:sz w:val="32"/>
          <w:szCs w:val="32"/>
        </w:rPr>
        <w:t>2018年度未接到有关公民、法人或其他组织就政府信息公开提起的行政复议、行政诉讼案件。</w:t>
      </w:r>
    </w:p>
    <w:p>
      <w:pPr>
        <w:pStyle w:val="5"/>
        <w:widowControl/>
        <w:ind w:left="420" w:leftChars="200"/>
        <w:rPr>
          <w:rFonts w:ascii="黑体" w:eastAsia="黑体"/>
          <w:b w:val="0"/>
          <w:bCs w:val="0"/>
          <w:sz w:val="32"/>
          <w:szCs w:val="32"/>
        </w:rPr>
      </w:pPr>
      <w:r>
        <w:rPr>
          <w:rFonts w:hint="eastAsia" w:ascii="黑体" w:eastAsia="黑体"/>
          <w:b w:val="0"/>
          <w:bCs w:val="0"/>
          <w:sz w:val="32"/>
          <w:szCs w:val="32"/>
        </w:rPr>
        <w:t xml:space="preserve">  八、政府信息公开保密审查及监督检查情况</w:t>
      </w:r>
    </w:p>
    <w:p>
      <w:pPr>
        <w:pStyle w:val="5"/>
        <w:widowControl/>
        <w:ind w:firstLine="640" w:firstLineChars="200"/>
        <w:jc w:val="both"/>
        <w:rPr>
          <w:rFonts w:asci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严格执行政府信息公开保密审查制度，坚持“先审查、后公开”原则，凡通过网站发布的政府信息一律通过严格审查、及时登记，由分管领导不定期对信息公开情况进行督导检查，确保了全年无一起泄密事件发生。</w:t>
      </w:r>
    </w:p>
    <w:p>
      <w:pPr>
        <w:pStyle w:val="5"/>
        <w:widowControl/>
        <w:ind w:firstLine="627" w:firstLineChars="196"/>
        <w:rPr>
          <w:rFonts w:ascii="黑体" w:eastAsia="黑体"/>
          <w:b w:val="0"/>
          <w:bCs w:val="0"/>
          <w:sz w:val="32"/>
          <w:szCs w:val="32"/>
        </w:rPr>
      </w:pPr>
      <w:r>
        <w:rPr>
          <w:rFonts w:hint="eastAsia" w:ascii="黑体" w:eastAsia="黑体"/>
          <w:b w:val="0"/>
          <w:bCs w:val="0"/>
          <w:sz w:val="32"/>
          <w:szCs w:val="32"/>
        </w:rPr>
        <w:t>九、政府信息公开工作存在的主要问题及改进情况</w:t>
      </w:r>
    </w:p>
    <w:p>
      <w:pPr>
        <w:pStyle w:val="5"/>
        <w:widowControl/>
        <w:ind w:firstLine="640" w:firstLineChars="200"/>
        <w:rPr>
          <w:rFonts w:ascii="仿宋_GB2312" w:eastAsia="仿宋_GB2312"/>
          <w:b w:val="0"/>
          <w:bCs w:val="0"/>
          <w:sz w:val="32"/>
          <w:szCs w:val="32"/>
        </w:rPr>
      </w:pPr>
      <w:bookmarkStart w:id="0" w:name="_GoBack"/>
      <w:r>
        <w:rPr>
          <w:rFonts w:hint="eastAsia" w:ascii="仿宋_GB2312" w:eastAsia="仿宋_GB2312"/>
          <w:b w:val="0"/>
          <w:bCs w:val="0"/>
          <w:sz w:val="32"/>
          <w:szCs w:val="32"/>
        </w:rPr>
        <w:t>2018年，信访局政府信息公开工作对照上级的要求和公众的期望，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仍然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存在不足和问题，主要是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公开内容和解读形势有待进一步丰富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。在以后的工作中我局将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进一步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健全信息公开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工作制度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，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不断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加强信访法规解读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水平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，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切实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提升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信访部门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政府信息公开水平。</w:t>
      </w:r>
    </w:p>
    <w:bookmarkEnd w:id="0"/>
    <w:p>
      <w:pPr>
        <w:pStyle w:val="5"/>
        <w:widowControl/>
        <w:ind w:firstLine="640" w:firstLineChars="200"/>
        <w:rPr>
          <w:rFonts w:ascii="黑体" w:eastAsia="黑体"/>
          <w:b w:val="0"/>
          <w:bCs w:val="0"/>
          <w:sz w:val="32"/>
          <w:szCs w:val="32"/>
        </w:rPr>
      </w:pPr>
      <w:r>
        <w:rPr>
          <w:rFonts w:hint="eastAsia" w:ascii="黑体" w:eastAsia="黑体"/>
          <w:b w:val="0"/>
          <w:bCs w:val="0"/>
          <w:sz w:val="32"/>
          <w:szCs w:val="32"/>
        </w:rPr>
        <w:t>十、需要说明的事项与附表</w:t>
      </w:r>
    </w:p>
    <w:p>
      <w:pPr>
        <w:pStyle w:val="5"/>
        <w:widowControl/>
        <w:ind w:firstLine="640" w:firstLineChars="200"/>
        <w:rPr>
          <w:rFonts w:ascii="仿宋_GB2312" w:hAnsi="仿宋" w:eastAsia="仿宋_GB2312"/>
          <w:b w:val="0"/>
          <w:bCs w:val="0"/>
          <w:sz w:val="32"/>
          <w:szCs w:val="32"/>
        </w:rPr>
      </w:pPr>
      <w:r>
        <w:rPr>
          <w:rFonts w:hint="eastAsia" w:ascii="仿宋_GB2312" w:hAnsi="仿宋" w:eastAsia="仿宋_GB2312"/>
          <w:b w:val="0"/>
          <w:bCs w:val="0"/>
          <w:sz w:val="32"/>
          <w:szCs w:val="32"/>
        </w:rPr>
        <w:t>附件：2018年政府信息公开工作情况统计表</w:t>
      </w:r>
    </w:p>
    <w:p>
      <w:pPr>
        <w:pStyle w:val="5"/>
        <w:widowControl/>
        <w:rPr>
          <w:rFonts w:ascii="仿宋_GB2312" w:hAnsi="仿宋" w:eastAsia="仿宋_GB2312"/>
          <w:b w:val="0"/>
          <w:bCs w:val="0"/>
          <w:sz w:val="32"/>
          <w:szCs w:val="32"/>
        </w:rPr>
      </w:pPr>
    </w:p>
    <w:p>
      <w:pPr>
        <w:pStyle w:val="5"/>
        <w:widowControl/>
        <w:ind w:firstLine="640" w:firstLineChars="200"/>
        <w:rPr>
          <w:rFonts w:ascii="仿宋" w:hAnsi="仿宋"/>
          <w:b w:val="0"/>
          <w:bCs w:val="0"/>
          <w:sz w:val="32"/>
          <w:szCs w:val="32"/>
        </w:rPr>
      </w:pPr>
      <w:r>
        <w:rPr>
          <w:rFonts w:ascii="仿宋" w:hAnsi="仿宋"/>
          <w:b w:val="0"/>
          <w:bCs w:val="0"/>
          <w:sz w:val="32"/>
          <w:szCs w:val="32"/>
        </w:rPr>
        <w:t xml:space="preserve">                              </w:t>
      </w:r>
    </w:p>
    <w:p>
      <w:pPr>
        <w:pStyle w:val="5"/>
        <w:widowControl/>
        <w:ind w:firstLine="640" w:firstLineChars="200"/>
        <w:rPr>
          <w:rFonts w:ascii="仿宋" w:hAnsi="仿宋"/>
          <w:b w:val="0"/>
          <w:bCs w:val="0"/>
          <w:sz w:val="32"/>
          <w:szCs w:val="32"/>
        </w:rPr>
      </w:pPr>
    </w:p>
    <w:p>
      <w:pPr>
        <w:pStyle w:val="5"/>
        <w:widowControl/>
        <w:ind w:firstLine="640" w:firstLineChars="200"/>
        <w:rPr>
          <w:rFonts w:ascii="仿宋" w:hAnsi="仿宋"/>
          <w:b w:val="0"/>
          <w:bCs w:val="0"/>
          <w:sz w:val="32"/>
          <w:szCs w:val="32"/>
        </w:rPr>
      </w:pPr>
    </w:p>
    <w:p>
      <w:pPr>
        <w:pStyle w:val="5"/>
        <w:widowControl/>
        <w:ind w:firstLine="640" w:firstLineChars="200"/>
        <w:rPr>
          <w:rFonts w:ascii="仿宋" w:hAnsi="仿宋"/>
          <w:b w:val="0"/>
          <w:bCs w:val="0"/>
          <w:sz w:val="32"/>
          <w:szCs w:val="32"/>
        </w:rPr>
      </w:pPr>
    </w:p>
    <w:p>
      <w:pPr>
        <w:pStyle w:val="5"/>
        <w:widowControl/>
        <w:ind w:firstLine="640" w:firstLineChars="200"/>
        <w:rPr>
          <w:rFonts w:ascii="仿宋" w:hAnsi="仿宋"/>
          <w:b w:val="0"/>
          <w:bCs w:val="0"/>
          <w:sz w:val="32"/>
          <w:szCs w:val="32"/>
        </w:rPr>
      </w:pPr>
    </w:p>
    <w:p>
      <w:pPr>
        <w:pStyle w:val="5"/>
        <w:widowControl/>
        <w:rPr>
          <w:rFonts w:ascii="仿宋_GB2312" w:hAnsi="仿宋" w:eastAsia="仿宋_GB2312"/>
          <w:b w:val="0"/>
          <w:bCs w:val="0"/>
          <w:sz w:val="32"/>
          <w:szCs w:val="32"/>
        </w:rPr>
      </w:pPr>
    </w:p>
    <w:p>
      <w:pPr>
        <w:pStyle w:val="5"/>
        <w:widowControl/>
        <w:rPr>
          <w:rFonts w:hint="eastAsia" w:ascii="黑体" w:hAnsi="黑体" w:eastAsia="黑体"/>
          <w:b w:val="0"/>
          <w:bCs w:val="0"/>
          <w:sz w:val="32"/>
          <w:szCs w:val="32"/>
        </w:rPr>
      </w:pPr>
    </w:p>
    <w:p>
      <w:pPr>
        <w:pStyle w:val="5"/>
        <w:widowControl/>
        <w:rPr>
          <w:rFonts w:ascii="黑体" w:hAnsi="黑体" w:eastAsia="黑体"/>
          <w:b w:val="0"/>
          <w:bCs w:val="0"/>
          <w:sz w:val="32"/>
          <w:szCs w:val="32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</w:rPr>
        <w:t>附件</w:t>
      </w:r>
    </w:p>
    <w:p>
      <w:pPr>
        <w:jc w:val="center"/>
        <w:rPr>
          <w:rFonts w:ascii="方正小标宋简体" w:hAnsi="方正小标宋简体" w:eastAsia="方正小标宋简体" w:cs="方正小标宋简体"/>
          <w:b w:val="0"/>
          <w:bCs w:val="0"/>
          <w:sz w:val="36"/>
          <w:szCs w:val="2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2018年度政府信息公开工作情况统计表</w:t>
      </w:r>
    </w:p>
    <w:tbl>
      <w:tblPr>
        <w:tblStyle w:val="6"/>
        <w:tblpPr w:leftFromText="180" w:rightFromText="180" w:vertAnchor="text" w:horzAnchor="page" w:tblpX="1228" w:tblpY="597"/>
        <w:tblOverlap w:val="never"/>
        <w:tblW w:w="0" w:type="auto"/>
        <w:tblInd w:w="0" w:type="dxa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3"/>
        <w:gridCol w:w="1002"/>
        <w:gridCol w:w="1015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黑体" w:hAnsi="黑体" w:eastAsia="黑体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b w:val="0"/>
                <w:bCs w:val="0"/>
                <w:sz w:val="24"/>
                <w:szCs w:val="24"/>
              </w:rPr>
              <w:t>统　计　指　标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黑体" w:hAnsi="黑体" w:eastAsia="黑体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b w:val="0"/>
                <w:bCs w:val="0"/>
                <w:sz w:val="24"/>
                <w:szCs w:val="24"/>
              </w:rPr>
              <w:t>单位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黑体" w:hAnsi="黑体" w:eastAsia="黑体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b w:val="0"/>
                <w:bCs w:val="0"/>
                <w:sz w:val="24"/>
                <w:szCs w:val="24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一、主动公开情况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</w:t>
            </w:r>
          </w:p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（一）主动公开政府信息数（不同渠道和方式公开相同信息计1条）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10　　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　　　　其中：主动公开规范性文件数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　　　　　　　制发规范性文件总数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（二）通过不同渠道和方式公开政府信息的情况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　　　1.政府公报公开政府信息数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　　　2.政府网站公开政府信息数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　　　3.政务微博公开政府信息数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　　　4.政务微信公开政府信息数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　　　5.其他方式公开政府信息数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二、回应解读情况（不同方式回应同一热点或舆情计1次）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single" w:color="auto" w:sz="0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ind w:right="120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ind w:firstLine="480" w:firstLineChars="200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（一）回应公众关注热点或重大舆情数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（二）通过不同渠道和方式回应解读的情况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　　　1.参加或举办新闻发布会总次数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　　　　其中：主要负责同志参加新闻发布会次数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　　　2.政府网站在线访谈次数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　　　　其中：主要负责同志参加政府网站在线访谈次数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　　　3.政策解读稿件发布数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篇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　　　4.微博微信回应事件数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　　　5.其他方式回应事件数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三、依申请公开情况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single" w:color="auto" w:sz="0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（一）收到申请数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　　　1.当面申请数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　　　2.传真申请数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　　　3.网络申请数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　　　4.信函申请数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5.其他形式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（二）申请办结数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　　　1.按时办结数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　　　2.延期办结数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（三）申请答复数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　　　1.属于已主动公开范围数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　　　2.同意公开答复数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　　　3.同意部分公开答复数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　　　4.不同意公开答复数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　　　　其中：涉及国家秘密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　　　　　　　涉及商业秘密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　　　　　　　涉及个人隐私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　　　　　　　危及国家安全、公共安全、经济安全和社会稳定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　　　　　　　不是《条例》所指政府信息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　　　　　　　法律法规规定的其他情形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　　　5.不属于本行政机关公开数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　　　6.申请信息不存在数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　　　7.告知作出更改补充数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　　　8.告知通过其他途径办理数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四、行政复议数量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五、行政诉讼数量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（一）维持具体行政行为或者驳回原告诉讼请求数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六、被举报投诉数量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（二）被纠错数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（三）其他情形数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七、向图书馆、档案馆等查阅场所报送信息数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（一）纸质文件数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（二）电子文件数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条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八、政府公报发行量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ind w:firstLine="480" w:firstLineChars="200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（一）公报发行期数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期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ind w:firstLine="480" w:firstLineChars="200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（二）公报发行总份数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份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九、设置政府信息查阅点数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个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ind w:firstLine="480" w:firstLineChars="200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（一）县直部门、单位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ind w:firstLine="480" w:firstLineChars="200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（二）街道、镇办及经济开发区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十、查阅点接待人数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ind w:firstLine="480" w:firstLineChars="200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（一）县直部门、单位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ind w:firstLine="480" w:firstLineChars="200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（二）街道、镇办及经济开发区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十二、机构建设和保障经费情况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（一）政府信息公开工作机构数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个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（二）从事政府信息公开工作人员数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　　　1.专职人员数（不包括政府网站工作人员数）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　　　2.兼职人员数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（三）政府信息公开专项经费（不包括政府网站建设维护等方面的经费）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万元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十三、政府信息公开会议和培训情况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（一）召开政府信息公开工作会议或专题会议数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（二）举办各类培训班数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　　（三）接受培训人员数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人次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48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0</w:t>
            </w:r>
          </w:p>
        </w:tc>
      </w:tr>
    </w:tbl>
    <w:p>
      <w:pPr>
        <w:spacing w:line="360" w:lineRule="auto"/>
        <w:rPr>
          <w:rFonts w:ascii="仿宋_GB2312" w:hAnsi="仿宋_GB2312" w:eastAsia="仿宋_GB2312" w:cs="仿宋_GB2312"/>
          <w:b w:val="0"/>
          <w:bCs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（注：各子栏目数要等于总栏目数量）</w:t>
      </w:r>
    </w:p>
    <w:p>
      <w:pPr>
        <w:spacing w:line="360" w:lineRule="auto"/>
        <w:rPr>
          <w:rFonts w:ascii="仿宋_GB2312" w:hAnsi="仿宋_GB2312" w:eastAsia="仿宋_GB2312" w:cs="仿宋_GB2312"/>
          <w:b w:val="0"/>
          <w:bCs w:val="0"/>
          <w:sz w:val="30"/>
          <w:szCs w:val="30"/>
        </w:rPr>
      </w:pPr>
    </w:p>
    <w:p>
      <w:pPr>
        <w:spacing w:line="560" w:lineRule="exact"/>
        <w:rPr>
          <w:rFonts w:ascii="仿宋_GB2312" w:eastAsia="仿宋_GB2312"/>
          <w:b w:val="0"/>
          <w:bCs w:val="0"/>
          <w:sz w:val="32"/>
          <w:szCs w:val="32"/>
        </w:rPr>
      </w:pPr>
    </w:p>
    <w:p>
      <w:pPr>
        <w:rPr>
          <w:b w:val="0"/>
          <w:bCs w:val="0"/>
        </w:rPr>
      </w:pPr>
    </w:p>
    <w:p>
      <w:pPr>
        <w:pStyle w:val="5"/>
        <w:widowControl/>
        <w:rPr>
          <w:rFonts w:ascii="仿宋_GB2312" w:hAnsi="仿宋" w:eastAsia="仿宋_GB2312"/>
          <w:b w:val="0"/>
          <w:bCs w:val="0"/>
          <w:sz w:val="32"/>
          <w:szCs w:val="32"/>
        </w:rPr>
      </w:pPr>
    </w:p>
    <w:sectPr>
      <w:pgSz w:w="11906" w:h="16838"/>
      <w:pgMar w:top="1984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E9E"/>
    <w:rsid w:val="0002197E"/>
    <w:rsid w:val="00022A22"/>
    <w:rsid w:val="00022CBA"/>
    <w:rsid w:val="000241AB"/>
    <w:rsid w:val="000C4DCC"/>
    <w:rsid w:val="001415B6"/>
    <w:rsid w:val="001B3A5E"/>
    <w:rsid w:val="001D2EB2"/>
    <w:rsid w:val="002618A3"/>
    <w:rsid w:val="00357682"/>
    <w:rsid w:val="003A668A"/>
    <w:rsid w:val="003C3F3F"/>
    <w:rsid w:val="003D478C"/>
    <w:rsid w:val="003F2A2E"/>
    <w:rsid w:val="00420183"/>
    <w:rsid w:val="00454417"/>
    <w:rsid w:val="00477BB9"/>
    <w:rsid w:val="004D5ABE"/>
    <w:rsid w:val="005353FF"/>
    <w:rsid w:val="00593E9E"/>
    <w:rsid w:val="005A154A"/>
    <w:rsid w:val="005A3A8E"/>
    <w:rsid w:val="005C1173"/>
    <w:rsid w:val="005E11BD"/>
    <w:rsid w:val="006966C0"/>
    <w:rsid w:val="006D2007"/>
    <w:rsid w:val="006E4C3B"/>
    <w:rsid w:val="007919CF"/>
    <w:rsid w:val="007B6003"/>
    <w:rsid w:val="007D5E34"/>
    <w:rsid w:val="00854B3B"/>
    <w:rsid w:val="00893FB5"/>
    <w:rsid w:val="008F1BCB"/>
    <w:rsid w:val="00900E64"/>
    <w:rsid w:val="0092557C"/>
    <w:rsid w:val="00926D72"/>
    <w:rsid w:val="00971AD4"/>
    <w:rsid w:val="00A649B9"/>
    <w:rsid w:val="00C11E1D"/>
    <w:rsid w:val="00CA52C3"/>
    <w:rsid w:val="00CE15ED"/>
    <w:rsid w:val="00D90BB3"/>
    <w:rsid w:val="00E73FB8"/>
    <w:rsid w:val="00F4032C"/>
    <w:rsid w:val="00F72CEC"/>
    <w:rsid w:val="00FE109F"/>
    <w:rsid w:val="19E924E0"/>
    <w:rsid w:val="334334B2"/>
    <w:rsid w:val="63FE1E53"/>
    <w:rsid w:val="6F19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qFormat/>
    <w:uiPriority w:val="0"/>
    <w:pPr>
      <w:jc w:val="left"/>
    </w:pPr>
    <w:rPr>
      <w:kern w:val="0"/>
      <w:sz w:val="24"/>
      <w:szCs w:val="24"/>
    </w:rPr>
  </w:style>
  <w:style w:type="table" w:styleId="7">
    <w:name w:val="Table Grid"/>
    <w:basedOn w:val="6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qFormat/>
    <w:uiPriority w:val="0"/>
    <w:rPr>
      <w:b/>
      <w:bCs/>
    </w:rPr>
  </w:style>
  <w:style w:type="character" w:customStyle="1" w:styleId="10">
    <w:name w:val="页眉 Char"/>
    <w:basedOn w:val="8"/>
    <w:link w:val="4"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qFormat/>
    <w:uiPriority w:val="99"/>
    <w:rPr>
      <w:sz w:val="18"/>
      <w:szCs w:val="18"/>
    </w:rPr>
  </w:style>
  <w:style w:type="paragraph" w:customStyle="1" w:styleId="12">
    <w:name w:val="普通(网站)1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3">
    <w:name w:val="批注框文本 Char"/>
    <w:basedOn w:val="8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197</Words>
  <Characters>1124</Characters>
  <Lines>9</Lines>
  <Paragraphs>2</Paragraphs>
  <TotalTime>7</TotalTime>
  <ScaleCrop>false</ScaleCrop>
  <LinksUpToDate>false</LinksUpToDate>
  <CharactersWithSpaces>1319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2018-12-26T01:59:00Z</dcterms:created>
  <dc:creator>yybxk</dc:creator>
  <cp:lastModifiedBy>Administrator</cp:lastModifiedBy>
  <cp:lastPrinted>2019-01-16T00:55:00Z</cp:lastPrinted>
  <dcterms:modified xsi:type="dcterms:W3CDTF">2020-12-09T06:08:33Z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