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b w:val="0"/>
          <w:bCs w:val="0"/>
          <w:color w:val="auto"/>
        </w:rPr>
      </w:pPr>
      <w:r>
        <w:rPr>
          <w:b w:val="0"/>
          <w:bCs w:val="0"/>
          <w:color w:val="auto"/>
        </w:rPr>
        <w:t> </w:t>
      </w:r>
    </w:p>
    <w:p>
      <w:pPr>
        <w:pStyle w:val="2"/>
        <w:keepNext w:val="0"/>
        <w:keepLines w:val="0"/>
        <w:widowControl/>
        <w:suppressLineNumbers w:val="0"/>
        <w:spacing w:line="630" w:lineRule="atLeast"/>
        <w:jc w:val="center"/>
        <w:rPr>
          <w:rStyle w:val="5"/>
          <w:rFonts w:ascii="黑体" w:hAnsi="宋体" w:eastAsia="黑体" w:cs="黑体"/>
          <w:b w:val="0"/>
          <w:bCs w:val="0"/>
          <w:color w:val="auto"/>
          <w:sz w:val="43"/>
          <w:szCs w:val="43"/>
        </w:rPr>
      </w:pPr>
      <w:r>
        <w:rPr>
          <w:rStyle w:val="5"/>
          <w:rFonts w:ascii="黑体" w:hAnsi="宋体" w:eastAsia="黑体" w:cs="黑体"/>
          <w:b w:val="0"/>
          <w:bCs w:val="0"/>
          <w:color w:val="auto"/>
          <w:sz w:val="43"/>
          <w:szCs w:val="43"/>
        </w:rPr>
        <w:t>沂源县</w:t>
      </w:r>
      <w:r>
        <w:rPr>
          <w:rStyle w:val="5"/>
          <w:rFonts w:hint="eastAsia" w:ascii="黑体" w:hAnsi="宋体" w:eastAsia="黑体" w:cs="黑体"/>
          <w:b w:val="0"/>
          <w:bCs w:val="0"/>
          <w:color w:val="auto"/>
          <w:sz w:val="43"/>
          <w:szCs w:val="43"/>
          <w:lang w:eastAsia="zh-CN"/>
        </w:rPr>
        <w:t>信访局</w:t>
      </w:r>
      <w:r>
        <w:rPr>
          <w:rStyle w:val="5"/>
          <w:rFonts w:ascii="黑体" w:hAnsi="宋体" w:eastAsia="黑体" w:cs="黑体"/>
          <w:b w:val="0"/>
          <w:bCs w:val="0"/>
          <w:color w:val="auto"/>
          <w:sz w:val="43"/>
          <w:szCs w:val="43"/>
        </w:rPr>
        <w:t>2019年政府信息公开工作</w:t>
      </w:r>
    </w:p>
    <w:p>
      <w:pPr>
        <w:pStyle w:val="2"/>
        <w:keepNext w:val="0"/>
        <w:keepLines w:val="0"/>
        <w:widowControl/>
        <w:suppressLineNumbers w:val="0"/>
        <w:spacing w:line="630" w:lineRule="atLeast"/>
        <w:jc w:val="center"/>
        <w:rPr>
          <w:b w:val="0"/>
          <w:bCs w:val="0"/>
          <w:color w:val="auto"/>
        </w:rPr>
      </w:pPr>
      <w:r>
        <w:rPr>
          <w:rStyle w:val="5"/>
          <w:rFonts w:ascii="黑体" w:hAnsi="宋体" w:eastAsia="黑体" w:cs="黑体"/>
          <w:b w:val="0"/>
          <w:bCs w:val="0"/>
          <w:color w:val="auto"/>
          <w:sz w:val="43"/>
          <w:szCs w:val="43"/>
        </w:rPr>
        <w:t>年度报告</w:t>
      </w:r>
    </w:p>
    <w:p>
      <w:pPr>
        <w:pStyle w:val="2"/>
        <w:keepNext w:val="0"/>
        <w:keepLines w:val="0"/>
        <w:widowControl/>
        <w:suppressLineNumbers w:val="0"/>
        <w:rPr>
          <w:rStyle w:val="5"/>
          <w:rFonts w:ascii="仿宋" w:hAnsi="仿宋" w:eastAsia="仿宋" w:cs="仿宋"/>
          <w:b w:val="0"/>
          <w:bCs w:val="0"/>
          <w:color w:val="auto"/>
          <w:sz w:val="31"/>
          <w:szCs w:val="31"/>
        </w:rPr>
      </w:pPr>
      <w:r>
        <w:rPr>
          <w:rStyle w:val="5"/>
          <w:rFonts w:ascii="仿宋" w:hAnsi="仿宋" w:eastAsia="仿宋" w:cs="仿宋"/>
          <w:b w:val="0"/>
          <w:bCs w:val="0"/>
          <w:color w:val="auto"/>
          <w:sz w:val="31"/>
          <w:szCs w:val="31"/>
        </w:rPr>
        <w:t>     </w:t>
      </w:r>
    </w:p>
    <w:p>
      <w:pPr>
        <w:pStyle w:val="2"/>
        <w:keepNext w:val="0"/>
        <w:keepLines w:val="0"/>
        <w:widowControl/>
        <w:suppressLineNumbers w:val="0"/>
        <w:ind w:firstLine="620" w:firstLineChars="200"/>
        <w:rPr>
          <w:rFonts w:hint="eastAsia" w:eastAsia="仿宋"/>
          <w:b w:val="0"/>
          <w:bCs w:val="0"/>
          <w:color w:val="auto"/>
          <w:lang w:val="en-US" w:eastAsia="zh-CN"/>
        </w:rPr>
      </w:pPr>
      <w:r>
        <w:rPr>
          <w:rStyle w:val="5"/>
          <w:rFonts w:ascii="仿宋" w:hAnsi="仿宋" w:eastAsia="仿宋" w:cs="仿宋"/>
          <w:b w:val="0"/>
          <w:bCs w:val="0"/>
          <w:color w:val="auto"/>
          <w:sz w:val="31"/>
          <w:szCs w:val="31"/>
        </w:rPr>
        <w:t>本报告按照新修订的《中华人民共和国政府信息公开条例》（以下简称《条例》）和《山东省政府信息公开办法》（以下简称《办法》）规定，</w:t>
      </w:r>
      <w:r>
        <w:rPr>
          <w:rStyle w:val="5"/>
          <w:rFonts w:hint="eastAsia" w:ascii="仿宋" w:hAnsi="仿宋" w:eastAsia="仿宋" w:cs="仿宋"/>
          <w:b w:val="0"/>
          <w:bCs w:val="0"/>
          <w:color w:val="auto"/>
          <w:sz w:val="31"/>
          <w:szCs w:val="31"/>
        </w:rPr>
        <w:t>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2019年1月1日始，至2019年12月31日止。报告电子版可从沂源县人民政府门户网站（www.yiyuan.gov.cn）下载。</w:t>
      </w:r>
    </w:p>
    <w:p>
      <w:pPr>
        <w:pStyle w:val="2"/>
        <w:keepNext w:val="0"/>
        <w:keepLines w:val="0"/>
        <w:widowControl/>
        <w:numPr>
          <w:ilvl w:val="0"/>
          <w:numId w:val="0"/>
        </w:numPr>
        <w:suppressLineNumbers w:val="0"/>
        <w:ind w:right="0" w:rightChars="0" w:firstLine="620" w:firstLineChars="200"/>
        <w:rPr>
          <w:rStyle w:val="5"/>
          <w:rFonts w:hint="eastAsia" w:ascii="黑体" w:hAnsi="宋体" w:eastAsia="黑体" w:cs="黑体"/>
          <w:b w:val="0"/>
          <w:bCs w:val="0"/>
          <w:color w:val="auto"/>
          <w:sz w:val="31"/>
          <w:szCs w:val="31"/>
          <w:lang w:eastAsia="zh-CN"/>
        </w:rPr>
      </w:pPr>
      <w:r>
        <w:rPr>
          <w:rStyle w:val="5"/>
          <w:rFonts w:hint="eastAsia" w:ascii="黑体" w:hAnsi="宋体" w:eastAsia="黑体" w:cs="黑体"/>
          <w:b w:val="0"/>
          <w:bCs w:val="0"/>
          <w:color w:val="auto"/>
          <w:sz w:val="31"/>
          <w:szCs w:val="31"/>
          <w:lang w:eastAsia="zh-CN"/>
        </w:rPr>
        <w:t>一、</w:t>
      </w:r>
      <w:r>
        <w:rPr>
          <w:rStyle w:val="5"/>
          <w:rFonts w:hint="eastAsia" w:ascii="黑体" w:hAnsi="宋体" w:eastAsia="黑体" w:cs="黑体"/>
          <w:b w:val="0"/>
          <w:bCs w:val="0"/>
          <w:color w:val="auto"/>
          <w:sz w:val="31"/>
          <w:szCs w:val="31"/>
        </w:rPr>
        <w:t>总体情况</w:t>
      </w:r>
    </w:p>
    <w:p>
      <w:pPr>
        <w:pStyle w:val="2"/>
        <w:keepNext w:val="0"/>
        <w:keepLines w:val="0"/>
        <w:widowControl/>
        <w:numPr>
          <w:ilvl w:val="0"/>
          <w:numId w:val="0"/>
        </w:numPr>
        <w:suppressLineNumbers w:val="0"/>
        <w:ind w:right="0" w:rightChars="0" w:firstLine="620" w:firstLineChars="200"/>
        <w:rPr>
          <w:rStyle w:val="5"/>
          <w:rFonts w:hint="eastAsia" w:ascii="楷体_GB2312" w:hAnsi="楷体_GB2312" w:eastAsia="楷体_GB2312" w:cs="楷体_GB2312"/>
          <w:b w:val="0"/>
          <w:bCs w:val="0"/>
          <w:color w:val="auto"/>
          <w:sz w:val="31"/>
          <w:szCs w:val="31"/>
          <w:lang w:eastAsia="zh-CN"/>
        </w:rPr>
      </w:pPr>
      <w:r>
        <w:rPr>
          <w:rStyle w:val="5"/>
          <w:rFonts w:hint="eastAsia" w:ascii="楷体_GB2312" w:hAnsi="楷体_GB2312" w:eastAsia="楷体_GB2312" w:cs="楷体_GB2312"/>
          <w:b w:val="0"/>
          <w:bCs w:val="0"/>
          <w:color w:val="auto"/>
          <w:sz w:val="31"/>
          <w:szCs w:val="31"/>
          <w:lang w:eastAsia="zh-CN"/>
        </w:rPr>
        <w:t>（一）</w:t>
      </w:r>
      <w:r>
        <w:rPr>
          <w:rStyle w:val="5"/>
          <w:rFonts w:hint="eastAsia" w:ascii="楷体_GB2312" w:hAnsi="楷体_GB2312" w:eastAsia="楷体_GB2312" w:cs="楷体_GB2312"/>
          <w:b w:val="0"/>
          <w:bCs w:val="0"/>
          <w:color w:val="auto"/>
          <w:sz w:val="31"/>
          <w:szCs w:val="31"/>
        </w:rPr>
        <w:t>主动公开</w:t>
      </w:r>
      <w:r>
        <w:rPr>
          <w:rStyle w:val="5"/>
          <w:rFonts w:hint="eastAsia" w:ascii="楷体_GB2312" w:hAnsi="楷体_GB2312" w:eastAsia="楷体_GB2312" w:cs="楷体_GB2312"/>
          <w:b w:val="0"/>
          <w:bCs w:val="0"/>
          <w:color w:val="auto"/>
          <w:sz w:val="31"/>
          <w:szCs w:val="31"/>
          <w:lang w:eastAsia="zh-CN"/>
        </w:rPr>
        <w:t>内容</w:t>
      </w:r>
    </w:p>
    <w:p>
      <w:pPr>
        <w:pStyle w:val="2"/>
        <w:keepNext w:val="0"/>
        <w:keepLines w:val="0"/>
        <w:widowControl/>
        <w:suppressLineNumbers w:val="0"/>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本年度</w:t>
      </w:r>
      <w:r>
        <w:rPr>
          <w:rFonts w:hint="eastAsia" w:ascii="仿宋_GB2312" w:hAnsi="仿宋_GB2312" w:eastAsia="仿宋_GB2312" w:cs="仿宋_GB2312"/>
          <w:b w:val="0"/>
          <w:bCs w:val="0"/>
          <w:color w:val="auto"/>
          <w:sz w:val="32"/>
          <w:szCs w:val="32"/>
        </w:rPr>
        <w:t>主动公开政府信息</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条，其中，</w:t>
      </w:r>
      <w:r>
        <w:rPr>
          <w:rFonts w:hint="eastAsia" w:ascii="仿宋_GB2312" w:hAnsi="仿宋_GB2312" w:eastAsia="仿宋_GB2312" w:cs="仿宋_GB2312"/>
          <w:b w:val="0"/>
          <w:bCs w:val="0"/>
          <w:color w:val="auto"/>
          <w:sz w:val="32"/>
          <w:szCs w:val="32"/>
          <w:lang w:eastAsia="zh-CN"/>
        </w:rPr>
        <w:t>部门会议</w:t>
      </w:r>
      <w:r>
        <w:rPr>
          <w:rFonts w:hint="eastAsia" w:ascii="仿宋_GB2312" w:hAnsi="仿宋_GB2312" w:eastAsia="仿宋_GB2312" w:cs="仿宋_GB2312"/>
          <w:b w:val="0"/>
          <w:bCs w:val="0"/>
          <w:color w:val="auto"/>
          <w:sz w:val="32"/>
          <w:szCs w:val="32"/>
          <w:lang w:val="en-US" w:eastAsia="zh-CN"/>
        </w:rPr>
        <w:t>1条、公示公告15条、领导分工1条、部门文件1条、机构概况1条，公开年报1条</w:t>
      </w:r>
      <w:r>
        <w:rPr>
          <w:rFonts w:hint="eastAsia" w:ascii="仿宋_GB2312" w:hAnsi="仿宋_GB2312" w:eastAsia="仿宋_GB2312" w:cs="仿宋_GB2312"/>
          <w:b w:val="0"/>
          <w:bCs w:val="0"/>
          <w:color w:val="auto"/>
          <w:sz w:val="32"/>
          <w:szCs w:val="32"/>
        </w:rPr>
        <w:t>。</w:t>
      </w:r>
    </w:p>
    <w:p>
      <w:pPr>
        <w:pStyle w:val="2"/>
        <w:keepNext w:val="0"/>
        <w:keepLines w:val="0"/>
        <w:widowControl/>
        <w:suppressLineNumbers w:val="0"/>
        <w:ind w:firstLine="640" w:firstLineChars="200"/>
        <w:rPr>
          <w:rStyle w:val="5"/>
          <w:rFonts w:hint="eastAsia" w:ascii="楷体_GB2312" w:hAnsi="楷体_GB2312" w:eastAsia="楷体_GB2312" w:cs="楷体_GB2312"/>
          <w:b w:val="0"/>
          <w:bCs w:val="0"/>
          <w:color w:val="auto"/>
          <w:sz w:val="31"/>
          <w:szCs w:val="31"/>
        </w:rPr>
      </w:pPr>
      <w:r>
        <w:rPr>
          <w:rFonts w:hint="eastAsia" w:ascii="楷体_GB2312" w:hAnsi="楷体_GB2312" w:eastAsia="楷体_GB2312" w:cs="楷体_GB2312"/>
          <w:b w:val="0"/>
          <w:bCs w:val="0"/>
          <w:color w:val="auto"/>
          <w:sz w:val="32"/>
          <w:szCs w:val="32"/>
          <w:lang w:eastAsia="zh-CN"/>
        </w:rPr>
        <w:t>（二）</w:t>
      </w:r>
      <w:r>
        <w:rPr>
          <w:rStyle w:val="5"/>
          <w:rFonts w:hint="eastAsia" w:ascii="楷体_GB2312" w:hAnsi="楷体_GB2312" w:eastAsia="楷体_GB2312" w:cs="楷体_GB2312"/>
          <w:b w:val="0"/>
          <w:bCs w:val="0"/>
          <w:color w:val="auto"/>
          <w:sz w:val="31"/>
          <w:szCs w:val="31"/>
        </w:rPr>
        <w:t>依申请公开情况</w:t>
      </w:r>
    </w:p>
    <w:p>
      <w:pPr>
        <w:pStyle w:val="2"/>
        <w:keepNext w:val="0"/>
        <w:keepLines w:val="0"/>
        <w:widowControl/>
        <w:numPr>
          <w:ilvl w:val="0"/>
          <w:numId w:val="0"/>
        </w:numPr>
        <w:suppressLineNumbers w:val="0"/>
        <w:ind w:right="0" w:rightChars="0" w:firstLine="640" w:firstLineChars="200"/>
        <w:rPr>
          <w:rStyle w:val="5"/>
          <w:rFonts w:hint="default" w:ascii="黑体" w:hAnsi="宋体" w:eastAsia="黑体" w:cs="黑体"/>
          <w:b w:val="0"/>
          <w:bCs w:val="0"/>
          <w:color w:val="auto"/>
          <w:sz w:val="31"/>
          <w:szCs w:val="31"/>
          <w:lang w:val="en-US" w:eastAsia="zh-CN"/>
        </w:rPr>
      </w:pPr>
      <w:r>
        <w:rPr>
          <w:rFonts w:hint="eastAsia" w:ascii="仿宋_GB2312" w:hAnsi="仿宋_GB2312" w:eastAsia="仿宋_GB2312" w:cs="仿宋_GB2312"/>
          <w:b w:val="0"/>
          <w:bCs w:val="0"/>
          <w:color w:val="auto"/>
          <w:sz w:val="32"/>
          <w:szCs w:val="32"/>
          <w:lang w:eastAsia="zh-CN"/>
        </w:rPr>
        <w:t>本年度未接到公民、法人或其他组织有关公开政府信息的申请。</w:t>
      </w:r>
    </w:p>
    <w:p>
      <w:pPr>
        <w:pStyle w:val="2"/>
        <w:keepNext w:val="0"/>
        <w:keepLines w:val="0"/>
        <w:widowControl/>
        <w:numPr>
          <w:ilvl w:val="0"/>
          <w:numId w:val="0"/>
        </w:numPr>
        <w:suppressLineNumbers w:val="0"/>
        <w:ind w:right="0" w:rightChars="0" w:firstLine="620" w:firstLineChars="200"/>
        <w:rPr>
          <w:rStyle w:val="5"/>
          <w:rFonts w:hint="eastAsia" w:ascii="楷体_GB2312" w:hAnsi="楷体_GB2312" w:eastAsia="楷体_GB2312" w:cs="楷体_GB2312"/>
          <w:b w:val="0"/>
          <w:bCs w:val="0"/>
          <w:color w:val="auto"/>
          <w:sz w:val="31"/>
          <w:szCs w:val="31"/>
        </w:rPr>
      </w:pPr>
      <w:r>
        <w:rPr>
          <w:rStyle w:val="5"/>
          <w:rFonts w:hint="eastAsia" w:ascii="楷体_GB2312" w:hAnsi="楷体_GB2312" w:eastAsia="楷体_GB2312" w:cs="楷体_GB2312"/>
          <w:b w:val="0"/>
          <w:bCs w:val="0"/>
          <w:color w:val="auto"/>
          <w:sz w:val="31"/>
          <w:szCs w:val="31"/>
          <w:lang w:eastAsia="zh-CN"/>
        </w:rPr>
        <w:t>（三）</w:t>
      </w:r>
      <w:r>
        <w:rPr>
          <w:rStyle w:val="5"/>
          <w:rFonts w:hint="eastAsia" w:ascii="楷体_GB2312" w:hAnsi="楷体_GB2312" w:eastAsia="楷体_GB2312" w:cs="楷体_GB2312"/>
          <w:b w:val="0"/>
          <w:bCs w:val="0"/>
          <w:color w:val="auto"/>
          <w:sz w:val="31"/>
          <w:szCs w:val="31"/>
        </w:rPr>
        <w:t>政府信息管理情况</w:t>
      </w:r>
    </w:p>
    <w:p>
      <w:pPr>
        <w:pStyle w:val="2"/>
        <w:keepNext w:val="0"/>
        <w:keepLines w:val="0"/>
        <w:widowControl/>
        <w:numPr>
          <w:ilvl w:val="0"/>
          <w:numId w:val="0"/>
        </w:numPr>
        <w:suppressLineNumbers w:val="0"/>
        <w:ind w:right="0" w:righ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认真贯彻落实</w:t>
      </w:r>
      <w:r>
        <w:rPr>
          <w:rFonts w:hint="eastAsia" w:ascii="仿宋_GB2312" w:hAnsi="仿宋_GB2312" w:eastAsia="仿宋_GB2312" w:cs="仿宋_GB2312"/>
          <w:b w:val="0"/>
          <w:bCs w:val="0"/>
          <w:color w:val="auto"/>
          <w:sz w:val="32"/>
          <w:szCs w:val="32"/>
          <w:u w:val="none"/>
        </w:rPr>
        <w:t>《中华人民共和国政府信息公开条例》，</w:t>
      </w:r>
      <w:r>
        <w:rPr>
          <w:rFonts w:hint="eastAsia" w:ascii="仿宋_GB2312" w:hAnsi="仿宋_GB2312" w:eastAsia="仿宋_GB2312" w:cs="仿宋_GB2312"/>
          <w:b w:val="0"/>
          <w:bCs w:val="0"/>
          <w:color w:val="auto"/>
          <w:sz w:val="32"/>
          <w:szCs w:val="32"/>
          <w:lang w:eastAsia="zh-CN"/>
        </w:rPr>
        <w:t>对《县信访局信息公开保密审查制度》等规章制度进行了完善，</w:t>
      </w:r>
      <w:r>
        <w:rPr>
          <w:rFonts w:hint="eastAsia" w:ascii="仿宋_GB2312" w:hAnsi="仿宋_GB2312" w:eastAsia="仿宋_GB2312" w:cs="仿宋_GB2312"/>
          <w:b w:val="0"/>
          <w:bCs w:val="0"/>
          <w:color w:val="auto"/>
          <w:sz w:val="32"/>
          <w:szCs w:val="32"/>
        </w:rPr>
        <w:t>明确要求局机关各科室将年度重点信访工作和与群众利益密切相关的信息、政策及制度进行依法公开，对公开的内容、形式、时间进行了统一要求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确保了信息公开工作的扎实有效开展。</w:t>
      </w:r>
    </w:p>
    <w:p>
      <w:pPr>
        <w:pStyle w:val="2"/>
        <w:keepNext w:val="0"/>
        <w:keepLines w:val="0"/>
        <w:widowControl/>
        <w:numPr>
          <w:ilvl w:val="0"/>
          <w:numId w:val="0"/>
        </w:numPr>
        <w:suppressLineNumbers w:val="0"/>
        <w:ind w:right="0" w:rightChars="0" w:firstLine="640" w:firstLineChars="200"/>
        <w:rPr>
          <w:rStyle w:val="5"/>
          <w:rFonts w:hint="eastAsia" w:ascii="楷体_GB2312" w:hAnsi="楷体_GB2312" w:eastAsia="楷体_GB2312" w:cs="楷体_GB2312"/>
          <w:b w:val="0"/>
          <w:bCs w:val="0"/>
          <w:color w:val="auto"/>
          <w:sz w:val="31"/>
          <w:szCs w:val="31"/>
          <w:lang w:eastAsia="zh-CN"/>
        </w:rPr>
      </w:pPr>
      <w:r>
        <w:rPr>
          <w:rFonts w:hint="eastAsia" w:ascii="楷体_GB2312" w:hAnsi="楷体_GB2312" w:eastAsia="楷体_GB2312" w:cs="楷体_GB2312"/>
          <w:b w:val="0"/>
          <w:bCs w:val="0"/>
          <w:color w:val="auto"/>
          <w:sz w:val="32"/>
          <w:szCs w:val="32"/>
          <w:lang w:eastAsia="zh-CN"/>
        </w:rPr>
        <w:t>（四）</w:t>
      </w:r>
      <w:r>
        <w:rPr>
          <w:rStyle w:val="5"/>
          <w:rFonts w:hint="eastAsia" w:ascii="楷体_GB2312" w:hAnsi="楷体_GB2312" w:eastAsia="楷体_GB2312" w:cs="楷体_GB2312"/>
          <w:b w:val="0"/>
          <w:bCs w:val="0"/>
          <w:color w:val="auto"/>
          <w:sz w:val="31"/>
          <w:szCs w:val="31"/>
          <w:lang w:eastAsia="zh-CN"/>
        </w:rPr>
        <w:t>政府信息公开</w:t>
      </w:r>
      <w:r>
        <w:rPr>
          <w:rStyle w:val="5"/>
          <w:rFonts w:hint="eastAsia" w:ascii="楷体_GB2312" w:hAnsi="楷体_GB2312" w:eastAsia="楷体_GB2312" w:cs="楷体_GB2312"/>
          <w:b w:val="0"/>
          <w:bCs w:val="0"/>
          <w:color w:val="auto"/>
          <w:sz w:val="31"/>
          <w:szCs w:val="31"/>
        </w:rPr>
        <w:t>平台</w:t>
      </w:r>
      <w:r>
        <w:rPr>
          <w:rStyle w:val="5"/>
          <w:rFonts w:hint="eastAsia" w:ascii="楷体_GB2312" w:hAnsi="楷体_GB2312" w:eastAsia="楷体_GB2312" w:cs="楷体_GB2312"/>
          <w:b w:val="0"/>
          <w:bCs w:val="0"/>
          <w:color w:val="auto"/>
          <w:sz w:val="31"/>
          <w:szCs w:val="31"/>
          <w:lang w:eastAsia="zh-CN"/>
        </w:rPr>
        <w:t>、机构建设和人员情况</w:t>
      </w:r>
    </w:p>
    <w:p>
      <w:pPr>
        <w:pStyle w:val="2"/>
        <w:keepNext w:val="0"/>
        <w:keepLines w:val="0"/>
        <w:widowControl/>
        <w:suppressLineNumbers w:val="0"/>
        <w:rPr>
          <w:rStyle w:val="5"/>
          <w:rFonts w:hint="default" w:ascii="仿宋" w:hAnsi="仿宋" w:eastAsia="仿宋" w:cs="仿宋"/>
          <w:b w:val="0"/>
          <w:bCs w:val="0"/>
          <w:color w:val="auto"/>
          <w:sz w:val="31"/>
          <w:szCs w:val="31"/>
          <w:lang w:val="en-US" w:eastAsia="zh-CN"/>
        </w:rPr>
      </w:pPr>
      <w:r>
        <w:rPr>
          <w:rStyle w:val="5"/>
          <w:rFonts w:hint="eastAsia" w:ascii="仿宋" w:hAnsi="仿宋" w:eastAsia="仿宋" w:cs="仿宋"/>
          <w:b w:val="0"/>
          <w:bCs w:val="0"/>
          <w:color w:val="auto"/>
          <w:sz w:val="31"/>
          <w:szCs w:val="31"/>
          <w:lang w:val="en-US" w:eastAsia="zh-CN"/>
        </w:rPr>
        <w:t xml:space="preserve">    成立政务信息公开工作领导小组，由主要负责同志任组长，明确局办公室为局政务信息公开工作负责机构，</w:t>
      </w:r>
      <w:r>
        <w:rPr>
          <w:rFonts w:hint="eastAsia" w:ascii="仿宋_GB2312" w:hAnsi="仿宋_GB2312" w:eastAsia="仿宋_GB2312" w:cs="仿宋_GB2312"/>
          <w:b w:val="0"/>
          <w:bCs w:val="0"/>
          <w:color w:val="auto"/>
          <w:sz w:val="32"/>
          <w:szCs w:val="32"/>
        </w:rPr>
        <w:t>确定专人具体负责</w:t>
      </w:r>
      <w:r>
        <w:rPr>
          <w:rFonts w:hint="eastAsia" w:ascii="仿宋_GB2312" w:hAnsi="仿宋_GB2312" w:eastAsia="仿宋_GB2312" w:cs="仿宋_GB2312"/>
          <w:b w:val="0"/>
          <w:bCs w:val="0"/>
          <w:color w:val="auto"/>
          <w:sz w:val="32"/>
          <w:szCs w:val="32"/>
          <w:lang w:eastAsia="zh-CN"/>
        </w:rPr>
        <w:t>政府信息公开工作，</w:t>
      </w:r>
    </w:p>
    <w:p>
      <w:pPr>
        <w:pStyle w:val="2"/>
        <w:keepNext w:val="0"/>
        <w:keepLines w:val="0"/>
        <w:widowControl/>
        <w:numPr>
          <w:ilvl w:val="0"/>
          <w:numId w:val="0"/>
        </w:numPr>
        <w:suppressLineNumbers w:val="0"/>
        <w:ind w:right="0" w:rightChars="0" w:firstLine="620" w:firstLineChars="200"/>
        <w:rPr>
          <w:rStyle w:val="5"/>
          <w:rFonts w:hint="eastAsia" w:ascii="楷体_GB2312" w:hAnsi="楷体_GB2312" w:eastAsia="楷体_GB2312" w:cs="楷体_GB2312"/>
          <w:b w:val="0"/>
          <w:bCs w:val="0"/>
          <w:color w:val="auto"/>
          <w:sz w:val="31"/>
          <w:szCs w:val="31"/>
        </w:rPr>
      </w:pPr>
      <w:r>
        <w:rPr>
          <w:rStyle w:val="5"/>
          <w:rFonts w:hint="eastAsia" w:ascii="楷体_GB2312" w:hAnsi="楷体_GB2312" w:eastAsia="楷体_GB2312" w:cs="楷体_GB2312"/>
          <w:b w:val="0"/>
          <w:bCs w:val="0"/>
          <w:color w:val="auto"/>
          <w:sz w:val="31"/>
          <w:szCs w:val="31"/>
          <w:lang w:eastAsia="zh-CN"/>
        </w:rPr>
        <w:t>（五）</w:t>
      </w:r>
      <w:r>
        <w:rPr>
          <w:rStyle w:val="5"/>
          <w:rFonts w:hint="eastAsia" w:ascii="楷体_GB2312" w:hAnsi="楷体_GB2312" w:eastAsia="楷体_GB2312" w:cs="楷体_GB2312"/>
          <w:b w:val="0"/>
          <w:bCs w:val="0"/>
          <w:color w:val="auto"/>
          <w:sz w:val="31"/>
          <w:szCs w:val="31"/>
        </w:rPr>
        <w:t>监督保障情况</w:t>
      </w:r>
    </w:p>
    <w:p>
      <w:pPr>
        <w:pStyle w:val="2"/>
        <w:keepNext w:val="0"/>
        <w:keepLines w:val="0"/>
        <w:widowControl/>
        <w:numPr>
          <w:ilvl w:val="0"/>
          <w:numId w:val="0"/>
        </w:numPr>
        <w:suppressLineNumbers w:val="0"/>
        <w:ind w:right="0" w:rightChars="0"/>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黑体" w:hAnsi="宋体" w:eastAsia="黑体" w:cs="黑体"/>
          <w:b w:val="0"/>
          <w:bCs w:val="0"/>
          <w:color w:val="auto"/>
          <w:sz w:val="31"/>
          <w:szCs w:val="31"/>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lang w:val="en-US" w:eastAsia="zh-CN"/>
        </w:rPr>
        <w:t>加强公开内容的审核监测，有关内容必须通过信息公开保密审查合格后才能进行公开，确保公开内容不出问题。同时将各科室政务信息公开工作开展情况纳入日常考核内容，将考核结果作为年底评定、评议的重要依据。</w:t>
      </w:r>
    </w:p>
    <w:p>
      <w:pPr>
        <w:pStyle w:val="2"/>
        <w:keepNext w:val="0"/>
        <w:keepLines w:val="0"/>
        <w:widowControl/>
        <w:numPr>
          <w:ilvl w:val="0"/>
          <w:numId w:val="0"/>
        </w:numPr>
        <w:suppressLineNumbers w:val="0"/>
        <w:ind w:right="0" w:rightChars="0" w:firstLine="620" w:firstLineChars="200"/>
        <w:rPr>
          <w:rFonts w:hint="eastAsia" w:ascii="楷体_GB2312" w:hAnsi="楷体_GB2312" w:eastAsia="楷体_GB2312" w:cs="楷体_GB2312"/>
          <w:b w:val="0"/>
          <w:bCs w:val="0"/>
          <w:color w:val="auto"/>
          <w:sz w:val="31"/>
          <w:szCs w:val="31"/>
          <w:shd w:val="clear" w:color="auto" w:fill="FFFFFF"/>
        </w:rPr>
      </w:pPr>
      <w:r>
        <w:rPr>
          <w:rFonts w:hint="eastAsia" w:ascii="楷体_GB2312" w:hAnsi="楷体_GB2312" w:eastAsia="楷体_GB2312" w:cs="楷体_GB2312"/>
          <w:b w:val="0"/>
          <w:bCs w:val="0"/>
          <w:color w:val="auto"/>
          <w:sz w:val="31"/>
          <w:szCs w:val="31"/>
          <w:shd w:val="clear" w:color="auto" w:fill="FFFFFF"/>
          <w:lang w:eastAsia="zh-CN"/>
        </w:rPr>
        <w:t>（六）建议提案办理结果公开情况</w:t>
      </w:r>
    </w:p>
    <w:p>
      <w:pPr>
        <w:pStyle w:val="2"/>
        <w:keepNext w:val="0"/>
        <w:keepLines w:val="0"/>
        <w:widowControl/>
        <w:numPr>
          <w:ilvl w:val="0"/>
          <w:numId w:val="0"/>
        </w:numPr>
        <w:suppressLineNumbers w:val="0"/>
        <w:ind w:right="0" w:rightChars="0" w:firstLine="620" w:firstLineChars="200"/>
        <w:rPr>
          <w:rFonts w:hint="eastAsia" w:ascii="黑体" w:hAnsi="宋体" w:eastAsia="黑体" w:cs="黑体"/>
          <w:b w:val="0"/>
          <w:bCs w:val="0"/>
          <w:color w:val="auto"/>
          <w:sz w:val="31"/>
          <w:szCs w:val="31"/>
          <w:shd w:val="clear" w:color="auto" w:fill="FFFFFF"/>
        </w:rPr>
      </w:pPr>
      <w:r>
        <w:rPr>
          <w:rFonts w:hint="eastAsia" w:ascii="黑体" w:hAnsi="宋体" w:eastAsia="黑体" w:cs="黑体"/>
          <w:b w:val="0"/>
          <w:bCs w:val="0"/>
          <w:color w:val="auto"/>
          <w:sz w:val="31"/>
          <w:szCs w:val="31"/>
          <w:shd w:val="clear" w:color="auto" w:fill="FFFFFF"/>
        </w:rPr>
        <w:t xml:space="preserve"> </w:t>
      </w:r>
      <w:r>
        <w:rPr>
          <w:rFonts w:hint="eastAsia" w:ascii="仿宋_GB2312" w:hAnsi="仿宋_GB2312" w:eastAsia="仿宋_GB2312" w:cs="仿宋_GB2312"/>
          <w:b w:val="0"/>
          <w:bCs w:val="0"/>
          <w:color w:val="auto"/>
          <w:sz w:val="32"/>
          <w:szCs w:val="32"/>
          <w:lang w:eastAsia="zh-CN"/>
        </w:rPr>
        <w:t>本年度我单位无建议提案办理。</w:t>
      </w:r>
    </w:p>
    <w:p>
      <w:pPr>
        <w:pStyle w:val="2"/>
        <w:keepNext w:val="0"/>
        <w:keepLines w:val="0"/>
        <w:widowControl/>
        <w:numPr>
          <w:ilvl w:val="0"/>
          <w:numId w:val="0"/>
        </w:numPr>
        <w:suppressLineNumbers w:val="0"/>
        <w:ind w:right="0" w:rightChars="0" w:firstLine="620" w:firstLineChars="200"/>
        <w:rPr>
          <w:b w:val="0"/>
          <w:bCs w:val="0"/>
          <w:color w:val="auto"/>
        </w:rPr>
      </w:pPr>
      <w:r>
        <w:rPr>
          <w:rStyle w:val="5"/>
          <w:rFonts w:hint="eastAsia" w:ascii="黑体" w:hAnsi="宋体" w:eastAsia="黑体" w:cs="黑体"/>
          <w:b w:val="0"/>
          <w:bCs w:val="0"/>
          <w:color w:val="auto"/>
          <w:sz w:val="31"/>
          <w:szCs w:val="31"/>
        </w:rPr>
        <w:t>二、主动公开政府信息情况</w:t>
      </w:r>
    </w:p>
    <w:p>
      <w:pPr>
        <w:pStyle w:val="2"/>
        <w:keepNext w:val="0"/>
        <w:keepLines w:val="0"/>
        <w:widowControl/>
        <w:suppressLineNumbers w:val="0"/>
        <w:shd w:val="clear" w:color="auto" w:fill="FFFFFF"/>
        <w:spacing w:line="630" w:lineRule="atLeast"/>
        <w:jc w:val="both"/>
        <w:rPr>
          <w:rFonts w:ascii="仿宋_GB2312" w:eastAsia="仿宋_GB2312" w:cs="仿宋_GB2312"/>
          <w:b w:val="0"/>
          <w:bCs w:val="0"/>
          <w:color w:val="auto"/>
          <w:sz w:val="31"/>
          <w:szCs w:val="31"/>
          <w:shd w:val="clear" w:color="auto" w:fill="FFFFFF"/>
        </w:rPr>
      </w:pPr>
    </w:p>
    <w:tbl>
      <w:tblPr>
        <w:tblStyle w:val="3"/>
        <w:tblW w:w="8140" w:type="dxa"/>
        <w:tblInd w:w="93" w:type="dxa"/>
        <w:shd w:val="clear" w:color="auto" w:fill="E6F4FF"/>
        <w:tblLayout w:type="fixed"/>
        <w:tblCellMar>
          <w:top w:w="15" w:type="dxa"/>
          <w:left w:w="15" w:type="dxa"/>
          <w:bottom w:w="15" w:type="dxa"/>
          <w:right w:w="15" w:type="dxa"/>
        </w:tblCellMar>
      </w:tblPr>
      <w:tblGrid>
        <w:gridCol w:w="3113"/>
        <w:gridCol w:w="1875"/>
        <w:gridCol w:w="1271"/>
        <w:gridCol w:w="1881"/>
      </w:tblGrid>
      <w:tr>
        <w:tblPrEx>
          <w:shd w:val="clear" w:color="auto" w:fill="E6F4FF"/>
          <w:tblCellMar>
            <w:top w:w="15" w:type="dxa"/>
            <w:left w:w="15" w:type="dxa"/>
            <w:bottom w:w="15" w:type="dxa"/>
            <w:right w:w="15" w:type="dxa"/>
          </w:tblCellMar>
        </w:tblPrEx>
        <w:trPr>
          <w:trHeight w:val="495" w:hRule="atLeast"/>
        </w:trPr>
        <w:tc>
          <w:tcPr>
            <w:tcW w:w="8140"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第二十条第（一）项</w:t>
            </w:r>
          </w:p>
        </w:tc>
      </w:tr>
      <w:tr>
        <w:tblPrEx>
          <w:shd w:val="clear" w:color="auto" w:fill="E6F4FF"/>
          <w:tblCellMar>
            <w:top w:w="15" w:type="dxa"/>
            <w:left w:w="15" w:type="dxa"/>
            <w:bottom w:w="15" w:type="dxa"/>
            <w:right w:w="15"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本年新</w:t>
            </w:r>
            <w:r>
              <w:rPr>
                <w:rFonts w:hint="eastAsia" w:ascii="宋体" w:hAnsi="宋体" w:eastAsia="宋体" w:cs="宋体"/>
                <w:b w:val="0"/>
                <w:bCs w:val="0"/>
                <w:i w:val="0"/>
                <w:caps w:val="0"/>
                <w:color w:val="auto"/>
                <w:spacing w:val="0"/>
                <w:kern w:val="0"/>
                <w:sz w:val="20"/>
                <w:szCs w:val="20"/>
                <w:lang w:val="en-US" w:eastAsia="zh-CN" w:bidi="ar"/>
              </w:rPr>
              <w:br w:type="textWrapping"/>
            </w:r>
            <w:r>
              <w:rPr>
                <w:rFonts w:hint="default" w:ascii="Segoe UI" w:hAnsi="Segoe UI" w:eastAsia="Segoe UI" w:cs="Segoe UI"/>
                <w:b w:val="0"/>
                <w:bCs w:val="0"/>
                <w:i w:val="0"/>
                <w:caps w:val="0"/>
                <w:color w:val="auto"/>
                <w:spacing w:val="0"/>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本年新</w:t>
            </w:r>
            <w:r>
              <w:rPr>
                <w:rFonts w:hint="eastAsia" w:ascii="宋体" w:hAnsi="宋体" w:eastAsia="宋体" w:cs="宋体"/>
                <w:b w:val="0"/>
                <w:bCs w:val="0"/>
                <w:i w:val="0"/>
                <w:caps w:val="0"/>
                <w:color w:val="auto"/>
                <w:spacing w:val="0"/>
                <w:kern w:val="0"/>
                <w:sz w:val="20"/>
                <w:szCs w:val="20"/>
                <w:lang w:val="en-US" w:eastAsia="zh-CN" w:bidi="ar"/>
              </w:rPr>
              <w:br w:type="textWrapping"/>
            </w:r>
            <w:r>
              <w:rPr>
                <w:rFonts w:hint="default" w:ascii="Segoe UI" w:hAnsi="Segoe UI" w:eastAsia="Segoe UI" w:cs="Segoe UI"/>
                <w:b w:val="0"/>
                <w:bCs w:val="0"/>
                <w:i w:val="0"/>
                <w:caps w:val="0"/>
                <w:color w:val="auto"/>
                <w:spacing w:val="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对外公开总数量</w:t>
            </w:r>
          </w:p>
        </w:tc>
      </w:tr>
      <w:tr>
        <w:tblPrEx>
          <w:shd w:val="clear" w:color="auto" w:fill="E6F4FF"/>
          <w:tblCellMar>
            <w:top w:w="15" w:type="dxa"/>
            <w:left w:w="15" w:type="dxa"/>
            <w:bottom w:w="15" w:type="dxa"/>
            <w:right w:w="15"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shd w:val="clear" w:color="auto" w:fill="E6F4FF"/>
          <w:tblCellMar>
            <w:top w:w="15" w:type="dxa"/>
            <w:left w:w="15" w:type="dxa"/>
            <w:bottom w:w="15" w:type="dxa"/>
            <w:right w:w="15"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tblCellMar>
            <w:top w:w="15" w:type="dxa"/>
            <w:left w:w="15" w:type="dxa"/>
            <w:bottom w:w="15" w:type="dxa"/>
            <w:right w:w="15" w:type="dxa"/>
          </w:tblCellMar>
        </w:tblPrEx>
        <w:trPr>
          <w:trHeight w:val="480"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第二十条第（五）项</w:t>
            </w:r>
          </w:p>
        </w:tc>
      </w:tr>
      <w:tr>
        <w:tblPrEx>
          <w:shd w:val="clear" w:color="auto" w:fill="E6F4FF"/>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处理决定数量</w:t>
            </w:r>
          </w:p>
        </w:tc>
      </w:tr>
      <w:tr>
        <w:tblPrEx>
          <w:shd w:val="clear" w:color="auto" w:fill="E6F4FF"/>
          <w:tblCellMar>
            <w:top w:w="15" w:type="dxa"/>
            <w:left w:w="15" w:type="dxa"/>
            <w:bottom w:w="15" w:type="dxa"/>
            <w:right w:w="15"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行政许可</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tblCellMar>
            <w:top w:w="15" w:type="dxa"/>
            <w:left w:w="15" w:type="dxa"/>
            <w:bottom w:w="15" w:type="dxa"/>
            <w:right w:w="15"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其他对外管理服务事项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shd w:val="clear" w:color="auto" w:fill="E6F4FF"/>
          <w:tblCellMar>
            <w:top w:w="15" w:type="dxa"/>
            <w:left w:w="15" w:type="dxa"/>
            <w:bottom w:w="15" w:type="dxa"/>
            <w:right w:w="15" w:type="dxa"/>
          </w:tblCellMar>
        </w:tblPrEx>
        <w:trPr>
          <w:trHeight w:val="40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第二十条第（六）项</w:t>
            </w:r>
          </w:p>
        </w:tc>
      </w:tr>
      <w:tr>
        <w:tblPrEx>
          <w:shd w:val="clear" w:color="auto" w:fill="E6F4FF"/>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处理决定数量</w:t>
            </w:r>
          </w:p>
        </w:tc>
      </w:tr>
      <w:tr>
        <w:tblPrEx>
          <w:tblCellMar>
            <w:top w:w="15" w:type="dxa"/>
            <w:left w:w="15" w:type="dxa"/>
            <w:bottom w:w="15" w:type="dxa"/>
            <w:right w:w="15"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行政处罚</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shd w:val="clear" w:color="auto" w:fill="E6F4FF"/>
          <w:tblCellMar>
            <w:top w:w="15" w:type="dxa"/>
            <w:left w:w="15" w:type="dxa"/>
            <w:bottom w:w="15" w:type="dxa"/>
            <w:right w:w="15"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行政强制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r>
      <w:tr>
        <w:tblPrEx>
          <w:shd w:val="clear" w:color="auto" w:fill="E6F4FF"/>
          <w:tblCellMar>
            <w:top w:w="15" w:type="dxa"/>
            <w:left w:w="15" w:type="dxa"/>
            <w:bottom w:w="15" w:type="dxa"/>
            <w:right w:w="15" w:type="dxa"/>
          </w:tblCellMar>
        </w:tblPrEx>
        <w:trPr>
          <w:trHeight w:val="474"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本年增/减</w:t>
            </w:r>
          </w:p>
        </w:tc>
      </w:tr>
      <w:tr>
        <w:tblPrEx>
          <w:shd w:val="clear" w:color="auto" w:fill="E6F4FF"/>
          <w:tblCellMar>
            <w:top w:w="15" w:type="dxa"/>
            <w:left w:w="15" w:type="dxa"/>
            <w:bottom w:w="15" w:type="dxa"/>
            <w:right w:w="15"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行政事业性收费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cs="宋体"/>
                <w:b w:val="0"/>
                <w:bCs w:val="0"/>
                <w:i w:val="0"/>
                <w:caps w:val="0"/>
                <w:color w:val="auto"/>
                <w:spacing w:val="0"/>
                <w:kern w:val="0"/>
                <w:sz w:val="20"/>
                <w:szCs w:val="20"/>
                <w:lang w:val="en-US" w:eastAsia="zh-CN" w:bidi="ar"/>
              </w:rPr>
              <w:t>0</w:t>
            </w:r>
            <w:r>
              <w:rPr>
                <w:rFonts w:hint="eastAsia" w:ascii="宋体" w:hAnsi="宋体" w:eastAsia="宋体" w:cs="宋体"/>
                <w:b w:val="0"/>
                <w:bCs w:val="0"/>
                <w:i w:val="0"/>
                <w:caps w:val="0"/>
                <w:color w:val="auto"/>
                <w:spacing w:val="0"/>
                <w:kern w:val="0"/>
                <w:sz w:val="20"/>
                <w:szCs w:val="20"/>
                <w:lang w:val="en-US" w:eastAsia="zh-CN" w:bidi="ar"/>
              </w:rPr>
              <w:t> </w:t>
            </w:r>
          </w:p>
        </w:tc>
      </w:tr>
      <w:tr>
        <w:tblPrEx>
          <w:shd w:val="clear" w:color="auto" w:fill="E6F4FF"/>
          <w:tblCellMar>
            <w:top w:w="15" w:type="dxa"/>
            <w:left w:w="15" w:type="dxa"/>
            <w:bottom w:w="15" w:type="dxa"/>
            <w:right w:w="15" w:type="dxa"/>
          </w:tblCellMar>
        </w:tblPrEx>
        <w:trPr>
          <w:trHeight w:val="47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第二十条第（九）项</w:t>
            </w:r>
          </w:p>
        </w:tc>
      </w:tr>
      <w:tr>
        <w:tblPrEx>
          <w:tblCellMar>
            <w:top w:w="15" w:type="dxa"/>
            <w:left w:w="15" w:type="dxa"/>
            <w:bottom w:w="15" w:type="dxa"/>
            <w:right w:w="15"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采购总金额</w:t>
            </w:r>
          </w:p>
        </w:tc>
      </w:tr>
      <w:tr>
        <w:tblPrEx>
          <w:shd w:val="clear" w:color="auto" w:fill="E6F4FF"/>
          <w:tblCellMar>
            <w:top w:w="15" w:type="dxa"/>
            <w:left w:w="15" w:type="dxa"/>
            <w:bottom w:w="15" w:type="dxa"/>
            <w:right w:w="15"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政府集中采购</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rPr>
                <w:rFonts w:hint="eastAsia" w:ascii="Segoe UI" w:hAnsi="Segoe UI" w:eastAsia="宋体" w:cs="Segoe UI"/>
                <w:b w:val="0"/>
                <w:bCs w:val="0"/>
                <w:i w:val="0"/>
                <w:caps w:val="0"/>
                <w:color w:val="auto"/>
                <w:spacing w:val="0"/>
                <w:sz w:val="21"/>
                <w:szCs w:val="21"/>
                <w:lang w:val="en-US" w:eastAsia="zh-CN"/>
              </w:rPr>
            </w:pPr>
            <w:r>
              <w:rPr>
                <w:rFonts w:hint="eastAsia" w:ascii="Segoe UI" w:hAnsi="Segoe UI" w:cs="Segoe UI"/>
                <w:b w:val="0"/>
                <w:bCs w:val="0"/>
                <w:i w:val="0"/>
                <w:caps w:val="0"/>
                <w:color w:val="auto"/>
                <w:spacing w:val="0"/>
                <w:sz w:val="21"/>
                <w:szCs w:val="21"/>
                <w:lang w:val="en-US" w:eastAsia="zh-CN"/>
              </w:rPr>
              <w:t>0</w:t>
            </w:r>
          </w:p>
        </w:tc>
      </w:tr>
    </w:tbl>
    <w:p>
      <w:pPr>
        <w:pStyle w:val="2"/>
        <w:keepNext w:val="0"/>
        <w:keepLines w:val="0"/>
        <w:widowControl/>
        <w:suppressLineNumbers w:val="0"/>
        <w:shd w:val="clear" w:color="auto" w:fill="FFFFFF"/>
        <w:spacing w:line="630" w:lineRule="atLeast"/>
        <w:ind w:firstLine="310" w:firstLineChars="100"/>
        <w:jc w:val="both"/>
        <w:rPr>
          <w:b w:val="0"/>
          <w:bCs w:val="0"/>
          <w:color w:val="auto"/>
        </w:rPr>
      </w:pPr>
      <w:r>
        <w:rPr>
          <w:rStyle w:val="5"/>
          <w:rFonts w:hint="eastAsia" w:ascii="黑体" w:hAnsi="宋体" w:eastAsia="黑体" w:cs="黑体"/>
          <w:b w:val="0"/>
          <w:bCs w:val="0"/>
          <w:color w:val="auto"/>
          <w:sz w:val="31"/>
          <w:szCs w:val="31"/>
          <w:shd w:val="clear" w:color="auto" w:fill="FFFFFF"/>
        </w:rPr>
        <w:t>三、收到和处理政府信息公开申请情况</w:t>
      </w:r>
    </w:p>
    <w:tbl>
      <w:tblPr>
        <w:tblStyle w:val="3"/>
        <w:tblpPr w:leftFromText="180" w:rightFromText="180" w:vertAnchor="text" w:horzAnchor="page" w:tblpX="1520" w:tblpY="680"/>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color w:val="auto"/>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color w:val="auto"/>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color w:val="auto"/>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ascii="楷体" w:hAnsi="楷体" w:eastAsia="楷体" w:cs="楷体"/>
                <w:b w:val="0"/>
                <w:bCs w:val="0"/>
                <w:color w:val="auto"/>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Calibri" w:eastAsia="宋体" w:cs="Times New Roman"/>
                <w:b w:val="0"/>
                <w:bCs w:val="0"/>
                <w:color w:val="auto"/>
                <w:kern w:val="2"/>
                <w:sz w:val="24"/>
                <w:szCs w:val="24"/>
                <w:lang w:val="en-US" w:eastAsia="zh-CN" w:bidi="ar-SA"/>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cs="Calibri"/>
                <w:b w:val="0"/>
                <w:bCs w:val="0"/>
                <w:color w:val="auto"/>
                <w:kern w:val="0"/>
                <w:sz w:val="20"/>
                <w:szCs w:val="20"/>
                <w:lang w:val="en-US" w:eastAsia="zh-CN" w:bidi="ar"/>
              </w:rPr>
              <w:t>0</w:t>
            </w:r>
            <w:r>
              <w:rPr>
                <w:rFonts w:hint="default" w:ascii="Calibri" w:hAnsi="Calibri" w:eastAsia="宋体" w:cs="Calibri"/>
                <w:b w:val="0"/>
                <w:bCs w:val="0"/>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b w:val="0"/>
                <w:bCs w:val="0"/>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楷体" w:hAnsi="楷体" w:eastAsia="楷体" w:cs="楷体"/>
                <w:b w:val="0"/>
                <w:bCs w:val="0"/>
                <w:color w:val="auto"/>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宋体" w:cs="Calibri"/>
                <w:b w:val="0"/>
                <w:bCs w:val="0"/>
                <w:color w:val="auto"/>
                <w:kern w:val="0"/>
                <w:sz w:val="20"/>
                <w:szCs w:val="20"/>
                <w:lang w:val="en-US" w:eastAsia="zh-CN" w:bidi="ar"/>
              </w:rPr>
              <w:t> </w:t>
            </w:r>
            <w:r>
              <w:rPr>
                <w:rFonts w:hint="eastAsia" w:cs="Calibri"/>
                <w:b w:val="0"/>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auto"/>
              </w:rPr>
            </w:pPr>
            <w:r>
              <w:rPr>
                <w:rFonts w:hint="eastAsia" w:ascii="宋体" w:hAnsi="宋体" w:eastAsia="宋体" w:cs="宋体"/>
                <w:b w:val="0"/>
                <w:bCs w:val="0"/>
                <w:color w:val="auto"/>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宋体" w:cs="Calibri"/>
                <w:b w:val="0"/>
                <w:bCs w:val="0"/>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eastAsia="宋体"/>
                <w:b w:val="0"/>
                <w:bCs w:val="0"/>
                <w:color w:val="auto"/>
                <w:sz w:val="24"/>
                <w:szCs w:val="24"/>
                <w:lang w:val="en-US" w:eastAsia="zh-CN"/>
              </w:rPr>
            </w:pPr>
            <w:r>
              <w:rPr>
                <w:rFonts w:hint="eastAsia" w:ascii="宋体"/>
                <w:b w:val="0"/>
                <w:bCs w:val="0"/>
                <w:color w:val="auto"/>
                <w:sz w:val="24"/>
                <w:szCs w:val="24"/>
                <w:lang w:val="en-US" w:eastAsia="zh-CN"/>
              </w:rPr>
              <w:t>0</w:t>
            </w:r>
          </w:p>
        </w:tc>
      </w:tr>
    </w:tbl>
    <w:p>
      <w:pPr>
        <w:pStyle w:val="2"/>
        <w:keepNext w:val="0"/>
        <w:keepLines w:val="0"/>
        <w:widowControl/>
        <w:suppressLineNumbers w:val="0"/>
        <w:shd w:val="clear" w:color="auto" w:fill="FFFFFF"/>
        <w:spacing w:line="630" w:lineRule="atLeast"/>
        <w:jc w:val="both"/>
        <w:rPr>
          <w:b w:val="0"/>
          <w:bCs w:val="0"/>
          <w:color w:val="auto"/>
        </w:rPr>
      </w:pPr>
      <w:r>
        <w:rPr>
          <w:rFonts w:hint="eastAsia" w:ascii="黑体" w:hAnsi="宋体" w:eastAsia="黑体" w:cs="黑体"/>
          <w:b w:val="0"/>
          <w:bCs w:val="0"/>
          <w:color w:val="auto"/>
          <w:sz w:val="31"/>
          <w:szCs w:val="31"/>
          <w:shd w:val="clear" w:color="auto" w:fill="FFFFFF"/>
        </w:rPr>
        <w:t> </w:t>
      </w:r>
      <w:r>
        <w:rPr>
          <w:rStyle w:val="5"/>
          <w:rFonts w:hint="eastAsia" w:ascii="黑体" w:hAnsi="宋体" w:eastAsia="黑体" w:cs="黑体"/>
          <w:b w:val="0"/>
          <w:bCs w:val="0"/>
          <w:color w:val="auto"/>
          <w:sz w:val="31"/>
          <w:szCs w:val="31"/>
          <w:shd w:val="clear" w:color="auto" w:fill="FFFFFF"/>
        </w:rPr>
        <w:t>四、政府信息公开行政复议、行政诉讼情况</w:t>
      </w:r>
    </w:p>
    <w:tbl>
      <w:tblPr>
        <w:tblStyle w:val="3"/>
        <w:tblW w:w="9071"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CellMar>
            <w:top w:w="15" w:type="dxa"/>
            <w:left w:w="15" w:type="dxa"/>
            <w:bottom w:w="15" w:type="dxa"/>
            <w:right w:w="15" w:type="dxa"/>
          </w:tblCellMar>
        </w:tblPrEx>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CellMar>
            <w:top w:w="15" w:type="dxa"/>
            <w:left w:w="15" w:type="dxa"/>
            <w:bottom w:w="15" w:type="dxa"/>
            <w:right w:w="15"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egoe UI" w:hAnsi="Segoe UI" w:eastAsia="Segoe UI" w:cs="Segoe UI"/>
                <w:b w:val="0"/>
                <w:bCs w:val="0"/>
                <w:i w:val="0"/>
                <w:caps w:val="0"/>
                <w:color w:val="auto"/>
                <w:spacing w:val="0"/>
                <w:sz w:val="21"/>
                <w:szCs w:val="21"/>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egoe UI" w:hAnsi="Segoe UI" w:eastAsia="Segoe UI" w:cs="Segoe UI"/>
                <w:b w:val="0"/>
                <w:bCs w:val="0"/>
                <w:i w:val="0"/>
                <w:caps w:val="0"/>
                <w:color w:val="auto"/>
                <w:spacing w:val="0"/>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egoe UI" w:hAnsi="Segoe UI" w:eastAsia="Segoe UI" w:cs="Segoe UI"/>
                <w:b w:val="0"/>
                <w:bCs w:val="0"/>
                <w:i w:val="0"/>
                <w:caps w:val="0"/>
                <w:color w:val="auto"/>
                <w:spacing w:val="0"/>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egoe UI" w:hAnsi="Segoe UI" w:eastAsia="Segoe UI" w:cs="Segoe UI"/>
                <w:b w:val="0"/>
                <w:bCs w:val="0"/>
                <w:i w:val="0"/>
                <w:caps w:val="0"/>
                <w:color w:val="auto"/>
                <w:spacing w:val="0"/>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Segoe UI" w:hAnsi="Segoe UI" w:eastAsia="Segoe UI" w:cs="Segoe UI"/>
                <w:b w:val="0"/>
                <w:bCs w:val="0"/>
                <w:i w:val="0"/>
                <w:caps w:val="0"/>
                <w:color w:val="auto"/>
                <w:spacing w:val="0"/>
                <w:sz w:val="21"/>
                <w:szCs w:val="21"/>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CellMar>
            <w:top w:w="15" w:type="dxa"/>
            <w:left w:w="15" w:type="dxa"/>
            <w:bottom w:w="15" w:type="dxa"/>
            <w:right w:w="15" w:type="dxa"/>
          </w:tblCellMar>
        </w:tblPrEx>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ascii="Calibri" w:hAnsi="Calibri" w:eastAsia="Segoe UI" w:cs="Calibri"/>
                <w:b w:val="0"/>
                <w:bCs w:val="0"/>
                <w:i w:val="0"/>
                <w:caps w:val="0"/>
                <w:color w:val="auto"/>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Segoe UI" w:cs="Calibri"/>
                <w:b w:val="0"/>
                <w:bCs w:val="0"/>
                <w:i w:val="0"/>
                <w:caps w:val="0"/>
                <w:color w:val="auto"/>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Segoe UI" w:cs="Calibri"/>
                <w:b w:val="0"/>
                <w:bCs w:val="0"/>
                <w:i w:val="0"/>
                <w:caps w:val="0"/>
                <w:color w:val="auto"/>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default" w:ascii="Calibri" w:hAnsi="Calibri" w:eastAsia="Segoe UI" w:cs="Calibri"/>
                <w:b w:val="0"/>
                <w:bCs w:val="0"/>
                <w:i w:val="0"/>
                <w:caps w:val="0"/>
                <w:color w:val="auto"/>
                <w:spacing w:val="0"/>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default" w:ascii="Calibri" w:hAnsi="Calibri" w:eastAsia="Segoe UI" w:cs="Calibri"/>
                <w:b w:val="0"/>
                <w:bCs w:val="0"/>
                <w:i w:val="0"/>
                <w:caps w:val="0"/>
                <w:color w:val="auto"/>
                <w:spacing w:val="0"/>
                <w:kern w:val="0"/>
                <w:sz w:val="20"/>
                <w:szCs w:val="20"/>
                <w:lang w:val="en-US" w:eastAsia="zh-CN" w:bidi="ar"/>
              </w:rPr>
              <w:t> </w:t>
            </w:r>
            <w:r>
              <w:rPr>
                <w:rFonts w:hint="eastAsia" w:eastAsia="Segoe UI" w:cs="Calibri"/>
                <w:b w:val="0"/>
                <w:bCs w:val="0"/>
                <w:i w:val="0"/>
                <w:caps w:val="0"/>
                <w:color w:val="auto"/>
                <w:spacing w:val="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color w:val="auto"/>
                <w:lang w:val="en-US"/>
              </w:rPr>
            </w:pPr>
            <w:r>
              <w:rPr>
                <w:rFonts w:hint="eastAsia" w:ascii="宋体" w:hAnsi="宋体" w:eastAsia="宋体" w:cs="宋体"/>
                <w:b w:val="0"/>
                <w:bCs w:val="0"/>
                <w:i w:val="0"/>
                <w:caps w:val="0"/>
                <w:color w:val="auto"/>
                <w:spacing w:val="0"/>
                <w:kern w:val="0"/>
                <w:sz w:val="20"/>
                <w:szCs w:val="20"/>
                <w:lang w:val="en-US" w:eastAsia="zh-CN" w:bidi="ar"/>
              </w:rPr>
              <w:t> </w:t>
            </w:r>
            <w:r>
              <w:rPr>
                <w:rFonts w:hint="eastAsia" w:ascii="宋体" w:hAnsi="宋体" w:cs="宋体"/>
                <w:b w:val="0"/>
                <w:bCs w:val="0"/>
                <w:i w:val="0"/>
                <w:caps w:val="0"/>
                <w:color w:val="auto"/>
                <w:spacing w:val="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auto"/>
              </w:rPr>
            </w:pPr>
            <w:r>
              <w:rPr>
                <w:rFonts w:hint="eastAsia" w:ascii="宋体" w:hAnsi="宋体" w:eastAsia="宋体" w:cs="宋体"/>
                <w:b w:val="0"/>
                <w:bCs w:val="0"/>
                <w:i w:val="0"/>
                <w:caps w:val="0"/>
                <w:color w:val="auto"/>
                <w:spacing w:val="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Segoe UI" w:hAnsi="Segoe UI" w:eastAsia="宋体" w:cs="Segoe UI"/>
                <w:b w:val="0"/>
                <w:bCs w:val="0"/>
                <w:i w:val="0"/>
                <w:caps w:val="0"/>
                <w:color w:val="auto"/>
                <w:spacing w:val="0"/>
                <w:sz w:val="21"/>
                <w:szCs w:val="21"/>
                <w:lang w:val="en-US" w:eastAsia="zh-CN"/>
              </w:rPr>
            </w:pPr>
            <w:r>
              <w:rPr>
                <w:rFonts w:hint="eastAsia" w:ascii="Segoe UI" w:hAnsi="Segoe UI" w:cs="Segoe UI"/>
                <w:b w:val="0"/>
                <w:bCs w:val="0"/>
                <w:i w:val="0"/>
                <w:caps w:val="0"/>
                <w:color w:val="auto"/>
                <w:spacing w:val="0"/>
                <w:sz w:val="21"/>
                <w:szCs w:val="21"/>
                <w:lang w:val="en-US" w:eastAsia="zh-CN"/>
              </w:rPr>
              <w:t>0</w:t>
            </w:r>
          </w:p>
        </w:tc>
      </w:tr>
    </w:tbl>
    <w:p>
      <w:pPr>
        <w:keepNext w:val="0"/>
        <w:keepLines w:val="0"/>
        <w:widowControl/>
        <w:suppressLineNumbers w:val="0"/>
        <w:jc w:val="left"/>
        <w:rPr>
          <w:b w:val="0"/>
          <w:bCs w:val="0"/>
          <w:color w:val="auto"/>
        </w:rPr>
      </w:pPr>
    </w:p>
    <w:p>
      <w:pPr>
        <w:pStyle w:val="2"/>
        <w:keepNext w:val="0"/>
        <w:keepLines w:val="0"/>
        <w:widowControl/>
        <w:suppressLineNumbers w:val="0"/>
        <w:shd w:val="clear" w:color="auto" w:fill="FFFFFF"/>
        <w:spacing w:line="630" w:lineRule="atLeast"/>
        <w:jc w:val="left"/>
        <w:rPr>
          <w:b w:val="0"/>
          <w:bCs w:val="0"/>
          <w:color w:val="auto"/>
        </w:rPr>
      </w:pPr>
      <w:r>
        <w:rPr>
          <w:b w:val="0"/>
          <w:bCs w:val="0"/>
          <w:color w:val="auto"/>
          <w:shd w:val="clear" w:color="auto" w:fill="FFFFFF"/>
        </w:rPr>
        <w:t>       </w:t>
      </w:r>
      <w:r>
        <w:rPr>
          <w:rStyle w:val="5"/>
          <w:rFonts w:hint="eastAsia" w:ascii="黑体" w:hAnsi="宋体" w:eastAsia="黑体" w:cs="黑体"/>
          <w:b w:val="0"/>
          <w:bCs w:val="0"/>
          <w:color w:val="auto"/>
          <w:sz w:val="31"/>
          <w:szCs w:val="31"/>
          <w:shd w:val="clear" w:color="auto" w:fill="FFFFFF"/>
        </w:rPr>
        <w:t>五、存在的主要问题及改进情况</w:t>
      </w:r>
    </w:p>
    <w:p>
      <w:pPr>
        <w:keepNext w:val="0"/>
        <w:keepLines w:val="0"/>
        <w:pageBreakBefore w:val="0"/>
        <w:kinsoku/>
        <w:wordWrap/>
        <w:overflowPunct/>
        <w:topLinePunct w:val="0"/>
        <w:autoSpaceDN/>
        <w:bidi w:val="0"/>
        <w:adjustRightInd/>
        <w:snapToGrid/>
        <w:spacing w:beforeAutospacing="0" w:line="560" w:lineRule="exact"/>
        <w:ind w:firstLine="627" w:firstLineChars="196"/>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2019</w:t>
      </w:r>
      <w:r>
        <w:rPr>
          <w:rFonts w:hint="eastAsia" w:ascii="仿宋_GB2312" w:eastAsia="仿宋_GB2312"/>
          <w:b w:val="0"/>
          <w:bCs w:val="0"/>
          <w:color w:val="auto"/>
          <w:sz w:val="32"/>
          <w:szCs w:val="32"/>
        </w:rPr>
        <w:t>年，信访局政府信息公开工作取得了一定的成绩，但对照上级的要求和公众的期望，还存在一些不足和问题，主要是主动公开的内容还需进一步丰富</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主动公开的时效性还不是很强。在以后的工作中我局将继续认真落实国家和省、市、县政府信息公开工作要求，进一步充实政府信息公开的内容，确保信息公开的及时准确，切实推进政府信息公开工作的有序、高效开展。</w:t>
      </w:r>
    </w:p>
    <w:p>
      <w:pPr>
        <w:pStyle w:val="2"/>
        <w:keepNext w:val="0"/>
        <w:keepLines w:val="0"/>
        <w:widowControl/>
        <w:numPr>
          <w:ilvl w:val="0"/>
          <w:numId w:val="0"/>
        </w:numPr>
        <w:suppressLineNumbers w:val="0"/>
        <w:ind w:left="552" w:leftChars="0" w:right="0" w:rightChars="0"/>
        <w:rPr>
          <w:rStyle w:val="5"/>
          <w:rFonts w:hint="eastAsia" w:ascii="黑体" w:hAnsi="宋体" w:eastAsia="黑体" w:cs="黑体"/>
          <w:b w:val="0"/>
          <w:bCs w:val="0"/>
          <w:color w:val="auto"/>
          <w:sz w:val="31"/>
          <w:szCs w:val="31"/>
        </w:rPr>
      </w:pPr>
      <w:r>
        <w:rPr>
          <w:rStyle w:val="5"/>
          <w:rFonts w:hint="eastAsia" w:ascii="黑体" w:hAnsi="宋体" w:eastAsia="黑体" w:cs="黑体"/>
          <w:b w:val="0"/>
          <w:bCs w:val="0"/>
          <w:color w:val="auto"/>
          <w:sz w:val="31"/>
          <w:szCs w:val="31"/>
          <w:lang w:eastAsia="zh-CN"/>
        </w:rPr>
        <w:t>六、</w:t>
      </w:r>
      <w:r>
        <w:rPr>
          <w:rStyle w:val="5"/>
          <w:rFonts w:hint="eastAsia" w:ascii="黑体" w:hAnsi="宋体" w:eastAsia="黑体" w:cs="黑体"/>
          <w:b w:val="0"/>
          <w:bCs w:val="0"/>
          <w:color w:val="auto"/>
          <w:sz w:val="31"/>
          <w:szCs w:val="31"/>
        </w:rPr>
        <w:t>其他需要报告的事项</w:t>
      </w:r>
    </w:p>
    <w:p>
      <w:pPr>
        <w:pStyle w:val="2"/>
        <w:keepNext w:val="0"/>
        <w:keepLines w:val="0"/>
        <w:widowControl/>
        <w:numPr>
          <w:ilvl w:val="0"/>
          <w:numId w:val="0"/>
        </w:numPr>
        <w:suppressLineNumbers w:val="0"/>
        <w:ind w:right="0" w:rightChars="0" w:firstLine="620" w:firstLineChars="200"/>
        <w:rPr>
          <w:rFonts w:hint="eastAsia" w:eastAsia="仿宋"/>
          <w:b w:val="0"/>
          <w:bCs w:val="0"/>
          <w:color w:val="auto"/>
          <w:lang w:eastAsia="zh-CN"/>
        </w:rPr>
      </w:pPr>
      <w:r>
        <w:rPr>
          <w:rStyle w:val="5"/>
          <w:rFonts w:hint="eastAsia" w:ascii="仿宋" w:hAnsi="仿宋" w:eastAsia="仿宋" w:cs="仿宋"/>
          <w:b w:val="0"/>
          <w:bCs w:val="0"/>
          <w:color w:val="auto"/>
          <w:sz w:val="31"/>
          <w:szCs w:val="31"/>
          <w:lang w:eastAsia="zh-CN"/>
        </w:rPr>
        <w:t>无。</w:t>
      </w:r>
    </w:p>
    <w:p>
      <w:pPr>
        <w:pStyle w:val="2"/>
        <w:keepNext w:val="0"/>
        <w:keepLines w:val="0"/>
        <w:widowControl/>
        <w:suppressLineNumbers w:val="0"/>
        <w:rPr>
          <w:b w:val="0"/>
          <w:bCs w:val="0"/>
          <w:color w:val="auto"/>
        </w:rPr>
      </w:pPr>
      <w:r>
        <w:rPr>
          <w:rStyle w:val="5"/>
          <w:rFonts w:hint="eastAsia" w:ascii="仿宋" w:hAnsi="仿宋" w:eastAsia="仿宋" w:cs="仿宋"/>
          <w:b w:val="0"/>
          <w:bCs w:val="0"/>
          <w:color w:val="auto"/>
          <w:sz w:val="31"/>
          <w:szCs w:val="31"/>
        </w:rPr>
        <w:t> </w:t>
      </w:r>
    </w:p>
    <w:p>
      <w:pPr>
        <w:pStyle w:val="2"/>
        <w:keepNext w:val="0"/>
        <w:keepLines w:val="0"/>
        <w:widowControl/>
        <w:suppressLineNumbers w:val="0"/>
        <w:ind w:left="6224" w:hanging="6200" w:hangingChars="2000"/>
        <w:rPr>
          <w:rStyle w:val="5"/>
          <w:rFonts w:hint="eastAsia" w:ascii="仿宋" w:hAnsi="仿宋" w:eastAsia="仿宋" w:cs="仿宋"/>
          <w:b w:val="0"/>
          <w:bCs w:val="0"/>
          <w:color w:val="auto"/>
          <w:sz w:val="31"/>
          <w:szCs w:val="31"/>
        </w:rPr>
      </w:pPr>
      <w:r>
        <w:rPr>
          <w:rStyle w:val="5"/>
          <w:rFonts w:hint="eastAsia" w:ascii="仿宋" w:hAnsi="仿宋" w:eastAsia="仿宋" w:cs="仿宋"/>
          <w:b w:val="0"/>
          <w:bCs w:val="0"/>
          <w:color w:val="auto"/>
          <w:sz w:val="31"/>
          <w:szCs w:val="31"/>
        </w:rPr>
        <w:t xml:space="preserve">                                                                  </w:t>
      </w:r>
    </w:p>
    <w:p>
      <w:pPr>
        <w:pStyle w:val="2"/>
        <w:keepNext w:val="0"/>
        <w:keepLines w:val="0"/>
        <w:widowControl/>
        <w:suppressLineNumbers w:val="0"/>
        <w:rPr>
          <w:b w:val="0"/>
          <w:bCs w:val="0"/>
          <w:color w:val="auto"/>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6102F"/>
    <w:rsid w:val="006E28B8"/>
    <w:rsid w:val="03555A92"/>
    <w:rsid w:val="0506102F"/>
    <w:rsid w:val="0EAB373B"/>
    <w:rsid w:val="10E7228E"/>
    <w:rsid w:val="2B797950"/>
    <w:rsid w:val="2DFA1AD6"/>
    <w:rsid w:val="3C49574D"/>
    <w:rsid w:val="47477012"/>
    <w:rsid w:val="4DD91225"/>
    <w:rsid w:val="52B0793A"/>
    <w:rsid w:val="62677182"/>
    <w:rsid w:val="6843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800080"/>
      <w:u w:val="none"/>
    </w:rPr>
  </w:style>
  <w:style w:type="character" w:styleId="7">
    <w:name w:val="Hyperlink"/>
    <w:basedOn w:val="4"/>
    <w:qFormat/>
    <w:uiPriority w:val="0"/>
    <w:rPr>
      <w:rFonts w:ascii="微软雅黑" w:hAnsi="微软雅黑" w:eastAsia="微软雅黑" w:cs="微软雅黑"/>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2020-07-07T07:52:00Z</dcterms:created>
  <dc:creator>Darren</dc:creator>
  <cp:lastModifiedBy>凌波零</cp:lastModifiedBy>
  <dcterms:modified xsi:type="dcterms:W3CDTF">2020-07-30T06:29:21Z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