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5186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沂源县卫生健康局</w:t>
      </w:r>
    </w:p>
    <w:p w14:paraId="5B1ABB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202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5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年政府信息公开工作年度报告</w:t>
      </w:r>
    </w:p>
    <w:p w14:paraId="5352DC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 w14:paraId="057FCC5F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根据《中华人民共和国政府信息公开条例》（以下简称《条例》）要求，结合我局2025年度政府信息公开工作实际及相关统计数据，编制本报告。报告涵盖2025年1月1日至2025年12月31日期间的政府信息公开工作情况，全文将在沂源县人民政府门户网站政府信息公开专栏公布。</w:t>
      </w:r>
    </w:p>
    <w:p w14:paraId="7E117051">
      <w:pPr>
        <w:ind w:firstLine="640" w:firstLineChars="200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一、总体情况</w:t>
      </w:r>
    </w:p>
    <w:p w14:paraId="2A2010E4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2025年度，沂源县卫生健康局在县委、县政府的正确领导和上级卫生健康部门的精心指导下，深入贯彻落实《条例》各项规定，坚持“以公开为常态、不公开为例外”原则，牢固树立“谁公开、谁审查、谁负责，先审查、后公开”的工作理念，将政府信息公开与卫生健康核心业务深度融合，以保障群众知情权、参与权、监督权为目标，持续夯实工作基础、规范公开流程、创新公开载体，全面提升政府信息公开工作质效，为全县卫生健康事业高质量发展营造了透明、高效、规范的政务环境。</w:t>
      </w:r>
    </w:p>
    <w:p w14:paraId="0947462B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（一）主动公开工作扎实推进</w:t>
      </w:r>
    </w:p>
    <w:p w14:paraId="48A6B037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聚焦卫生健康领域重点工作，围绕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医疗卫生健康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人事信息、管理和服务公开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双随机、一公开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污染防治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等群众关切事项，通过政府门户网站、单位政务公开栏等渠道精准公开信息。全年主动公开政府信息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191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条，其中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医疗卫生健康信息86条、人事信息28条、管理和服务公开信息12条、政策解读信息12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条、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双随机、一公开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信息9条、建议提案办理信息9条、污染防治信息4条、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其他重点领域信息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条，确保公开内容全面、及时、可及。</w:t>
      </w:r>
    </w:p>
    <w:p w14:paraId="7633E426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（二）依申请公开工作规范高效</w:t>
      </w:r>
    </w:p>
    <w:p w14:paraId="6E2F5A18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建立健全政府信息公开申请接收、登记、审核、办理、答复、归档全流程工作机制，明确办理时限和责任分工，确保每一件申请都得到规范处置。2025年度，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县卫健局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未收到公民、法人或其他组织提出的政府信息公开申请，也无上年结转及结转下年度办理的申请事项。</w:t>
      </w:r>
    </w:p>
    <w:p w14:paraId="30886CFE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（三）政府信息管理不断强化</w:t>
      </w:r>
    </w:p>
    <w:p w14:paraId="24408BB1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将政府信息公开工作纳入局年度总体工作部署和绩效考核体系，定期召开专题会议研究解决工作推进中的问题。配备专职工作人员负责信息公开日常工作，严格执行“科室负责人初审、分管领导审核、主要领导审批”的“三审三校”制度，全面落实网络意识形态工作责任制，确保公开信息的准确性、规范性和安全性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全年未发生信息安全问题。</w:t>
      </w:r>
    </w:p>
    <w:p w14:paraId="4829DA0E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（四）公开平台建设持续优化</w:t>
      </w:r>
    </w:p>
    <w:p w14:paraId="6FA3B45B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着力构建“线上+线下”多元化公开平台，线上优化政府门户网站信息公开专栏分类设置，确保栏目清晰、检索便捷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线下延伸填补公开盲区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在县卫健局办公室设立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咨询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点，明确办公时间和联系电话，为群众提供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解答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服务；联动各医疗机构在门诊大厅、导医台设置公告栏，实时更新专家坐诊、住院须知等信息，打通线下公开“最后一米”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2179DD03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（五）监督保障机制日益健全</w:t>
      </w:r>
    </w:p>
    <w:p w14:paraId="4C9E6AF5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完善政府信息公开工作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考核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制度，定期开展自查自纠和专项督查，及时发现并整改问题。主动接受社会监督，通过政务服务热线、投诉举报电话等渠道收集群众对信息公开工作的意见建议，全年未发生因政府信息公开工作受到责任追究的案件，未出现信息公开失泄密情况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6AE97764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both"/>
        <w:textAlignment w:val="auto"/>
        <w:rPr>
          <w:rFonts w:hint="default" w:ascii="Times New Roman" w:hAnsi="Times New Roman" w:eastAsia="宋体" w:cs="Times New Roman"/>
          <w:b w:val="0"/>
          <w:bCs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  <w:t>二、主动公开政府信息情况</w:t>
      </w:r>
    </w:p>
    <w:tbl>
      <w:tblPr>
        <w:tblStyle w:val="8"/>
        <w:tblW w:w="978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45"/>
        <w:gridCol w:w="2445"/>
        <w:gridCol w:w="2445"/>
        <w:gridCol w:w="2445"/>
      </w:tblGrid>
      <w:tr w14:paraId="786163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2" w:hRule="atLeast"/>
          <w:jc w:val="center"/>
        </w:trPr>
        <w:tc>
          <w:tcPr>
            <w:tcW w:w="978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E33F43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第二十条第（一）项</w:t>
            </w:r>
          </w:p>
        </w:tc>
      </w:tr>
      <w:tr w14:paraId="005CFD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2" w:hRule="atLeast"/>
          <w:jc w:val="center"/>
        </w:trPr>
        <w:tc>
          <w:tcPr>
            <w:tcW w:w="244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465174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24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F646F3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本年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制发件数</w:t>
            </w:r>
          </w:p>
        </w:tc>
        <w:tc>
          <w:tcPr>
            <w:tcW w:w="24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705B82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本年废止件数</w:t>
            </w:r>
          </w:p>
        </w:tc>
        <w:tc>
          <w:tcPr>
            <w:tcW w:w="24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83DCF4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现行有效件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数</w:t>
            </w:r>
          </w:p>
        </w:tc>
      </w:tr>
      <w:tr w14:paraId="08087A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5" w:hRule="atLeast"/>
          <w:jc w:val="center"/>
        </w:trPr>
        <w:tc>
          <w:tcPr>
            <w:tcW w:w="244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1A8159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规章</w:t>
            </w:r>
          </w:p>
        </w:tc>
        <w:tc>
          <w:tcPr>
            <w:tcW w:w="24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080BCE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24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F8B890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24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7E815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</w:tr>
      <w:tr w14:paraId="507DAF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5" w:hRule="atLeast"/>
          <w:jc w:val="center"/>
        </w:trPr>
        <w:tc>
          <w:tcPr>
            <w:tcW w:w="244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9F28D5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行政规范性文件</w:t>
            </w:r>
          </w:p>
        </w:tc>
        <w:tc>
          <w:tcPr>
            <w:tcW w:w="24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BE8E1A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24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B67DF9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24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F1AD6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</w:tr>
      <w:tr w14:paraId="7D7119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2" w:hRule="atLeast"/>
          <w:jc w:val="center"/>
        </w:trPr>
        <w:tc>
          <w:tcPr>
            <w:tcW w:w="978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0E25F9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第二十条第（五）项</w:t>
            </w:r>
          </w:p>
        </w:tc>
      </w:tr>
      <w:tr w14:paraId="220CF0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5" w:hRule="atLeast"/>
          <w:jc w:val="center"/>
        </w:trPr>
        <w:tc>
          <w:tcPr>
            <w:tcW w:w="244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D7495E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3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A218EE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 w14:paraId="3029DF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0" w:hRule="atLeast"/>
          <w:jc w:val="center"/>
        </w:trPr>
        <w:tc>
          <w:tcPr>
            <w:tcW w:w="244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A260F0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行政许可</w:t>
            </w:r>
          </w:p>
        </w:tc>
        <w:tc>
          <w:tcPr>
            <w:tcW w:w="733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C44AD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</w:tr>
      <w:tr w14:paraId="537151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5" w:hRule="atLeast"/>
          <w:jc w:val="center"/>
        </w:trPr>
        <w:tc>
          <w:tcPr>
            <w:tcW w:w="978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9F5CE4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第二十条第（六）项</w:t>
            </w:r>
          </w:p>
        </w:tc>
      </w:tr>
      <w:tr w14:paraId="656DDA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5" w:hRule="atLeast"/>
          <w:jc w:val="center"/>
        </w:trPr>
        <w:tc>
          <w:tcPr>
            <w:tcW w:w="244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37E9C8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3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2B201C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 w14:paraId="5BB5B4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5" w:hRule="atLeast"/>
          <w:jc w:val="center"/>
        </w:trPr>
        <w:tc>
          <w:tcPr>
            <w:tcW w:w="244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2F7E56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行政处罚</w:t>
            </w:r>
          </w:p>
        </w:tc>
        <w:tc>
          <w:tcPr>
            <w:tcW w:w="733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2AACFA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112</w:t>
            </w:r>
          </w:p>
        </w:tc>
      </w:tr>
      <w:tr w14:paraId="6B90B9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5" w:hRule="atLeast"/>
          <w:jc w:val="center"/>
        </w:trPr>
        <w:tc>
          <w:tcPr>
            <w:tcW w:w="244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ABC2FA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行政强制</w:t>
            </w:r>
          </w:p>
        </w:tc>
        <w:tc>
          <w:tcPr>
            <w:tcW w:w="733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032AD3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 w14:paraId="0F5BF2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5" w:hRule="atLeast"/>
          <w:jc w:val="center"/>
        </w:trPr>
        <w:tc>
          <w:tcPr>
            <w:tcW w:w="978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528AFC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第二十条第（八）项</w:t>
            </w:r>
          </w:p>
        </w:tc>
      </w:tr>
      <w:tr w14:paraId="5AECF0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2" w:hRule="atLeast"/>
          <w:jc w:val="center"/>
        </w:trPr>
        <w:tc>
          <w:tcPr>
            <w:tcW w:w="244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9330DB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3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9455B1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本年收费金额（单位：万元）</w:t>
            </w:r>
          </w:p>
        </w:tc>
      </w:tr>
      <w:tr w14:paraId="342A3F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9" w:hRule="atLeast"/>
          <w:jc w:val="center"/>
        </w:trPr>
        <w:tc>
          <w:tcPr>
            <w:tcW w:w="244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EB53E7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行政事业性收费</w:t>
            </w:r>
          </w:p>
        </w:tc>
        <w:tc>
          <w:tcPr>
            <w:tcW w:w="733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7CBC4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  <w:t>71.01</w:t>
            </w:r>
            <w:bookmarkStart w:id="0" w:name="_GoBack"/>
            <w:bookmarkEnd w:id="0"/>
          </w:p>
        </w:tc>
      </w:tr>
    </w:tbl>
    <w:p w14:paraId="20C8CC98">
      <w:pPr>
        <w:pStyle w:val="7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  <w:t>收到和处理政府信息公开申请情况</w:t>
      </w:r>
    </w:p>
    <w:p w14:paraId="23643CE8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2025年度，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县卫健局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未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收到政府信息公开申请件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，具体情况如下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：</w:t>
      </w:r>
    </w:p>
    <w:p w14:paraId="1DF3099A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tbl>
      <w:tblPr>
        <w:tblStyle w:val="8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68"/>
        <w:gridCol w:w="943"/>
        <w:gridCol w:w="3220"/>
        <w:gridCol w:w="688"/>
        <w:gridCol w:w="688"/>
        <w:gridCol w:w="688"/>
        <w:gridCol w:w="688"/>
        <w:gridCol w:w="688"/>
        <w:gridCol w:w="688"/>
        <w:gridCol w:w="689"/>
      </w:tblGrid>
      <w:tr w14:paraId="7D92611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931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6C4F7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0"/>
                <w:szCs w:val="20"/>
                <w:lang w:val="en-US" w:eastAsia="zh-CN" w:bidi="ar"/>
              </w:rPr>
              <w:t>（本列数据的勾稽关系为：第一项加第二项之和，等于第三项加第四项之和）</w:t>
            </w:r>
          </w:p>
        </w:tc>
        <w:tc>
          <w:tcPr>
            <w:tcW w:w="4817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B976D3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申请人情况</w:t>
            </w:r>
          </w:p>
        </w:tc>
      </w:tr>
      <w:tr w14:paraId="7182711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790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70654F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自然人</w:t>
            </w:r>
          </w:p>
        </w:tc>
        <w:tc>
          <w:tcPr>
            <w:tcW w:w="344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2E0761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法人或其他组织</w:t>
            </w:r>
          </w:p>
        </w:tc>
        <w:tc>
          <w:tcPr>
            <w:tcW w:w="689" w:type="dxa"/>
            <w:vMerge w:val="restart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11A3EF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 w14:paraId="0BB7CD6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0651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5BB19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216315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商业</w:t>
            </w:r>
          </w:p>
          <w:p w14:paraId="7B3DCFB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企业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1D19D8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科研</w:t>
            </w:r>
          </w:p>
          <w:p w14:paraId="4C3A6E0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机构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4306FD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社会公益组织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946643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法律服务机构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FCADC0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其他</w:t>
            </w:r>
          </w:p>
        </w:tc>
        <w:tc>
          <w:tcPr>
            <w:tcW w:w="689" w:type="dxa"/>
            <w:vMerge w:val="continue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74F36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9910F3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213490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一、本年新收政府信息公开申请数量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18691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83D5F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CFBF4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40AB5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C4B8B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2F229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5A49C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</w:tr>
      <w:tr w14:paraId="49EC9C6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D11F16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二、上年结转政府信息公开申请数量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A0B2C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1E79A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F52F3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E02BB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F56A0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1A5F5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D7716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</w:tr>
      <w:tr w14:paraId="48CA7F1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restart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4CD1F0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三、本年度办理结果</w:t>
            </w: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EA35D3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（一）予以公开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2A83C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EA927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E06B6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3F7A6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0C908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15B64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9808C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</w:tr>
      <w:tr w14:paraId="39A2128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80F70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909D0B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（二）部分公开</w:t>
            </w:r>
            <w:r>
              <w:rPr>
                <w:rFonts w:hint="default" w:ascii="Times New Roman" w:hAnsi="Times New Roman" w:eastAsia="楷体" w:cs="Times New Roman"/>
                <w:kern w:val="0"/>
                <w:sz w:val="20"/>
                <w:szCs w:val="20"/>
                <w:lang w:val="en-US" w:eastAsia="zh-CN" w:bidi="ar"/>
              </w:rPr>
              <w:t>（区分处理的，只计这一情形，不计其他情形）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D8319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7275E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66F07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1FF66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CF2BD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20294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8F049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</w:tr>
      <w:tr w14:paraId="27E8493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A53C1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B0A1C1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（三）不予公开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F7E107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1.属于国家秘密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D1C47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1D387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E1485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294FF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2E056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5F8D5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DEE95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</w:tr>
      <w:tr w14:paraId="06BA952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AD5F0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22EA5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0ECC88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2.其他法律行政法规禁止公开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10F83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C09BD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4C2AE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ABCFF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6FE1C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1453B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D55CE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</w:tr>
      <w:tr w14:paraId="5CB8E2F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D5685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A9712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359F09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3.危及“三安全一稳定”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EF376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195A5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0FA39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480D0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1CE04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AC2E8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7B084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</w:tr>
      <w:tr w14:paraId="2E272D3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61553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91E8D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970210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4.保护第三方合法权益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E6FAA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52E84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F4700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E66F6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1D915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B9E1E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8CBE7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</w:tr>
      <w:tr w14:paraId="0AB41E1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F449B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34A3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C7548E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5.属于三类内部事务信息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D1C1C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908AC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7BF49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DF829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85C17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0243C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63BF6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</w:tr>
      <w:tr w14:paraId="74CB71F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F0D80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77DA7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BC96C2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6.属于四类过程性信息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A19B8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57CB9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B3076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4EDF9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E0879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CDE27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B8CC3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</w:tr>
      <w:tr w14:paraId="7BE5726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EA303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1BEF7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401996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7.属于行政执法案卷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D2226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40FF3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29BCC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190C4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2F0D0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13033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1D6DB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</w:tr>
      <w:tr w14:paraId="707BC6B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98BE4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64081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1E85C0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8.属于行政查询事项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50CB9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2FB46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7B832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9F55C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56B6F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0BB1D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098D7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</w:tr>
      <w:tr w14:paraId="198BDA8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5F4B2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6E59F2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（四）无法提供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30619C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1.本机关不掌握相关政府信息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BF575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86200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D25CB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6BBAE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D082B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4845D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B7E1E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</w:tr>
      <w:tr w14:paraId="191BC17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FBEAB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17DAB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43C0E0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2.没有现成信息需要另行制作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50234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681F0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87771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1EF00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C952F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C9078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847D1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</w:tr>
      <w:tr w14:paraId="659CA2D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1A078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7B884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E4F801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3.补正后申请内容仍不明确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34034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FCC81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86355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48A4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802E4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ED21A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A5DF7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</w:tr>
      <w:tr w14:paraId="214C871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BAB2D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57E20D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（五）不予处理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880EC9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1.信访举报投诉类申请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727DA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BDD93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D0FBD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600FA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C25C0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6E73D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C4419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</w:tr>
      <w:tr w14:paraId="11AB516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01D6B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FFB75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830D71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2.重复申请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6D271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8F7E6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0BF71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C3F05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DE528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06E51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2EF3D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</w:tr>
      <w:tr w14:paraId="41D766A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F0160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9F55F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44E248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3.要求提供公开出版物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DEAA8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1EE7C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D66FF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E8CD3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6A8B5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85989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5E9B1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</w:tr>
      <w:tr w14:paraId="25CC65D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06AD9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62B07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A240B9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4.无正当理由大量反复申请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DB28A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FA273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0E71C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1F32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4FBBC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6166F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C662D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</w:tr>
      <w:tr w14:paraId="607A2AB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93DC5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278E8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FE8D5A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5.要求行政机关确认或重新出具已获取信息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24C39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3923B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F7DA3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74C3C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4A768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1CF7C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13850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</w:tr>
      <w:tr w14:paraId="5FF97A4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96136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8468D4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（六）其他处理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17D35A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1.申请人无正当理由逾期不补正、行政机关不再处理其政府信息公开申请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258B1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5B41D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819E4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5AB10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79415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58721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9451C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</w:tr>
      <w:tr w14:paraId="69BE5E2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6BA3C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73084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AA4004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6E6CA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F0F25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09BF3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5CE4B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E4DF9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0FCF5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B1235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</w:tr>
      <w:tr w14:paraId="5EBF9A9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88F50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9F0AA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E9A9B9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3.其他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294A6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E9C28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B4B05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A34B5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1AD15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FA855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16F20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</w:tr>
      <w:tr w14:paraId="4704BDC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D7544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BC66BB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（七）总计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34114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2FEF5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8AABE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CBFD9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25BE4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B8346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55D7D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</w:tr>
      <w:tr w14:paraId="770D0AF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FBADFA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四、结转下年度继续办理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32E95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89C30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3D80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AC9CB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00349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84913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184AF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</w:tr>
    </w:tbl>
    <w:p w14:paraId="6753CACA">
      <w:pPr>
        <w:pStyle w:val="7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  <w:t>政府信息公开行政复议、行政诉讼情况</w:t>
      </w:r>
    </w:p>
    <w:p w14:paraId="4CF457CF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2025年度，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县卫健局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未发生因政府信息公开工作被申请行政复议或提起行政诉讼的案件，具体情况如下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：</w:t>
      </w:r>
    </w:p>
    <w:tbl>
      <w:tblPr>
        <w:tblStyle w:val="8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 w14:paraId="5C20F09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2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8B045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行政复议</w:t>
            </w:r>
          </w:p>
        </w:tc>
        <w:tc>
          <w:tcPr>
            <w:tcW w:w="6428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D298C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行政诉讼</w:t>
            </w:r>
          </w:p>
        </w:tc>
      </w:tr>
      <w:tr w14:paraId="3741FA2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3E1E0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结果维持</w:t>
            </w:r>
          </w:p>
        </w:tc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4E990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3C3E7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93D9E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777A0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321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FF196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未经复议直接起诉</w:t>
            </w:r>
          </w:p>
        </w:tc>
        <w:tc>
          <w:tcPr>
            <w:tcW w:w="32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15814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复议后起诉</w:t>
            </w:r>
          </w:p>
        </w:tc>
      </w:tr>
      <w:tr w14:paraId="57FDF3E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E1D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7A52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4810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C58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6114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DD491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维持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6988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9F567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53C14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EE6A6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E7FFE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维持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73273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D29D3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B5A67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0E0A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 w14:paraId="23AAC93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2" w:hRule="atLeast"/>
          <w:jc w:val="center"/>
        </w:trPr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9174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7E1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F2B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B551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4355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C01E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242B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1FB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25EC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64C4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D26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DBC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A6D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E4B4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7483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</w:tr>
    </w:tbl>
    <w:p w14:paraId="5D61BA1D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  <w:t>五、存在的主要问题及改进情况</w:t>
      </w:r>
    </w:p>
    <w:p w14:paraId="25731CA0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一</w:t>
      </w: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存在主要问题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公开内容深度不足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部分政策文件解读较为简略，多以文字说明为主，图解、视频等生动易懂的解读形式较少，群众理解度有待提升；重点领域信息公开的精细化、具体化程度不够，对群众关切的民生服务细节公开不充分。</w:t>
      </w:r>
    </w:p>
    <w:p w14:paraId="388742C0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改进情况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深化公开内容建设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聚焦医疗卫生政策、公共卫生服务、医疗机构监管、健康科普等重点领域，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积极更新公开信息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；对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需要重点解读的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政策文件同步编制图文解读等通俗化材料，通过案例分析、流程图示等形式提升可读性，确保公开信息精准对接群众需求。</w:t>
      </w:r>
    </w:p>
    <w:p w14:paraId="74BA5B2D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六、其他需要报告的事项</w:t>
      </w:r>
    </w:p>
    <w:p w14:paraId="512843FD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（一）依申请公开信息处理费收取情况</w:t>
      </w:r>
    </w:p>
    <w:p w14:paraId="704B85A4">
      <w:pPr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2025年度，县卫健局严格按照《政府信息公开信息处理费管理办法》相关规定，未向公民、法人或其他组织收取任何政府信息公开信息处理费。</w:t>
      </w:r>
    </w:p>
    <w:p w14:paraId="60A568C1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（二）人大代表建议、政协委员提案办理结果公开情况</w:t>
      </w:r>
    </w:p>
    <w:p w14:paraId="74E56775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2025年度，县卫健局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40"/>
          <w:lang w:val="en-US" w:eastAsia="zh-CN"/>
        </w:rPr>
        <w:t>共收到4件人大代表提案、6件政协委员提案，对各件提案回复内容均进行认真整理汇总，并在要求时限内全部办理完结，及时邮寄给各提案人。提案回复情况及具体办理情况已经通过政府网站进行公开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40"/>
          <w:lang w:val="en-US" w:eastAsia="zh-CN"/>
        </w:rPr>
        <w:t>（不包括不予公开件）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40"/>
          <w:lang w:val="en-US" w:eastAsia="zh-CN"/>
        </w:rPr>
        <w:t>。</w:t>
      </w:r>
    </w:p>
    <w:p w14:paraId="14778DBC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（三）政务公开工作创新情况</w:t>
      </w:r>
    </w:p>
    <w:p w14:paraId="3C85CB95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特色科普拓宽公开维度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让群众足部出户就能获取专业、权威的健康知识。县卫生健康局充分发挥行业优势，整合县人民医院、县中医医院、县妇幼保健院优质医疗资源，以医院官方公众号为核心载体，围绕妇女、未成年人、老年人等不同群体及农村、工矿企业等不同地域的健康需求，在健康科普专栏定期推送常见病、多发病的病因、症状识别、规范用药及康复护理知识，同时针对多种慢性病，解读最新诊疗指南与长期管理技巧。</w:t>
      </w:r>
    </w:p>
    <w:p w14:paraId="49255509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（四）</w:t>
      </w: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政务公开重点工作</w:t>
      </w: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落实情况</w:t>
      </w:r>
    </w:p>
    <w:p w14:paraId="3958118F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一是全面推进"双随机、一公开"监管模式，公开抽查计划、检查结果等信息，累计公示医疗机构、公共场所等领域监督检查结果175家次，确保执法过程透明规范。二是围绕群众高频关切，深化医疗卫生服务领域信息公开，在各医疗机构设置信息公开区，主动公示诊疗项目、收费标准、医保政策、医师资质等内容。三是优化政府门户网站信息公开专栏分类设置，细化机构职能、重点民生、管理和服务公开等31个二级栏目，确保检索便捷、内容精准。四是严格落实"三审三校"信息发布审核制度，全面防范失泄密风险。强化依申请公开全流程管理，规范接收、登记、审核、答复、归档等各环节工作，全年未收到政府信息公开申请，未发生行政复议和行政诉讼案件。</w:t>
      </w:r>
    </w:p>
    <w:p w14:paraId="5DF6FDC8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（五）公共企事业单位信息公开工作开展情况</w:t>
      </w:r>
    </w:p>
    <w:p w14:paraId="3250C5FA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2025年度，县卫健局指导县域内15家公立医疗机构按照相关公开要求公开政务信息716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做到应公开尽公开。</w:t>
      </w:r>
    </w:p>
    <w:p w14:paraId="797D6C04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left"/>
        <w:textAlignment w:val="auto"/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  <w:t>六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  <w:t>其他需要说明的事项</w:t>
      </w:r>
    </w:p>
    <w:p w14:paraId="017AD520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无</w:t>
      </w:r>
    </w:p>
    <w:sectPr>
      <w:footerReference r:id="rId3" w:type="default"/>
      <w:pgSz w:w="11906" w:h="16838"/>
      <w:pgMar w:top="1440" w:right="1474" w:bottom="1440" w:left="1588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9697FFF-829A-45E1-995C-312213F153F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8C938940-8105-416A-9071-A8FDCEE71652}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4AFE5CED-4001-4044-931F-685AC6CB8867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03302DCF-FB8E-4C8E-89DB-822502383862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0300228F-304A-4BDF-AC58-2C181567246B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03D08B60-BE63-4C1B-9AA3-BF1F42EB0E49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5162AF">
    <w:pPr>
      <w:pStyle w:val="5"/>
      <w:jc w:val="center"/>
      <w:rPr>
        <w:rFonts w:ascii="宋体" w:hAnsi="宋体" w:eastAsia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CF565C">
                          <w:pP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ACF565C">
                    <w:pPr>
                      <w:rPr>
                        <w:rFonts w:ascii="宋体" w:hAnsi="宋体" w:eastAsia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FB01679"/>
    <w:multiLevelType w:val="singleLevel"/>
    <w:tmpl w:val="0FB01679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7347D556"/>
    <w:multiLevelType w:val="singleLevel"/>
    <w:tmpl w:val="7347D556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C34"/>
    <w:rsid w:val="0003350B"/>
    <w:rsid w:val="000500B1"/>
    <w:rsid w:val="0006512C"/>
    <w:rsid w:val="000A57BF"/>
    <w:rsid w:val="000B4F9F"/>
    <w:rsid w:val="000C1FDA"/>
    <w:rsid w:val="00121655"/>
    <w:rsid w:val="00123E53"/>
    <w:rsid w:val="001679FF"/>
    <w:rsid w:val="00180B4F"/>
    <w:rsid w:val="00196721"/>
    <w:rsid w:val="001F026B"/>
    <w:rsid w:val="00203F15"/>
    <w:rsid w:val="00211F6A"/>
    <w:rsid w:val="00243BAF"/>
    <w:rsid w:val="00286BF3"/>
    <w:rsid w:val="002B58BB"/>
    <w:rsid w:val="00315DDF"/>
    <w:rsid w:val="00333740"/>
    <w:rsid w:val="00372E47"/>
    <w:rsid w:val="00384B12"/>
    <w:rsid w:val="00392DAD"/>
    <w:rsid w:val="003C1943"/>
    <w:rsid w:val="004162E7"/>
    <w:rsid w:val="00463EF5"/>
    <w:rsid w:val="004D3C2B"/>
    <w:rsid w:val="004D6D24"/>
    <w:rsid w:val="00502C34"/>
    <w:rsid w:val="00515416"/>
    <w:rsid w:val="00531FBB"/>
    <w:rsid w:val="00552F1D"/>
    <w:rsid w:val="005548EB"/>
    <w:rsid w:val="00612182"/>
    <w:rsid w:val="00683E94"/>
    <w:rsid w:val="006B5301"/>
    <w:rsid w:val="006E2A67"/>
    <w:rsid w:val="00760120"/>
    <w:rsid w:val="007E43CD"/>
    <w:rsid w:val="008244CB"/>
    <w:rsid w:val="00846109"/>
    <w:rsid w:val="00851E51"/>
    <w:rsid w:val="008C68B1"/>
    <w:rsid w:val="00923DE3"/>
    <w:rsid w:val="00990BC0"/>
    <w:rsid w:val="009D1EAC"/>
    <w:rsid w:val="00A9562B"/>
    <w:rsid w:val="00AC0838"/>
    <w:rsid w:val="00AC0B55"/>
    <w:rsid w:val="00B0360E"/>
    <w:rsid w:val="00B06CEF"/>
    <w:rsid w:val="00B82BD5"/>
    <w:rsid w:val="00B846A3"/>
    <w:rsid w:val="00BA1959"/>
    <w:rsid w:val="00BB1402"/>
    <w:rsid w:val="00BD1F13"/>
    <w:rsid w:val="00BD2DFA"/>
    <w:rsid w:val="00BF2FF7"/>
    <w:rsid w:val="00C106D4"/>
    <w:rsid w:val="00C24C5F"/>
    <w:rsid w:val="00C74995"/>
    <w:rsid w:val="00CA2A1F"/>
    <w:rsid w:val="00CE332F"/>
    <w:rsid w:val="00D206E1"/>
    <w:rsid w:val="00DD7168"/>
    <w:rsid w:val="00DF3523"/>
    <w:rsid w:val="00DF7D80"/>
    <w:rsid w:val="00ED6874"/>
    <w:rsid w:val="00ED698F"/>
    <w:rsid w:val="00EE7943"/>
    <w:rsid w:val="00F01622"/>
    <w:rsid w:val="00F03027"/>
    <w:rsid w:val="00F42818"/>
    <w:rsid w:val="00F57A9C"/>
    <w:rsid w:val="00F7173D"/>
    <w:rsid w:val="00F90155"/>
    <w:rsid w:val="00FC01CB"/>
    <w:rsid w:val="00FF3FF5"/>
    <w:rsid w:val="00FF65C3"/>
    <w:rsid w:val="0653264B"/>
    <w:rsid w:val="07061EA1"/>
    <w:rsid w:val="07E68B3F"/>
    <w:rsid w:val="07F66996"/>
    <w:rsid w:val="0A913D04"/>
    <w:rsid w:val="0BB22F8E"/>
    <w:rsid w:val="110034B4"/>
    <w:rsid w:val="1191235E"/>
    <w:rsid w:val="154006BB"/>
    <w:rsid w:val="159A4C5C"/>
    <w:rsid w:val="17FB98E6"/>
    <w:rsid w:val="1EFF0BEB"/>
    <w:rsid w:val="29F554B0"/>
    <w:rsid w:val="2BA47406"/>
    <w:rsid w:val="2F631386"/>
    <w:rsid w:val="2FF97EE6"/>
    <w:rsid w:val="322C741C"/>
    <w:rsid w:val="32A7158A"/>
    <w:rsid w:val="359C77A4"/>
    <w:rsid w:val="35BC359E"/>
    <w:rsid w:val="35D24B6F"/>
    <w:rsid w:val="41326E0A"/>
    <w:rsid w:val="45A669BB"/>
    <w:rsid w:val="55AD05A3"/>
    <w:rsid w:val="56A1616C"/>
    <w:rsid w:val="5AFFE93D"/>
    <w:rsid w:val="5F517CFB"/>
    <w:rsid w:val="64E44C27"/>
    <w:rsid w:val="674F751F"/>
    <w:rsid w:val="69D361E5"/>
    <w:rsid w:val="6CCD01A8"/>
    <w:rsid w:val="6DE20A7D"/>
    <w:rsid w:val="6E6639AE"/>
    <w:rsid w:val="6FBCCEA2"/>
    <w:rsid w:val="71D27834"/>
    <w:rsid w:val="73B61051"/>
    <w:rsid w:val="75B75B8A"/>
    <w:rsid w:val="75F56048"/>
    <w:rsid w:val="777D6A45"/>
    <w:rsid w:val="7B5353D8"/>
    <w:rsid w:val="7E560B76"/>
    <w:rsid w:val="7FF6967A"/>
    <w:rsid w:val="9D4B5CFF"/>
    <w:rsid w:val="BA7B23C6"/>
    <w:rsid w:val="BF3F9C14"/>
    <w:rsid w:val="CBFDE662"/>
    <w:rsid w:val="D3EF5BF3"/>
    <w:rsid w:val="D63D6B5D"/>
    <w:rsid w:val="DBFFC837"/>
    <w:rsid w:val="DC3D8C31"/>
    <w:rsid w:val="DF775584"/>
    <w:rsid w:val="E529E0CE"/>
    <w:rsid w:val="F3FFE02F"/>
    <w:rsid w:val="F45338D3"/>
    <w:rsid w:val="F4FAA906"/>
    <w:rsid w:val="F79F210B"/>
    <w:rsid w:val="FBDFAB93"/>
    <w:rsid w:val="FBFB4A2E"/>
    <w:rsid w:val="FCFEC59D"/>
    <w:rsid w:val="FE734873"/>
    <w:rsid w:val="FFBE7715"/>
    <w:rsid w:val="FFBEF222"/>
    <w:rsid w:val="FFCEB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3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semiHidden/>
    <w:unhideWhenUsed/>
    <w:uiPriority w:val="99"/>
    <w:pPr>
      <w:jc w:val="left"/>
    </w:pPr>
  </w:style>
  <w:style w:type="paragraph" w:styleId="5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10">
    <w:name w:val="页眉 字符"/>
    <w:basedOn w:val="9"/>
    <w:link w:val="6"/>
    <w:qFormat/>
    <w:uiPriority w:val="99"/>
    <w:rPr>
      <w:sz w:val="18"/>
      <w:szCs w:val="18"/>
    </w:rPr>
  </w:style>
  <w:style w:type="character" w:customStyle="1" w:styleId="11">
    <w:name w:val="页脚 字符"/>
    <w:basedOn w:val="9"/>
    <w:link w:val="5"/>
    <w:qFormat/>
    <w:uiPriority w:val="99"/>
    <w:rPr>
      <w:sz w:val="18"/>
      <w:szCs w:val="18"/>
    </w:rPr>
  </w:style>
  <w:style w:type="character" w:customStyle="1" w:styleId="12">
    <w:name w:val="标题 1 字符"/>
    <w:basedOn w:val="9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3">
    <w:name w:val="标题 2 字符"/>
    <w:basedOn w:val="9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1410</Words>
  <Characters>1441</Characters>
  <Lines>75</Lines>
  <Paragraphs>21</Paragraphs>
  <TotalTime>5</TotalTime>
  <ScaleCrop>false</ScaleCrop>
  <LinksUpToDate>false</LinksUpToDate>
  <CharactersWithSpaces>1441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2021-09-05T15:57:00Z</dcterms:created>
  <dc:creator>qiyuanhua0168@163.com</dc:creator>
  <cp:lastModifiedBy>Darren</cp:lastModifiedBy>
  <cp:lastPrinted>2026-01-04T10:39:00Z</cp:lastPrinted>
  <dcterms:modified xsi:type="dcterms:W3CDTF">2026-02-28T03:03:11Z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eyJoZGlkIjoiMjg3ZjAyMDg1OGQ5ODY4NmE5NjlkNzRmYmM5NjEwYTgiLCJ1c2VySWQiOiIyMDI3OTg5NDcifQ==</vt:lpwstr>
  </property>
  <property fmtid="{D5CDD505-2E9C-101B-9397-08002B2CF9AE}" pid="4" name="ICV">
    <vt:lpwstr>7D680AB4F22146DD923A76E47781A5B5_13</vt:lpwstr>
  </property>
</Properties>
</file>