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10E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沂源县卫生健康局</w:t>
      </w:r>
    </w:p>
    <w:p w14:paraId="2C7E38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202</w:t>
      </w: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4</w:t>
      </w:r>
      <w:r>
        <w:rPr>
          <w:rFonts w:hint="eastAsia" w:ascii="方正小标宋简体" w:hAnsi="方正小标宋简体" w:eastAsia="方正小标宋简体" w:cs="方正小标宋简体"/>
          <w:b w:val="0"/>
          <w:bCs w:val="0"/>
          <w:i w:val="0"/>
          <w:iCs w:val="0"/>
          <w:caps w:val="0"/>
          <w:color w:val="333333"/>
          <w:spacing w:val="0"/>
          <w:sz w:val="44"/>
          <w:szCs w:val="44"/>
        </w:rPr>
        <w:t>年政府信息公开工作年度报告</w:t>
      </w:r>
    </w:p>
    <w:p w14:paraId="654283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ascii="仿宋_GB2312" w:hAnsi="微软雅黑" w:eastAsia="仿宋_GB2312" w:cs="仿宋_GB2312"/>
          <w:i w:val="0"/>
          <w:iCs w:val="0"/>
          <w:caps w:val="0"/>
          <w:color w:val="000000"/>
          <w:spacing w:val="0"/>
          <w:sz w:val="32"/>
          <w:szCs w:val="32"/>
        </w:rPr>
      </w:pPr>
    </w:p>
    <w:p w14:paraId="2C09ED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eastAsia" w:ascii="Times New Roman" w:hAnsi="Times New Roman" w:eastAsia="仿宋_GB2312" w:cs="Times New Roman"/>
          <w:i w:val="0"/>
          <w:iCs w:val="0"/>
          <w:caps w:val="0"/>
          <w:color w:val="000000"/>
          <w:spacing w:val="0"/>
          <w:sz w:val="32"/>
          <w:szCs w:val="32"/>
          <w:lang w:val="en-US" w:eastAsia="zh-CN"/>
        </w:rPr>
        <w:t>根据新修订《中华人民共和国政府信息公开条例》（国务院令</w:t>
      </w:r>
      <w:r>
        <w:rPr>
          <w:rFonts w:hint="default" w:ascii="Times New Roman" w:hAnsi="Times New Roman" w:eastAsia="仿宋_GB2312" w:cs="Times New Roman"/>
          <w:i w:val="0"/>
          <w:iCs w:val="0"/>
          <w:caps w:val="0"/>
          <w:color w:val="000000"/>
          <w:spacing w:val="0"/>
          <w:sz w:val="32"/>
          <w:szCs w:val="32"/>
        </w:rPr>
        <w:t>711号，以下简称《条例》</w:t>
      </w:r>
      <w:r>
        <w:rPr>
          <w:rFonts w:hint="eastAsia" w:ascii="Times New Roman" w:hAnsi="Times New Roman" w:eastAsia="仿宋_GB2312" w:cs="Times New Roman"/>
          <w:i w:val="0"/>
          <w:iCs w:val="0"/>
          <w:caps w:val="0"/>
          <w:color w:val="000000"/>
          <w:spacing w:val="0"/>
          <w:sz w:val="32"/>
          <w:szCs w:val="32"/>
          <w:lang w:val="en-US" w:eastAsia="zh-CN"/>
        </w:rPr>
        <w:t>）有关规定，按照《国务院办公厅政府信息与政务公开办公室关于印发&lt;中华人民共和国政府信息公开工作年度报告格式&gt;的通知》（国办公开办函〔2021〕30号）相关要求，编制本报告并向社会公开。全文包括沂源县卫生健康局2024年政府信息公开工作总体情况、主动公开政府信息情况、收到和处理政府信息公开申请情况、政府信息公开行政复议和行政诉讼情况、存在的主要问题及改进情况、其他需要报告的事项</w:t>
      </w:r>
      <w:r>
        <w:rPr>
          <w:rFonts w:hint="eastAsia" w:ascii="仿宋_GB2312" w:hAnsi="微软雅黑" w:eastAsia="仿宋_GB2312" w:cs="仿宋_GB2312"/>
          <w:i w:val="0"/>
          <w:iCs w:val="0"/>
          <w:caps w:val="0"/>
          <w:color w:val="000000"/>
          <w:spacing w:val="0"/>
          <w:sz w:val="32"/>
          <w:szCs w:val="32"/>
        </w:rPr>
        <w:t>（包括收取信息处理费情况、落实上级年度政务公开工作要点情况、建议提案办理结果公开情况、创新举措</w:t>
      </w:r>
      <w:r>
        <w:rPr>
          <w:rFonts w:hint="eastAsia" w:ascii="仿宋_GB2312" w:hAnsi="微软雅黑" w:eastAsia="仿宋_GB2312" w:cs="仿宋_GB2312"/>
          <w:i w:val="0"/>
          <w:iCs w:val="0"/>
          <w:caps w:val="0"/>
          <w:color w:val="000000"/>
          <w:spacing w:val="0"/>
          <w:sz w:val="32"/>
          <w:szCs w:val="32"/>
          <w:lang w:val="en-US" w:eastAsia="zh-CN"/>
        </w:rPr>
        <w:t>开展情况</w:t>
      </w:r>
      <w:r>
        <w:rPr>
          <w:rFonts w:hint="eastAsia" w:ascii="仿宋_GB2312" w:hAnsi="微软雅黑" w:eastAsia="仿宋_GB2312" w:cs="仿宋_GB2312"/>
          <w:i w:val="0"/>
          <w:iCs w:val="0"/>
          <w:caps w:val="0"/>
          <w:color w:val="000000"/>
          <w:spacing w:val="0"/>
          <w:sz w:val="32"/>
          <w:szCs w:val="32"/>
        </w:rPr>
        <w:t>、医疗卫生机构信息公开工作开展情况、有关数据统计说明）</w:t>
      </w:r>
      <w:r>
        <w:rPr>
          <w:rFonts w:hint="default" w:ascii="Times New Roman" w:hAnsi="Times New Roman" w:eastAsia="仿宋_GB2312" w:cs="Times New Roman"/>
          <w:i w:val="0"/>
          <w:iCs w:val="0"/>
          <w:caps w:val="0"/>
          <w:color w:val="000000"/>
          <w:spacing w:val="0"/>
          <w:sz w:val="32"/>
          <w:szCs w:val="32"/>
          <w:lang w:val="en-US" w:eastAsia="zh-CN"/>
        </w:rPr>
        <w:t>6个</w:t>
      </w:r>
      <w:r>
        <w:rPr>
          <w:rFonts w:hint="eastAsia" w:ascii="仿宋_GB2312" w:hAnsi="微软雅黑" w:eastAsia="仿宋_GB2312" w:cs="仿宋_GB2312"/>
          <w:i w:val="0"/>
          <w:iCs w:val="0"/>
          <w:caps w:val="0"/>
          <w:color w:val="000000"/>
          <w:spacing w:val="0"/>
          <w:sz w:val="32"/>
          <w:szCs w:val="32"/>
          <w:lang w:val="en-US" w:eastAsia="zh-CN"/>
        </w:rPr>
        <w:t>部分。</w:t>
      </w:r>
    </w:p>
    <w:p w14:paraId="65B07E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rPr>
      </w:pPr>
      <w:r>
        <w:rPr>
          <w:rFonts w:hint="eastAsia" w:ascii="Times New Roman" w:hAnsi="Times New Roman" w:eastAsia="仿宋_GB2312" w:cs="Times New Roman"/>
          <w:i w:val="0"/>
          <w:iCs w:val="0"/>
          <w:caps w:val="0"/>
          <w:color w:val="000000"/>
          <w:spacing w:val="0"/>
          <w:sz w:val="32"/>
          <w:szCs w:val="32"/>
          <w:lang w:val="en-US" w:eastAsia="zh-CN"/>
        </w:rPr>
        <w:t>本报告所列数据的统计时限为</w:t>
      </w:r>
      <w:r>
        <w:rPr>
          <w:rFonts w:hint="default" w:ascii="Times New Roman" w:hAnsi="Times New Roman" w:eastAsia="仿宋_GB2312" w:cs="Times New Roman"/>
          <w:i w:val="0"/>
          <w:iCs w:val="0"/>
          <w:caps w:val="0"/>
          <w:color w:val="000000"/>
          <w:spacing w:val="0"/>
          <w:sz w:val="32"/>
          <w:szCs w:val="32"/>
        </w:rPr>
        <w:t>202</w:t>
      </w:r>
      <w:r>
        <w:rPr>
          <w:rFonts w:hint="eastAsia"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年1月1日至202</w:t>
      </w:r>
      <w:r>
        <w:rPr>
          <w:rFonts w:hint="eastAsia"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年12月31日。</w:t>
      </w:r>
      <w:r>
        <w:rPr>
          <w:rFonts w:hint="default" w:ascii="Times New Roman" w:hAnsi="Times New Roman" w:eastAsia="仿宋_GB2312" w:cs="Times New Roman"/>
          <w:i w:val="0"/>
          <w:iCs w:val="0"/>
          <w:caps w:val="0"/>
          <w:color w:val="000000"/>
          <w:spacing w:val="0"/>
          <w:sz w:val="32"/>
          <w:szCs w:val="32"/>
          <w:lang w:val="en-US" w:eastAsia="zh-CN"/>
        </w:rPr>
        <w:t>本报告</w:t>
      </w:r>
      <w:r>
        <w:rPr>
          <w:rFonts w:hint="eastAsia" w:ascii="Times New Roman" w:hAnsi="Times New Roman" w:eastAsia="仿宋_GB2312" w:cs="Times New Roman"/>
          <w:i w:val="0"/>
          <w:iCs w:val="0"/>
          <w:caps w:val="0"/>
          <w:color w:val="000000"/>
          <w:spacing w:val="0"/>
          <w:sz w:val="32"/>
          <w:szCs w:val="32"/>
          <w:lang w:val="en-US" w:eastAsia="zh-CN"/>
        </w:rPr>
        <w:t>可</w:t>
      </w:r>
      <w:r>
        <w:rPr>
          <w:rFonts w:hint="default" w:ascii="Times New Roman" w:hAnsi="Times New Roman" w:eastAsia="仿宋_GB2312" w:cs="Times New Roman"/>
          <w:i w:val="0"/>
          <w:iCs w:val="0"/>
          <w:caps w:val="0"/>
          <w:color w:val="000000"/>
          <w:spacing w:val="0"/>
          <w:sz w:val="32"/>
          <w:szCs w:val="32"/>
          <w:lang w:val="en-US" w:eastAsia="zh-CN"/>
        </w:rPr>
        <w:t>在</w:t>
      </w:r>
      <w:r>
        <w:rPr>
          <w:rFonts w:hint="default" w:ascii="Times New Roman" w:hAnsi="Times New Roman" w:eastAsia="仿宋_GB2312" w:cs="Times New Roman"/>
          <w:i w:val="0"/>
          <w:iCs w:val="0"/>
          <w:caps w:val="0"/>
          <w:color w:val="000000"/>
          <w:spacing w:val="0"/>
          <w:sz w:val="32"/>
          <w:szCs w:val="32"/>
        </w:rPr>
        <w:t>沂源县人民政府门户网站（www.yiyuan.gov.cn）</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lang w:val="en-US" w:eastAsia="zh-CN"/>
        </w:rPr>
        <w:t>政务公开</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lang w:val="en-US" w:eastAsia="zh-CN"/>
        </w:rPr>
        <w:t>专栏</w:t>
      </w:r>
      <w:r>
        <w:rPr>
          <w:rFonts w:hint="eastAsia" w:ascii="Times New Roman" w:hAnsi="Times New Roman" w:eastAsia="仿宋_GB2312" w:cs="Times New Roman"/>
          <w:i w:val="0"/>
          <w:iCs w:val="0"/>
          <w:caps w:val="0"/>
          <w:color w:val="000000"/>
          <w:spacing w:val="0"/>
          <w:sz w:val="32"/>
          <w:szCs w:val="32"/>
          <w:lang w:val="en-US" w:eastAsia="zh-CN"/>
        </w:rPr>
        <w:t>查阅和下载</w:t>
      </w:r>
      <w:r>
        <w:rPr>
          <w:rFonts w:hint="default" w:ascii="Times New Roman" w:hAnsi="Times New Roman" w:eastAsia="仿宋_GB2312" w:cs="Times New Roman"/>
          <w:i w:val="0"/>
          <w:iCs w:val="0"/>
          <w:caps w:val="0"/>
          <w:color w:val="000000"/>
          <w:spacing w:val="0"/>
          <w:sz w:val="32"/>
          <w:szCs w:val="32"/>
        </w:rPr>
        <w:t>。</w:t>
      </w:r>
    </w:p>
    <w:p w14:paraId="5D5669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i w:val="0"/>
          <w:iCs w:val="0"/>
          <w:caps w:val="0"/>
          <w:color w:val="000000"/>
          <w:spacing w:val="0"/>
          <w:sz w:val="32"/>
          <w:szCs w:val="32"/>
          <w:lang w:val="en-US" w:eastAsia="zh-CN"/>
        </w:rPr>
      </w:pPr>
      <w:r>
        <w:rPr>
          <w:rFonts w:hint="default" w:ascii="Times New Roman" w:hAnsi="Times New Roman" w:eastAsia="仿宋_GB2312" w:cs="Times New Roman"/>
          <w:i w:val="0"/>
          <w:iCs w:val="0"/>
          <w:caps w:val="0"/>
          <w:color w:val="000000"/>
          <w:spacing w:val="0"/>
          <w:sz w:val="32"/>
          <w:szCs w:val="32"/>
        </w:rPr>
        <w:t>如对报告内容有疑问，请与沂源县卫生健康局联系（地址：</w:t>
      </w:r>
      <w:r>
        <w:rPr>
          <w:rFonts w:hint="default" w:ascii="Times New Roman" w:hAnsi="Times New Roman" w:eastAsia="仿宋_GB2312" w:cs="Times New Roman"/>
          <w:i w:val="0"/>
          <w:iCs w:val="0"/>
          <w:caps w:val="0"/>
          <w:color w:val="000000"/>
          <w:spacing w:val="0"/>
          <w:sz w:val="32"/>
          <w:szCs w:val="32"/>
          <w:lang w:val="en-US" w:eastAsia="zh-CN"/>
        </w:rPr>
        <w:t>山东省淄博市</w:t>
      </w:r>
      <w:r>
        <w:rPr>
          <w:rFonts w:hint="default" w:ascii="Times New Roman" w:hAnsi="Times New Roman" w:eastAsia="仿宋_GB2312" w:cs="Times New Roman"/>
          <w:i w:val="0"/>
          <w:iCs w:val="0"/>
          <w:caps w:val="0"/>
          <w:color w:val="000000"/>
          <w:spacing w:val="0"/>
          <w:sz w:val="32"/>
          <w:szCs w:val="32"/>
        </w:rPr>
        <w:t>沂源县城军民路2号；邮编：256100；电话：0533-3241187；邮箱:yywjjbgs@zb.shandong.cn）。</w:t>
      </w:r>
    </w:p>
    <w:p w14:paraId="700290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一、总体情况</w:t>
      </w:r>
    </w:p>
    <w:p w14:paraId="4CB0DC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Times New Roman" w:hAnsi="Times New Roman" w:eastAsia="仿宋_GB2312" w:cs="Times New Roman"/>
          <w:i w:val="0"/>
          <w:iCs w:val="0"/>
          <w:caps w:val="0"/>
          <w:color w:val="000000"/>
          <w:spacing w:val="0"/>
          <w:sz w:val="32"/>
          <w:szCs w:val="32"/>
          <w:lang w:val="en-US" w:eastAsia="zh-CN"/>
        </w:rPr>
        <w:t>2024年，沂源县卫生健康局坚持以习近平新时代中国特色社会主义思想为指导，认真贯彻《条例》等文件精神，严格落实</w:t>
      </w:r>
      <w:r>
        <w:rPr>
          <w:rFonts w:hint="eastAsia" w:ascii="仿宋_GB2312" w:hAnsi="微软雅黑" w:eastAsia="仿宋_GB2312" w:cs="仿宋_GB2312"/>
          <w:i w:val="0"/>
          <w:iCs w:val="0"/>
          <w:caps w:val="0"/>
          <w:color w:val="000000"/>
          <w:spacing w:val="0"/>
          <w:sz w:val="32"/>
          <w:szCs w:val="32"/>
          <w:lang w:val="en-US" w:eastAsia="zh-CN"/>
        </w:rPr>
        <w:t>国家和省市县关于政务公开工作的决策部署，坚持健康惠民原则，围绕全县卫生健康工作实际及群众关注关切的热点难点问题，提升信息公开质量，夯实公开工作基础，统筹公开与安全保密，不断提升政务公开工作质量和实效。</w:t>
      </w:r>
    </w:p>
    <w:p w14:paraId="492A353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left"/>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kern w:val="0"/>
          <w:sz w:val="32"/>
          <w:szCs w:val="32"/>
          <w:lang w:val="en-US" w:eastAsia="zh-CN" w:bidi="ar"/>
        </w:rPr>
        <w:t>（一）</w:t>
      </w:r>
      <w:r>
        <w:rPr>
          <w:rFonts w:hint="eastAsia" w:ascii="楷体_GB2312" w:hAnsi="楷体_GB2312" w:eastAsia="楷体_GB2312" w:cs="楷体_GB2312"/>
          <w:i w:val="0"/>
          <w:iCs w:val="0"/>
          <w:caps w:val="0"/>
          <w:color w:val="000000"/>
          <w:spacing w:val="0"/>
          <w:sz w:val="32"/>
          <w:szCs w:val="32"/>
        </w:rPr>
        <w:t>主动公开</w:t>
      </w:r>
      <w:r>
        <w:rPr>
          <w:rFonts w:hint="eastAsia" w:ascii="楷体_GB2312" w:hAnsi="楷体_GB2312" w:eastAsia="楷体_GB2312" w:cs="楷体_GB2312"/>
          <w:i w:val="0"/>
          <w:iCs w:val="0"/>
          <w:caps w:val="0"/>
          <w:color w:val="000000"/>
          <w:spacing w:val="0"/>
          <w:sz w:val="32"/>
          <w:szCs w:val="32"/>
          <w:lang w:val="en-US" w:eastAsia="zh-CN"/>
        </w:rPr>
        <w:t>政府信息</w:t>
      </w:r>
      <w:r>
        <w:rPr>
          <w:rFonts w:hint="eastAsia" w:ascii="楷体_GB2312" w:hAnsi="楷体_GB2312" w:eastAsia="楷体_GB2312" w:cs="楷体_GB2312"/>
          <w:i w:val="0"/>
          <w:iCs w:val="0"/>
          <w:caps w:val="0"/>
          <w:color w:val="000000"/>
          <w:spacing w:val="0"/>
          <w:sz w:val="32"/>
          <w:szCs w:val="32"/>
        </w:rPr>
        <w:t>情况</w:t>
      </w:r>
    </w:p>
    <w:p w14:paraId="1B218BD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加强组织领导，压实主体责任，严格落实“管业务就要管公开”的工作要求，制定《沂源县卫生健康局</w:t>
      </w:r>
      <w:r>
        <w:rPr>
          <w:rFonts w:hint="default" w:ascii="Times New Roman" w:hAnsi="Times New Roman" w:eastAsia="仿宋_GB2312" w:cs="Times New Roman"/>
          <w:i w:val="0"/>
          <w:iCs w:val="0"/>
          <w:caps w:val="0"/>
          <w:color w:val="000000"/>
          <w:spacing w:val="0"/>
          <w:sz w:val="32"/>
          <w:szCs w:val="32"/>
          <w:lang w:val="en-US" w:eastAsia="zh-CN"/>
        </w:rPr>
        <w:t>202</w:t>
      </w:r>
      <w:r>
        <w:rPr>
          <w:rFonts w:hint="eastAsia" w:ascii="Times New Roman" w:hAnsi="Times New Roman" w:eastAsia="仿宋_GB2312" w:cs="Times New Roman"/>
          <w:i w:val="0"/>
          <w:iCs w:val="0"/>
          <w:caps w:val="0"/>
          <w:color w:val="000000"/>
          <w:spacing w:val="0"/>
          <w:sz w:val="32"/>
          <w:szCs w:val="32"/>
          <w:lang w:val="en-US" w:eastAsia="zh-CN"/>
        </w:rPr>
        <w:t>4</w:t>
      </w:r>
      <w:r>
        <w:rPr>
          <w:rFonts w:hint="eastAsia" w:ascii="仿宋_GB2312" w:hAnsi="微软雅黑" w:eastAsia="仿宋_GB2312" w:cs="仿宋_GB2312"/>
          <w:i w:val="0"/>
          <w:iCs w:val="0"/>
          <w:caps w:val="0"/>
          <w:color w:val="000000"/>
          <w:spacing w:val="0"/>
          <w:sz w:val="32"/>
          <w:szCs w:val="32"/>
          <w:lang w:val="en-US" w:eastAsia="zh-CN"/>
        </w:rPr>
        <w:t>年政务公开工作实施方案》，确保各项工作落实到位</w:t>
      </w:r>
      <w:r>
        <w:rPr>
          <w:rFonts w:hint="default" w:ascii="Times New Roman" w:hAnsi="Times New Roman" w:eastAsia="仿宋_GB2312" w:cs="Times New Roman"/>
          <w:i w:val="0"/>
          <w:iCs w:val="0"/>
          <w:caps w:val="0"/>
          <w:color w:val="000000"/>
          <w:spacing w:val="0"/>
          <w:sz w:val="32"/>
          <w:szCs w:val="32"/>
          <w:lang w:val="en-US" w:eastAsia="zh-CN"/>
        </w:rPr>
        <w:t>。</w:t>
      </w:r>
    </w:p>
    <w:p w14:paraId="28BD516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仿宋_GB2312" w:cs="Times New Roman"/>
          <w:i w:val="0"/>
          <w:iCs w:val="0"/>
          <w:caps w:val="0"/>
          <w:color w:val="000000"/>
          <w:spacing w:val="0"/>
          <w:sz w:val="32"/>
          <w:szCs w:val="32"/>
          <w:lang w:val="en-US" w:eastAsia="zh-CN"/>
        </w:rPr>
        <w:t>202</w:t>
      </w:r>
      <w:r>
        <w:rPr>
          <w:rFonts w:hint="eastAsia"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lang w:val="en-US" w:eastAsia="zh-CN"/>
        </w:rPr>
        <w:t>年</w:t>
      </w:r>
      <w:r>
        <w:rPr>
          <w:rFonts w:hint="eastAsia" w:ascii="Times New Roman" w:hAnsi="Times New Roman" w:eastAsia="仿宋_GB2312" w:cs="Times New Roman"/>
          <w:i w:val="0"/>
          <w:iCs w:val="0"/>
          <w:caps w:val="0"/>
          <w:color w:val="000000"/>
          <w:spacing w:val="0"/>
          <w:sz w:val="32"/>
          <w:szCs w:val="32"/>
          <w:lang w:val="en-US" w:eastAsia="zh-CN"/>
        </w:rPr>
        <w:t>，通过县政府门户网站向社会主动发布各类信息247条（不</w:t>
      </w:r>
      <w:r>
        <w:rPr>
          <w:rFonts w:hint="default" w:ascii="Times New Roman" w:hAnsi="Times New Roman" w:eastAsia="仿宋_GB2312" w:cs="Times New Roman"/>
          <w:i w:val="0"/>
          <w:iCs w:val="0"/>
          <w:caps w:val="0"/>
          <w:color w:val="000000"/>
          <w:spacing w:val="0"/>
          <w:sz w:val="32"/>
          <w:szCs w:val="32"/>
          <w:lang w:val="en-US" w:eastAsia="zh-CN"/>
        </w:rPr>
        <w:t>包含公共企事业单位信息</w:t>
      </w:r>
      <w:r>
        <w:rPr>
          <w:rFonts w:hint="eastAsia" w:ascii="Times New Roman" w:hAnsi="Times New Roman" w:eastAsia="仿宋_GB2312" w:cs="Times New Roman"/>
          <w:i w:val="0"/>
          <w:iCs w:val="0"/>
          <w:caps w:val="0"/>
          <w:color w:val="000000"/>
          <w:spacing w:val="0"/>
          <w:sz w:val="32"/>
          <w:szCs w:val="32"/>
          <w:lang w:val="en-US" w:eastAsia="zh-CN"/>
        </w:rPr>
        <w:t>），涵盖医疗机构、医疗服务（机构和个人诊疗活动、职业病防治、放射诊疗、处方监督、抗菌药物监督、传染病防治等）、水污染防治（水质状况）</w:t>
      </w:r>
      <w:r>
        <w:rPr>
          <w:rFonts w:hint="default" w:ascii="Times New Roman" w:hAnsi="Times New Roman" w:eastAsia="仿宋_GB2312" w:cs="Times New Roman"/>
          <w:i w:val="0"/>
          <w:iCs w:val="0"/>
          <w:caps w:val="0"/>
          <w:color w:val="000000"/>
          <w:spacing w:val="0"/>
          <w:sz w:val="32"/>
          <w:szCs w:val="32"/>
          <w:lang w:val="en-US" w:eastAsia="zh-CN"/>
        </w:rPr>
        <w:t>、招考招聘、会议培训</w:t>
      </w:r>
      <w:r>
        <w:rPr>
          <w:rFonts w:hint="eastAsia" w:ascii="Times New Roman" w:hAnsi="Times New Roman" w:eastAsia="仿宋_GB2312" w:cs="Times New Roman"/>
          <w:i w:val="0"/>
          <w:iCs w:val="0"/>
          <w:caps w:val="0"/>
          <w:color w:val="000000"/>
          <w:spacing w:val="0"/>
          <w:sz w:val="32"/>
          <w:szCs w:val="32"/>
          <w:lang w:val="en-US" w:eastAsia="zh-CN"/>
        </w:rPr>
        <w:t>、政府开放日活动等领域；结合医疗救治、疾病防控等业务职能，动态调整充实健康科普、传染病防治等信息。</w:t>
      </w:r>
    </w:p>
    <w:p w14:paraId="3EE5BC6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pPr>
      <w:r>
        <w:rPr>
          <w:rFonts w:hint="eastAsia" w:ascii="Times New Roman" w:hAnsi="Times New Roman" w:eastAsia="仿宋_GB2312" w:cs="Times New Roman"/>
          <w:i w:val="0"/>
          <w:iCs w:val="0"/>
          <w:caps w:val="0"/>
          <w:color w:val="000000"/>
          <w:spacing w:val="0"/>
          <w:sz w:val="32"/>
          <w:szCs w:val="32"/>
          <w:lang w:val="en-US" w:eastAsia="zh-CN"/>
        </w:rPr>
        <w:t>在重点领域信息公开方面，本机关主要涉及医疗机构信息，医疗救助、法定传染病和重大公共卫生事件等信息公开。2024年，重点围绕传染病预防处置、医疗卫生服务、公共企事业单位（医疗机构）等方面信息进行公开，推动提升人民群众健康水平，保障医疗服务监管措施落地见效。</w:t>
      </w:r>
    </w:p>
    <w:p w14:paraId="61D8CB4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0"/>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（二）</w:t>
      </w:r>
      <w:r>
        <w:rPr>
          <w:rFonts w:hint="eastAsia" w:ascii="楷体_GB2312" w:hAnsi="楷体_GB2312" w:eastAsia="楷体_GB2312" w:cs="楷体_GB2312"/>
          <w:i w:val="0"/>
          <w:iCs w:val="0"/>
          <w:caps w:val="0"/>
          <w:color w:val="000000"/>
          <w:spacing w:val="0"/>
          <w:sz w:val="32"/>
          <w:szCs w:val="32"/>
          <w:shd w:val="clear" w:fill="FFFFFF"/>
        </w:rPr>
        <w:t>依申请公开</w:t>
      </w:r>
      <w:r>
        <w:rPr>
          <w:rFonts w:hint="eastAsia" w:ascii="楷体_GB2312" w:hAnsi="楷体_GB2312" w:eastAsia="楷体_GB2312" w:cs="楷体_GB2312"/>
          <w:i w:val="0"/>
          <w:iCs w:val="0"/>
          <w:caps w:val="0"/>
          <w:color w:val="000000"/>
          <w:spacing w:val="0"/>
          <w:sz w:val="32"/>
          <w:szCs w:val="32"/>
          <w:shd w:val="clear" w:fill="FFFFFF"/>
          <w:lang w:val="en-US" w:eastAsia="zh-CN"/>
        </w:rPr>
        <w:t>办理</w:t>
      </w:r>
      <w:r>
        <w:rPr>
          <w:rFonts w:hint="eastAsia" w:ascii="楷体_GB2312" w:hAnsi="楷体_GB2312" w:eastAsia="楷体_GB2312" w:cs="楷体_GB2312"/>
          <w:i w:val="0"/>
          <w:iCs w:val="0"/>
          <w:caps w:val="0"/>
          <w:color w:val="000000"/>
          <w:spacing w:val="0"/>
          <w:sz w:val="32"/>
          <w:szCs w:val="32"/>
          <w:shd w:val="clear" w:fill="FFFFFF"/>
        </w:rPr>
        <w:t>情况</w:t>
      </w:r>
    </w:p>
    <w:p w14:paraId="5E91819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微软雅黑" w:eastAsia="楷体_GB2312" w:cs="楷体_GB2312"/>
          <w:i w:val="0"/>
          <w:iCs w:val="0"/>
          <w:caps w:val="0"/>
          <w:color w:val="000000"/>
          <w:spacing w:val="0"/>
          <w:kern w:val="0"/>
          <w:sz w:val="32"/>
          <w:szCs w:val="32"/>
          <w:lang w:val="en-US" w:eastAsia="zh-CN" w:bidi="ar"/>
        </w:rPr>
      </w:pPr>
      <w:r>
        <w:rPr>
          <w:rFonts w:hint="eastAsia" w:ascii="Times New Roman" w:hAnsi="Times New Roman" w:eastAsia="仿宋_GB2312" w:cs="Times New Roman"/>
          <w:i w:val="0"/>
          <w:iCs w:val="0"/>
          <w:caps w:val="0"/>
          <w:color w:val="000000"/>
          <w:spacing w:val="0"/>
          <w:sz w:val="32"/>
          <w:szCs w:val="32"/>
          <w:shd w:val="clear" w:fill="FFFFFF"/>
          <w:lang w:val="en-US" w:eastAsia="zh-CN"/>
        </w:rPr>
        <w:t>持续规范信息公开申请提出、处理、答复等工作流程，更好地适应申请人对政府信息的个性化需求。</w:t>
      </w: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年，</w:t>
      </w:r>
      <w:r>
        <w:rPr>
          <w:rFonts w:hint="default" w:ascii="Times New Roman" w:hAnsi="Times New Roman" w:eastAsia="仿宋_GB2312" w:cs="Times New Roman"/>
          <w:i w:val="0"/>
          <w:iCs w:val="0"/>
          <w:caps w:val="0"/>
          <w:color w:val="000000"/>
          <w:spacing w:val="0"/>
          <w:sz w:val="32"/>
          <w:szCs w:val="32"/>
          <w:shd w:val="clear" w:fill="FFFFFF"/>
          <w:lang w:val="en-US" w:eastAsia="zh-CN"/>
        </w:rPr>
        <w:t>本机关</w:t>
      </w:r>
      <w:r>
        <w:rPr>
          <w:rFonts w:hint="default" w:ascii="Times New Roman" w:hAnsi="Times New Roman" w:eastAsia="仿宋_GB2312" w:cs="Times New Roman"/>
          <w:i w:val="0"/>
          <w:iCs w:val="0"/>
          <w:caps w:val="0"/>
          <w:color w:val="000000"/>
          <w:spacing w:val="0"/>
          <w:sz w:val="32"/>
          <w:szCs w:val="32"/>
          <w:shd w:val="clear" w:fill="FFFFFF"/>
        </w:rPr>
        <w:t>收到</w:t>
      </w:r>
      <w:r>
        <w:rPr>
          <w:rFonts w:hint="default" w:ascii="Times New Roman" w:hAnsi="Times New Roman" w:eastAsia="仿宋_GB2312" w:cs="Times New Roman"/>
          <w:i w:val="0"/>
          <w:iCs w:val="0"/>
          <w:caps w:val="0"/>
          <w:color w:val="000000"/>
          <w:spacing w:val="0"/>
          <w:sz w:val="32"/>
          <w:szCs w:val="32"/>
          <w:shd w:val="clear" w:fill="FFFFFF"/>
          <w:lang w:val="en-US" w:eastAsia="zh-CN"/>
        </w:rPr>
        <w:t>政府信息公开申请</w:t>
      </w:r>
      <w:r>
        <w:rPr>
          <w:rFonts w:hint="eastAsia" w:ascii="Times New Roman" w:hAnsi="Times New Roman" w:eastAsia="仿宋_GB2312" w:cs="Times New Roman"/>
          <w:i w:val="0"/>
          <w:iCs w:val="0"/>
          <w:caps w:val="0"/>
          <w:color w:val="000000"/>
          <w:spacing w:val="0"/>
          <w:sz w:val="32"/>
          <w:szCs w:val="32"/>
          <w:shd w:val="clear" w:fill="FFFFFF"/>
          <w:lang w:val="en-US" w:eastAsia="zh-CN"/>
        </w:rPr>
        <w:t>0</w:t>
      </w:r>
      <w:r>
        <w:rPr>
          <w:rFonts w:hint="default" w:ascii="Times New Roman" w:hAnsi="Times New Roman" w:eastAsia="仿宋_GB2312" w:cs="Times New Roman"/>
          <w:i w:val="0"/>
          <w:iCs w:val="0"/>
          <w:caps w:val="0"/>
          <w:color w:val="000000"/>
          <w:spacing w:val="0"/>
          <w:sz w:val="32"/>
          <w:szCs w:val="32"/>
          <w:shd w:val="clear" w:fill="FFFFFF"/>
        </w:rPr>
        <w:t>件，</w:t>
      </w:r>
      <w:r>
        <w:rPr>
          <w:rFonts w:hint="default" w:ascii="Times New Roman" w:hAnsi="Times New Roman" w:eastAsia="仿宋_GB2312" w:cs="Times New Roman"/>
          <w:i w:val="0"/>
          <w:iCs w:val="0"/>
          <w:caps w:val="0"/>
          <w:color w:val="000000"/>
          <w:spacing w:val="0"/>
          <w:sz w:val="32"/>
          <w:szCs w:val="32"/>
          <w:shd w:val="clear" w:fill="FFFFFF"/>
          <w:lang w:val="en-US" w:eastAsia="zh-CN"/>
        </w:rPr>
        <w:t>上年度结转0件</w:t>
      </w:r>
      <w:r>
        <w:rPr>
          <w:rFonts w:hint="eastAsia" w:ascii="Times New Roman" w:hAnsi="Times New Roman"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未收取依申请公开政府信息费用，未</w:t>
      </w:r>
      <w:r>
        <w:rPr>
          <w:rFonts w:hint="eastAsia" w:ascii="Times New Roman" w:hAnsi="Times New Roman" w:eastAsia="仿宋_GB2312" w:cs="Times New Roman"/>
          <w:i w:val="0"/>
          <w:iCs w:val="0"/>
          <w:caps w:val="0"/>
          <w:color w:val="000000"/>
          <w:spacing w:val="0"/>
          <w:sz w:val="32"/>
          <w:szCs w:val="32"/>
          <w:shd w:val="clear" w:fill="FFFFFF"/>
          <w:lang w:val="en-US" w:eastAsia="zh-CN"/>
        </w:rPr>
        <w:t>发生因</w:t>
      </w:r>
      <w:r>
        <w:rPr>
          <w:rFonts w:hint="default" w:ascii="Times New Roman" w:hAnsi="Times New Roman" w:eastAsia="仿宋_GB2312" w:cs="Times New Roman"/>
          <w:i w:val="0"/>
          <w:iCs w:val="0"/>
          <w:caps w:val="0"/>
          <w:color w:val="000000"/>
          <w:spacing w:val="0"/>
          <w:sz w:val="32"/>
          <w:szCs w:val="32"/>
          <w:shd w:val="clear" w:fill="FFFFFF"/>
          <w:lang w:val="en-US" w:eastAsia="zh-CN"/>
        </w:rPr>
        <w:t>政府信息公开申请</w:t>
      </w:r>
      <w:r>
        <w:rPr>
          <w:rFonts w:hint="eastAsia" w:ascii="Times New Roman" w:hAnsi="Times New Roman" w:eastAsia="仿宋_GB2312" w:cs="Times New Roman"/>
          <w:i w:val="0"/>
          <w:iCs w:val="0"/>
          <w:caps w:val="0"/>
          <w:color w:val="000000"/>
          <w:spacing w:val="0"/>
          <w:sz w:val="32"/>
          <w:szCs w:val="32"/>
          <w:shd w:val="clear" w:fill="FFFFFF"/>
          <w:lang w:val="en-US" w:eastAsia="zh-CN"/>
        </w:rPr>
        <w:t>提起</w:t>
      </w:r>
      <w:r>
        <w:rPr>
          <w:rFonts w:hint="default" w:ascii="Times New Roman" w:hAnsi="Times New Roman" w:eastAsia="仿宋_GB2312" w:cs="Times New Roman"/>
          <w:i w:val="0"/>
          <w:iCs w:val="0"/>
          <w:caps w:val="0"/>
          <w:color w:val="000000"/>
          <w:spacing w:val="0"/>
          <w:sz w:val="32"/>
          <w:szCs w:val="32"/>
          <w:shd w:val="clear" w:fill="FFFFFF"/>
          <w:lang w:val="en-US" w:eastAsia="zh-CN"/>
        </w:rPr>
        <w:t>行政复议、行政诉讼</w:t>
      </w:r>
      <w:r>
        <w:rPr>
          <w:rFonts w:hint="eastAsia" w:ascii="Times New Roman" w:hAnsi="Times New Roman" w:eastAsia="仿宋_GB2312" w:cs="Times New Roman"/>
          <w:i w:val="0"/>
          <w:iCs w:val="0"/>
          <w:caps w:val="0"/>
          <w:color w:val="000000"/>
          <w:spacing w:val="0"/>
          <w:sz w:val="32"/>
          <w:szCs w:val="32"/>
          <w:shd w:val="clear" w:fill="FFFFFF"/>
          <w:lang w:val="en-US" w:eastAsia="zh-CN"/>
        </w:rPr>
        <w:t>情况</w:t>
      </w:r>
      <w:r>
        <w:rPr>
          <w:rFonts w:hint="default" w:ascii="Times New Roman" w:hAnsi="Times New Roman" w:eastAsia="仿宋_GB2312" w:cs="Times New Roman"/>
          <w:i w:val="0"/>
          <w:iCs w:val="0"/>
          <w:caps w:val="0"/>
          <w:color w:val="000000"/>
          <w:spacing w:val="0"/>
          <w:sz w:val="32"/>
          <w:szCs w:val="32"/>
          <w:shd w:val="clear" w:fill="FFFFFF"/>
          <w:lang w:val="en-US" w:eastAsia="zh-CN"/>
        </w:rPr>
        <w:t>。</w:t>
      </w:r>
    </w:p>
    <w:p w14:paraId="1C3782D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left"/>
        <w:textAlignment w:val="auto"/>
        <w:rPr>
          <w:rFonts w:hint="eastAsia" w:ascii="仿宋_GB2312" w:hAnsi="微软雅黑" w:eastAsia="仿宋_GB2312" w:cs="仿宋_GB2312"/>
          <w:i w:val="0"/>
          <w:iCs w:val="0"/>
          <w:caps w:val="0"/>
          <w:color w:val="000000"/>
          <w:spacing w:val="0"/>
          <w:sz w:val="32"/>
          <w:szCs w:val="32"/>
          <w:shd w:val="clear" w:fill="FFFFFF"/>
          <w:lang w:val="en-US" w:eastAsia="zh-CN"/>
        </w:rPr>
      </w:pPr>
      <w:r>
        <w:rPr>
          <w:rFonts w:hint="eastAsia" w:ascii="楷体_GB2312" w:hAnsi="微软雅黑" w:eastAsia="楷体_GB2312" w:cs="楷体_GB2312"/>
          <w:i w:val="0"/>
          <w:iCs w:val="0"/>
          <w:caps w:val="0"/>
          <w:color w:val="000000"/>
          <w:spacing w:val="0"/>
          <w:kern w:val="0"/>
          <w:sz w:val="32"/>
          <w:szCs w:val="32"/>
          <w:lang w:val="en-US" w:eastAsia="zh-CN" w:bidi="ar"/>
        </w:rPr>
        <w:t>（三）</w:t>
      </w:r>
      <w:r>
        <w:rPr>
          <w:rFonts w:ascii="楷体_GB2312" w:hAnsi="微软雅黑" w:eastAsia="楷体_GB2312" w:cs="楷体_GB2312"/>
          <w:i w:val="0"/>
          <w:iCs w:val="0"/>
          <w:caps w:val="0"/>
          <w:color w:val="000000"/>
          <w:spacing w:val="0"/>
          <w:sz w:val="32"/>
          <w:szCs w:val="32"/>
        </w:rPr>
        <w:t>政府信息管理情况</w:t>
      </w:r>
    </w:p>
    <w:p w14:paraId="2802011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eastAsia" w:ascii="仿宋_GB2312" w:hAnsi="微软雅黑" w:eastAsia="仿宋_GB2312" w:cs="仿宋_GB2312"/>
          <w:i w:val="0"/>
          <w:iCs w:val="0"/>
          <w:caps w:val="0"/>
          <w:color w:val="000000"/>
          <w:spacing w:val="0"/>
          <w:sz w:val="32"/>
          <w:szCs w:val="32"/>
          <w:shd w:val="clear" w:fill="FFFFFF"/>
          <w:lang w:val="en-US" w:eastAsia="zh-CN"/>
        </w:rPr>
        <w:t>更新调整政府信息主动公开基本目录，对公开信息范围、内容、时限、形式、责任主体等进行了进一步明确。加强政府信息全生命周期管理，统筹政务公开与安全保密工作，健全完善信息公开审查机制，严格落实“三审”制度，对拟公开信息先审后发，防止涉及国家机密和个人隐私的事项泄露，进一步提升政府信息公开规范化、标准化水平。</w:t>
      </w:r>
    </w:p>
    <w:p w14:paraId="5F8266A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left"/>
        <w:textAlignment w:val="auto"/>
        <w:rPr>
          <w:rFonts w:hint="eastAsia" w:ascii="楷体_GB2312" w:hAnsi="微软雅黑" w:eastAsia="楷体_GB2312" w:cs="楷体_GB2312"/>
          <w:i w:val="0"/>
          <w:iCs w:val="0"/>
          <w:caps w:val="0"/>
          <w:color w:val="000000"/>
          <w:spacing w:val="0"/>
          <w:sz w:val="32"/>
          <w:szCs w:val="32"/>
        </w:rPr>
      </w:pPr>
      <w:r>
        <w:rPr>
          <w:rFonts w:hint="eastAsia" w:ascii="楷体_GB2312" w:hAnsi="微软雅黑" w:eastAsia="楷体_GB2312" w:cs="楷体_GB2312"/>
          <w:i w:val="0"/>
          <w:iCs w:val="0"/>
          <w:caps w:val="0"/>
          <w:color w:val="000000"/>
          <w:spacing w:val="0"/>
          <w:kern w:val="0"/>
          <w:sz w:val="32"/>
          <w:szCs w:val="32"/>
          <w:lang w:val="en-US" w:eastAsia="zh-CN" w:bidi="ar"/>
        </w:rPr>
        <w:t>（四）</w:t>
      </w:r>
      <w:r>
        <w:rPr>
          <w:rFonts w:hint="eastAsia" w:ascii="楷体_GB2312" w:hAnsi="微软雅黑" w:eastAsia="楷体_GB2312" w:cs="楷体_GB2312"/>
          <w:i w:val="0"/>
          <w:iCs w:val="0"/>
          <w:caps w:val="0"/>
          <w:color w:val="000000"/>
          <w:spacing w:val="0"/>
          <w:sz w:val="32"/>
          <w:szCs w:val="32"/>
        </w:rPr>
        <w:t>政府信息公开平台建设情况</w:t>
      </w:r>
    </w:p>
    <w:p w14:paraId="229944E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充分发挥县政府门户网站的公开载体作用，及时做好各类信息发布和维护工作；各医疗卫生单位利用“公共企事业单位信息公开专栏”，定期更新有关信息。扩大政务新媒体宣传受众面，通过“沂源融媒”及各医疗卫生单位公众号，向公众推送卫生健康系统工作信息及健康科普相关知识，进一步保障群众知情权、监督权。</w:t>
      </w:r>
    </w:p>
    <w:p w14:paraId="29B10A0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left"/>
        <w:textAlignment w:val="auto"/>
        <w:rPr>
          <w:rFonts w:hint="eastAsia" w:ascii="楷体_GB2312" w:hAnsi="微软雅黑" w:eastAsia="楷体_GB2312" w:cs="楷体_GB2312"/>
          <w:i w:val="0"/>
          <w:iCs w:val="0"/>
          <w:caps w:val="0"/>
          <w:color w:val="000000"/>
          <w:spacing w:val="0"/>
          <w:sz w:val="32"/>
          <w:szCs w:val="32"/>
        </w:rPr>
      </w:pPr>
      <w:r>
        <w:rPr>
          <w:rFonts w:hint="eastAsia" w:ascii="楷体_GB2312" w:hAnsi="微软雅黑" w:eastAsia="楷体_GB2312" w:cs="楷体_GB2312"/>
          <w:i w:val="0"/>
          <w:iCs w:val="0"/>
          <w:caps w:val="0"/>
          <w:color w:val="000000"/>
          <w:spacing w:val="0"/>
          <w:kern w:val="0"/>
          <w:sz w:val="32"/>
          <w:szCs w:val="32"/>
          <w:lang w:val="en-US" w:eastAsia="zh-CN" w:bidi="ar"/>
        </w:rPr>
        <w:t>（五）</w:t>
      </w:r>
      <w:r>
        <w:rPr>
          <w:rFonts w:hint="eastAsia" w:ascii="楷体_GB2312" w:hAnsi="微软雅黑" w:eastAsia="楷体_GB2312" w:cs="楷体_GB2312"/>
          <w:i w:val="0"/>
          <w:iCs w:val="0"/>
          <w:caps w:val="0"/>
          <w:color w:val="000000"/>
          <w:spacing w:val="0"/>
          <w:sz w:val="32"/>
          <w:szCs w:val="32"/>
        </w:rPr>
        <w:t>监督保障情况</w:t>
      </w:r>
    </w:p>
    <w:p w14:paraId="6399918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一是加强组织领导。根据工作需要及时调整卫生健康系统政务公开领导小组，由局主要领导任组长，局分管领导任副组长，局机关各科室、各医疗卫生单位负责人为成员。各科室、各单位主要负责人牵头研究本科室、单位政务公开工作，落实责任，细化措施，指定专人具体负责。严格落实“管业务就要管公开”的工作机制，对公开工作落实不到位的，予以通报批评；对违反政务公开有关规定、不履行公开义务或公开不当并造成严重影响的，依法依规严肃追究责任，确保各项工作落实到位。二是加强学习培训。适时通过工作会议、集体学习、业务培训、以干代训等形式，加强政务公开工作学习和培训，切实增强卫生健康系统干部职工公开意识和信息公开工作能力，主动对标政务公开工作先进部门和先进单位，切实提升线上、线下政务公开工作水平。</w:t>
      </w:r>
    </w:p>
    <w:p w14:paraId="072B8A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rPr>
        <w:t>二、主动公开政府信息情况</w:t>
      </w:r>
    </w:p>
    <w:tbl>
      <w:tblPr>
        <w:tblStyle w:val="6"/>
        <w:tblW w:w="87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73"/>
        <w:gridCol w:w="1971"/>
        <w:gridCol w:w="1815"/>
        <w:gridCol w:w="1849"/>
      </w:tblGrid>
      <w:tr w14:paraId="702F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708"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92EA0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第二十条 第（一）项</w:t>
            </w:r>
          </w:p>
        </w:tc>
      </w:tr>
      <w:tr w14:paraId="1C56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6"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8399C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信息内容</w:t>
            </w:r>
          </w:p>
        </w:tc>
        <w:tc>
          <w:tcPr>
            <w:tcW w:w="197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3C13B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本年制发件数</w:t>
            </w:r>
          </w:p>
        </w:tc>
        <w:tc>
          <w:tcPr>
            <w:tcW w:w="181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6B5AC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本年废止件数</w:t>
            </w:r>
          </w:p>
        </w:tc>
        <w:tc>
          <w:tcPr>
            <w:tcW w:w="1849" w:type="dxa"/>
            <w:tcBorders>
              <w:top w:val="nil"/>
              <w:left w:val="nil"/>
              <w:bottom w:val="single" w:color="auto" w:sz="8" w:space="0"/>
              <w:right w:val="single" w:color="auto" w:sz="8" w:space="0"/>
            </w:tcBorders>
            <w:shd w:val="clear" w:color="auto" w:fill="FFFFFF"/>
            <w:tcMar>
              <w:left w:w="108" w:type="dxa"/>
              <w:right w:w="108" w:type="dxa"/>
            </w:tcMar>
            <w:vAlign w:val="center"/>
          </w:tcPr>
          <w:p w14:paraId="3FE1DC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现行有效件数</w:t>
            </w:r>
          </w:p>
        </w:tc>
      </w:tr>
      <w:tr w14:paraId="1753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9"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92A1F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color w:val="000000"/>
                <w:sz w:val="24"/>
                <w:szCs w:val="24"/>
              </w:rPr>
              <w:t>规章</w:t>
            </w:r>
          </w:p>
        </w:tc>
        <w:tc>
          <w:tcPr>
            <w:tcW w:w="1971" w:type="dxa"/>
            <w:tcBorders>
              <w:top w:val="nil"/>
              <w:left w:val="nil"/>
              <w:bottom w:val="single" w:color="auto" w:sz="8" w:space="0"/>
              <w:right w:val="single" w:color="auto" w:sz="8" w:space="0"/>
            </w:tcBorders>
            <w:shd w:val="clear" w:color="auto" w:fill="FFFFFF"/>
            <w:tcMar>
              <w:left w:w="108" w:type="dxa"/>
              <w:right w:w="108" w:type="dxa"/>
            </w:tcMar>
            <w:vAlign w:val="center"/>
          </w:tcPr>
          <w:p w14:paraId="7DD10B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val="en-US" w:eastAsia="zh-CN"/>
              </w:rPr>
            </w:pPr>
            <w:r>
              <w:rPr>
                <w:rFonts w:hint="eastAsia"/>
                <w:sz w:val="24"/>
                <w:szCs w:val="24"/>
                <w:lang w:val="en-US" w:eastAsia="zh-CN"/>
              </w:rPr>
              <w:t>0</w:t>
            </w:r>
          </w:p>
        </w:tc>
        <w:tc>
          <w:tcPr>
            <w:tcW w:w="1815" w:type="dxa"/>
            <w:tcBorders>
              <w:top w:val="nil"/>
              <w:left w:val="nil"/>
              <w:bottom w:val="single" w:color="auto" w:sz="8" w:space="0"/>
              <w:right w:val="single" w:color="auto" w:sz="8" w:space="0"/>
            </w:tcBorders>
            <w:shd w:val="clear" w:color="auto" w:fill="FFFFFF"/>
            <w:tcMar>
              <w:left w:w="108" w:type="dxa"/>
              <w:right w:w="108" w:type="dxa"/>
            </w:tcMar>
            <w:vAlign w:val="center"/>
          </w:tcPr>
          <w:p w14:paraId="2775EC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val="en-US" w:eastAsia="zh-CN"/>
              </w:rPr>
            </w:pPr>
            <w:r>
              <w:rPr>
                <w:rFonts w:hint="eastAsia"/>
                <w:sz w:val="24"/>
                <w:szCs w:val="24"/>
                <w:lang w:val="en-US" w:eastAsia="zh-CN"/>
              </w:rPr>
              <w:t>0</w:t>
            </w:r>
          </w:p>
        </w:tc>
        <w:tc>
          <w:tcPr>
            <w:tcW w:w="1849" w:type="dxa"/>
            <w:tcBorders>
              <w:top w:val="nil"/>
              <w:left w:val="nil"/>
              <w:bottom w:val="single" w:color="auto" w:sz="8" w:space="0"/>
              <w:right w:val="single" w:color="auto" w:sz="8" w:space="0"/>
            </w:tcBorders>
            <w:shd w:val="clear" w:color="auto" w:fill="FFFFFF"/>
            <w:tcMar>
              <w:left w:w="108" w:type="dxa"/>
              <w:right w:w="108" w:type="dxa"/>
            </w:tcMar>
            <w:vAlign w:val="center"/>
          </w:tcPr>
          <w:p w14:paraId="66895B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val="en-US" w:eastAsia="zh-CN"/>
              </w:rPr>
            </w:pPr>
            <w:r>
              <w:rPr>
                <w:rFonts w:hint="eastAsia"/>
                <w:sz w:val="24"/>
                <w:szCs w:val="24"/>
                <w:lang w:val="en-US" w:eastAsia="zh-CN"/>
              </w:rPr>
              <w:t>0</w:t>
            </w:r>
          </w:p>
        </w:tc>
      </w:tr>
      <w:tr w14:paraId="5A50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4"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0F457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color w:val="000000"/>
                <w:sz w:val="24"/>
                <w:szCs w:val="24"/>
              </w:rPr>
              <w:t>行政规范性文件</w:t>
            </w:r>
          </w:p>
        </w:tc>
        <w:tc>
          <w:tcPr>
            <w:tcW w:w="1971" w:type="dxa"/>
            <w:tcBorders>
              <w:top w:val="nil"/>
              <w:left w:val="nil"/>
              <w:bottom w:val="single" w:color="auto" w:sz="8" w:space="0"/>
              <w:right w:val="single" w:color="auto" w:sz="8" w:space="0"/>
            </w:tcBorders>
            <w:shd w:val="clear" w:color="auto" w:fill="FFFFFF"/>
            <w:tcMar>
              <w:left w:w="108" w:type="dxa"/>
              <w:right w:w="108" w:type="dxa"/>
            </w:tcMar>
            <w:vAlign w:val="center"/>
          </w:tcPr>
          <w:p w14:paraId="396308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val="en-US" w:eastAsia="zh-CN"/>
              </w:rPr>
            </w:pPr>
            <w:r>
              <w:rPr>
                <w:rFonts w:hint="eastAsia"/>
                <w:sz w:val="24"/>
                <w:szCs w:val="24"/>
                <w:lang w:val="en-US" w:eastAsia="zh-CN"/>
              </w:rPr>
              <w:t>0</w:t>
            </w:r>
          </w:p>
        </w:tc>
        <w:tc>
          <w:tcPr>
            <w:tcW w:w="1815" w:type="dxa"/>
            <w:tcBorders>
              <w:top w:val="nil"/>
              <w:left w:val="nil"/>
              <w:bottom w:val="single" w:color="auto" w:sz="8" w:space="0"/>
              <w:right w:val="single" w:color="auto" w:sz="8" w:space="0"/>
            </w:tcBorders>
            <w:shd w:val="clear" w:color="auto" w:fill="FFFFFF"/>
            <w:tcMar>
              <w:left w:w="108" w:type="dxa"/>
              <w:right w:w="108" w:type="dxa"/>
            </w:tcMar>
            <w:vAlign w:val="center"/>
          </w:tcPr>
          <w:p w14:paraId="6A936F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val="en-US" w:eastAsia="zh-CN"/>
              </w:rPr>
            </w:pPr>
            <w:r>
              <w:rPr>
                <w:rFonts w:hint="eastAsia"/>
                <w:sz w:val="24"/>
                <w:szCs w:val="24"/>
                <w:lang w:val="en-US" w:eastAsia="zh-CN"/>
              </w:rPr>
              <w:t>0</w:t>
            </w:r>
          </w:p>
        </w:tc>
        <w:tc>
          <w:tcPr>
            <w:tcW w:w="1849" w:type="dxa"/>
            <w:tcBorders>
              <w:top w:val="nil"/>
              <w:left w:val="nil"/>
              <w:bottom w:val="single" w:color="auto" w:sz="8" w:space="0"/>
              <w:right w:val="single" w:color="auto" w:sz="8" w:space="0"/>
            </w:tcBorders>
            <w:shd w:val="clear" w:color="auto" w:fill="FFFFFF"/>
            <w:tcMar>
              <w:left w:w="108" w:type="dxa"/>
              <w:right w:w="108" w:type="dxa"/>
            </w:tcMar>
            <w:vAlign w:val="center"/>
          </w:tcPr>
          <w:p w14:paraId="2535BF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val="en-US" w:eastAsia="zh-CN"/>
              </w:rPr>
            </w:pPr>
            <w:r>
              <w:rPr>
                <w:rFonts w:hint="eastAsia"/>
                <w:sz w:val="24"/>
                <w:szCs w:val="24"/>
                <w:lang w:val="en-US" w:eastAsia="zh-CN"/>
              </w:rPr>
              <w:t>0</w:t>
            </w:r>
          </w:p>
        </w:tc>
      </w:tr>
      <w:tr w14:paraId="4B10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20B5B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第二十条 第（五）项</w:t>
            </w:r>
          </w:p>
        </w:tc>
      </w:tr>
      <w:tr w14:paraId="032B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46070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A805D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本年处理决定数量</w:t>
            </w:r>
          </w:p>
        </w:tc>
      </w:tr>
      <w:tr w14:paraId="3DBE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B4DAB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color w:val="000000"/>
                <w:sz w:val="24"/>
                <w:szCs w:val="24"/>
              </w:rPr>
              <w:t>行政许可</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628FA7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sz w:val="24"/>
                <w:szCs w:val="24"/>
                <w:lang w:val="en-US" w:eastAsia="zh-CN"/>
              </w:rPr>
            </w:pPr>
            <w:r>
              <w:rPr>
                <w:rFonts w:hint="eastAsia"/>
                <w:sz w:val="24"/>
                <w:szCs w:val="24"/>
                <w:lang w:val="en-US" w:eastAsia="zh-CN"/>
              </w:rPr>
              <w:t>0</w:t>
            </w:r>
          </w:p>
        </w:tc>
      </w:tr>
      <w:tr w14:paraId="7F46B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7"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BBDBC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第二十条 第（六）项</w:t>
            </w:r>
          </w:p>
        </w:tc>
      </w:tr>
      <w:tr w14:paraId="2C69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7E384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611B14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本年处理决定数量</w:t>
            </w:r>
          </w:p>
        </w:tc>
      </w:tr>
      <w:tr w14:paraId="25EA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5"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0F81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color w:val="000000"/>
                <w:sz w:val="24"/>
                <w:szCs w:val="24"/>
              </w:rPr>
              <w:t>行政处罚</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257572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sz w:val="24"/>
                <w:szCs w:val="24"/>
                <w:lang w:val="en-US" w:eastAsia="zh-CN"/>
              </w:rPr>
            </w:pPr>
            <w:r>
              <w:rPr>
                <w:rFonts w:hint="eastAsia"/>
                <w:sz w:val="24"/>
                <w:szCs w:val="24"/>
                <w:lang w:val="en-US" w:eastAsia="zh-CN"/>
              </w:rPr>
              <w:t>207</w:t>
            </w:r>
          </w:p>
        </w:tc>
      </w:tr>
      <w:tr w14:paraId="30CFA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3248F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color w:val="000000"/>
                <w:sz w:val="24"/>
                <w:szCs w:val="24"/>
              </w:rPr>
              <w:t>行政强制</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14:paraId="01C12A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sz w:val="24"/>
                <w:szCs w:val="24"/>
                <w:lang w:val="en-US" w:eastAsia="zh-CN"/>
              </w:rPr>
            </w:pPr>
            <w:r>
              <w:rPr>
                <w:rFonts w:hint="eastAsia"/>
                <w:sz w:val="24"/>
                <w:szCs w:val="24"/>
                <w:lang w:val="en-US" w:eastAsia="zh-CN"/>
              </w:rPr>
              <w:t>0</w:t>
            </w:r>
          </w:p>
        </w:tc>
      </w:tr>
      <w:tr w14:paraId="2BCD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AAE6A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第二十条 第（八）项</w:t>
            </w:r>
          </w:p>
        </w:tc>
      </w:tr>
      <w:tr w14:paraId="48A2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3BEAB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信息内容</w:t>
            </w:r>
          </w:p>
        </w:tc>
        <w:tc>
          <w:tcPr>
            <w:tcW w:w="563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14:paraId="76EAA1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4"/>
                <w:szCs w:val="24"/>
              </w:rPr>
              <w:t>本年收费金额（单位：万元）</w:t>
            </w:r>
          </w:p>
        </w:tc>
      </w:tr>
      <w:tr w14:paraId="1FD3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52F86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color w:val="000000"/>
                <w:sz w:val="24"/>
                <w:szCs w:val="24"/>
              </w:rPr>
              <w:t>行政事业性收费</w:t>
            </w:r>
          </w:p>
        </w:tc>
        <w:tc>
          <w:tcPr>
            <w:tcW w:w="563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14:paraId="589D21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sz w:val="24"/>
                <w:szCs w:val="24"/>
                <w:lang w:val="en-US" w:eastAsia="zh-CN"/>
              </w:rPr>
            </w:pPr>
            <w:r>
              <w:rPr>
                <w:rFonts w:hint="eastAsia"/>
                <w:sz w:val="24"/>
                <w:szCs w:val="24"/>
                <w:lang w:val="en-US" w:eastAsia="zh-CN"/>
              </w:rPr>
              <w:t>8.397</w:t>
            </w:r>
          </w:p>
        </w:tc>
      </w:tr>
    </w:tbl>
    <w:p w14:paraId="4C1897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三、收到和处理政府信息公开申请情况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6"/>
        <w:gridCol w:w="1566"/>
        <w:gridCol w:w="534"/>
        <w:gridCol w:w="2098"/>
        <w:gridCol w:w="842"/>
        <w:gridCol w:w="562"/>
        <w:gridCol w:w="562"/>
        <w:gridCol w:w="562"/>
        <w:gridCol w:w="562"/>
        <w:gridCol w:w="536"/>
        <w:gridCol w:w="631"/>
      </w:tblGrid>
      <w:tr w14:paraId="7FF4B0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814" w:type="dxa"/>
            <w:gridSpan w:val="4"/>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60DDC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（本列数据的勾稽关系为：第一项加第二项之和，</w:t>
            </w:r>
          </w:p>
          <w:p w14:paraId="114941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等于第三项加第四项之和）</w:t>
            </w:r>
          </w:p>
        </w:tc>
        <w:tc>
          <w:tcPr>
            <w:tcW w:w="4257"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6B5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申请人情况</w:t>
            </w:r>
          </w:p>
        </w:tc>
      </w:tr>
      <w:tr w14:paraId="679B25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814" w:type="dxa"/>
            <w:gridSpan w:val="4"/>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B5C5825">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84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2329A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自然人</w:t>
            </w:r>
          </w:p>
        </w:tc>
        <w:tc>
          <w:tcPr>
            <w:tcW w:w="2784"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5FA5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法人或其他组织</w:t>
            </w:r>
          </w:p>
        </w:tc>
        <w:tc>
          <w:tcPr>
            <w:tcW w:w="631"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292C9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总计</w:t>
            </w:r>
          </w:p>
        </w:tc>
      </w:tr>
      <w:tr w14:paraId="752426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27" w:hRule="atLeast"/>
          <w:jc w:val="center"/>
        </w:trPr>
        <w:tc>
          <w:tcPr>
            <w:tcW w:w="4814" w:type="dxa"/>
            <w:gridSpan w:val="4"/>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2B668DB">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84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131EBD3">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4EF6C0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06" w:right="-107" w:hanging="1"/>
              <w:jc w:val="center"/>
              <w:textAlignment w:val="auto"/>
              <w:rPr>
                <w:sz w:val="24"/>
                <w:szCs w:val="24"/>
              </w:rPr>
            </w:pPr>
            <w:r>
              <w:rPr>
                <w:rFonts w:hint="eastAsia" w:ascii="宋体" w:hAnsi="宋体" w:eastAsia="宋体" w:cs="宋体"/>
                <w:sz w:val="20"/>
                <w:szCs w:val="20"/>
              </w:rPr>
              <w:t>商业企业</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6588AB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07" w:right="-107"/>
              <w:jc w:val="center"/>
              <w:textAlignment w:val="auto"/>
              <w:rPr>
                <w:sz w:val="24"/>
                <w:szCs w:val="24"/>
              </w:rPr>
            </w:pPr>
            <w:r>
              <w:rPr>
                <w:rFonts w:hint="eastAsia" w:ascii="宋体" w:hAnsi="宋体" w:eastAsia="宋体" w:cs="宋体"/>
                <w:sz w:val="20"/>
                <w:szCs w:val="20"/>
              </w:rPr>
              <w:t>科研机构</w:t>
            </w:r>
          </w:p>
        </w:tc>
        <w:tc>
          <w:tcPr>
            <w:tcW w:w="56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A1BBE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07" w:right="-107"/>
              <w:jc w:val="center"/>
              <w:textAlignment w:val="auto"/>
              <w:rPr>
                <w:sz w:val="24"/>
                <w:szCs w:val="24"/>
              </w:rPr>
            </w:pPr>
            <w:r>
              <w:rPr>
                <w:rFonts w:hint="eastAsia" w:ascii="宋体" w:hAnsi="宋体" w:eastAsia="宋体" w:cs="宋体"/>
                <w:sz w:val="20"/>
                <w:szCs w:val="20"/>
              </w:rPr>
              <w:t>社会公益组织</w:t>
            </w:r>
          </w:p>
        </w:tc>
        <w:tc>
          <w:tcPr>
            <w:tcW w:w="56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38E35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06" w:right="-107" w:hanging="1"/>
              <w:jc w:val="center"/>
              <w:textAlignment w:val="auto"/>
              <w:rPr>
                <w:sz w:val="24"/>
                <w:szCs w:val="24"/>
              </w:rPr>
            </w:pPr>
            <w:r>
              <w:rPr>
                <w:rFonts w:hint="eastAsia" w:ascii="宋体" w:hAnsi="宋体" w:eastAsia="宋体" w:cs="宋体"/>
                <w:sz w:val="20"/>
                <w:szCs w:val="20"/>
              </w:rPr>
              <w:t>法律服务机构</w:t>
            </w:r>
          </w:p>
        </w:tc>
        <w:tc>
          <w:tcPr>
            <w:tcW w:w="53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CDC0D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 w:right="-134"/>
              <w:jc w:val="center"/>
              <w:textAlignment w:val="auto"/>
              <w:rPr>
                <w:sz w:val="24"/>
                <w:szCs w:val="24"/>
              </w:rPr>
            </w:pPr>
            <w:r>
              <w:rPr>
                <w:rFonts w:hint="eastAsia" w:ascii="宋体" w:hAnsi="宋体" w:eastAsia="宋体" w:cs="宋体"/>
                <w:sz w:val="20"/>
                <w:szCs w:val="20"/>
              </w:rPr>
              <w:t>其他</w:t>
            </w:r>
          </w:p>
        </w:tc>
        <w:tc>
          <w:tcPr>
            <w:tcW w:w="631"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7A7BB2">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r>
      <w:tr w14:paraId="6AA678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814"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E13F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一、本年新收政府信息公开申请数量</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2960D8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240F69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066A8E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4F9BE6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216BA1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06CBFA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7EF114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539532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814"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9E13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二、上年结转政府信息公开申请数量</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7C33C1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55A4F9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650DF2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270595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44032D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7C3BE3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1755BA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r>
      <w:tr w14:paraId="7FF9D0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7" w:hRule="atLeast"/>
          <w:jc w:val="center"/>
        </w:trPr>
        <w:tc>
          <w:tcPr>
            <w:tcW w:w="61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2D88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三、本年度办理结果</w:t>
            </w:r>
          </w:p>
        </w:tc>
        <w:tc>
          <w:tcPr>
            <w:tcW w:w="419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364F0E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（一）予以公开</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2A1414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5DC4BF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4CA15A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378E4A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10C39B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047463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6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7F8F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384FD0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6C109B2">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419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096278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（二）部分公开（区分处理的，只计这一情形，不计其他情形）</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631BF5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53CD05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062FDD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135B9E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5D03BB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6F5B38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6938C3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0886C2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A706F0">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1C8C1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（三）不予公开</w:t>
            </w: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B7E58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1.属于国家秘密</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158CF1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16DA62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746062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2A0495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44F5D9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41C62A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6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BD6A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r>
      <w:tr w14:paraId="742BC5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39"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F1DD4A9">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72D857A">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B9361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2.其他法律行政法规禁止公开</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70E754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7019FB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58BF6A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103C1F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03AFB3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08187A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4AA2FE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r>
      <w:tr w14:paraId="3D9EA4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A41C768">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E8112C8">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164B3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3.危及“三安全一稳定”</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5DCECC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7BD26F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5FCD89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13A0E3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3E404C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3B919A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76A5CE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r>
      <w:tr w14:paraId="22152C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6186246">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606497A">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4407B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4.保护第三方合法权益</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5C1813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3DF34B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1346F5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53D5C2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79231D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7E10E4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15B330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r>
      <w:tr w14:paraId="2F94C0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96113D">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6E08508">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376C1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5.属于三类内部事务信息</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395168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693867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38188A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662B8B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39B30D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68946E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1C6C74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r>
      <w:tr w14:paraId="6FAFBE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FE5D64">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0AD9AD2">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60A94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6.属于四类过程性信息</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75A616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260FA2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004ADB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2E3245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371D5F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372B63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77973C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r>
      <w:tr w14:paraId="007558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4C995CB">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6157A3E">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DA821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7.属于行政执法案卷</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77C39D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7626D5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3E23C6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3C3F16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702AD8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1DC1BA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131A45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17D95A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A65877">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F09747A">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2D412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8.属于行政查询事项</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47571E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29C4AC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51A93B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747875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6B7924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5C3CC2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0D46D9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r>
      <w:tr w14:paraId="4C5922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9"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A0782F1">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38129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（四）无法提供</w:t>
            </w: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138DB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1.本机关不掌握相关政府信息</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5A3770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5CCBE7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68C5E0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409485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0F92BA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564486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1BA484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04E47F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2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4F5B32">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169E63B">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47EF0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2.没有现成信息需要另行制作</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116314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143CFA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397652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116D42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4FA30C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42F2F1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02B545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14:paraId="34D4C1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129E341">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3B837AA">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57245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3.补正后申请内容仍不明确</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3EF28D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eastAsiaTheme="minorEastAsia"/>
                <w:sz w:val="24"/>
                <w:szCs w:val="24"/>
                <w:lang w:val="en-US" w:eastAsia="zh-CN"/>
              </w:rPr>
            </w:pPr>
            <w:r>
              <w:rPr>
                <w:rFonts w:hint="eastAsia"/>
                <w:sz w:val="24"/>
                <w:szCs w:val="24"/>
                <w:lang w:val="en-US" w:eastAsia="zh-CN"/>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5D2EC1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718808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4F5D3B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494999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112DC8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2D4026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eastAsiaTheme="minorEastAsia"/>
                <w:sz w:val="24"/>
                <w:szCs w:val="24"/>
                <w:lang w:val="en-US" w:eastAsia="zh-CN"/>
              </w:rPr>
            </w:pPr>
            <w:r>
              <w:rPr>
                <w:rFonts w:hint="eastAsia"/>
                <w:sz w:val="24"/>
                <w:szCs w:val="24"/>
                <w:lang w:val="en-US" w:eastAsia="zh-CN"/>
              </w:rPr>
              <w:t>0</w:t>
            </w:r>
          </w:p>
        </w:tc>
      </w:tr>
      <w:tr w14:paraId="151351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5966F17">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4441F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（五）不予处理</w:t>
            </w: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01E86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1.信访举报投诉类申请</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6D9ACA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2B8C8E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6D6185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0A07D5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43B485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5D47CC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3AB8B9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14:paraId="7F5569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57F173B">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DC4F5D7">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5EFB8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2.重复申请</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53DA8D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762C36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3BD964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234544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6E1379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1243C4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202ABB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14:paraId="1BCDD6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9"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99F3BC">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790C18C">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B4A57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3.要求提供公开出版物</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3A26EB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57224A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2A2517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35B7F6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45CE10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7EF479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71DA20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14:paraId="6F2C2D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2"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B28092">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3A65367">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6C954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4.无正当理由大量反复申请</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31F253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6BA650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12C3B7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73D8FD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502476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55B32A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27E721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14:paraId="368927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1E9827">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156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D9922F9">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63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281FE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5.要求行政机关确认或重新</w:t>
            </w:r>
          </w:p>
          <w:p w14:paraId="71364C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出具已获取信息</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7F1D0C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671E58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32654E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1F9200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3F87C7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59DA0B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5E41C6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r w14:paraId="571DD5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77"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6A2C36">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100" w:type="dxa"/>
            <w:gridSpan w:val="2"/>
            <w:vMerge w:val="restart"/>
            <w:tcBorders>
              <w:top w:val="nil"/>
              <w:left w:val="nil"/>
              <w:bottom w:val="outset" w:color="auto" w:sz="8" w:space="0"/>
              <w:right w:val="single" w:color="auto" w:sz="8" w:space="0"/>
            </w:tcBorders>
            <w:shd w:val="clear" w:color="auto" w:fill="auto"/>
            <w:tcMar>
              <w:left w:w="108" w:type="dxa"/>
              <w:right w:w="108" w:type="dxa"/>
            </w:tcMar>
            <w:vAlign w:val="center"/>
          </w:tcPr>
          <w:p w14:paraId="085191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（六）其他处理</w:t>
            </w:r>
          </w:p>
        </w:tc>
        <w:tc>
          <w:tcPr>
            <w:tcW w:w="2098" w:type="dxa"/>
            <w:tcBorders>
              <w:top w:val="nil"/>
              <w:left w:val="nil"/>
              <w:bottom w:val="single" w:color="auto" w:sz="8" w:space="0"/>
              <w:right w:val="single" w:color="auto" w:sz="8" w:space="0"/>
            </w:tcBorders>
            <w:shd w:val="clear" w:color="auto" w:fill="auto"/>
            <w:tcMar>
              <w:left w:w="108" w:type="dxa"/>
              <w:right w:w="108" w:type="dxa"/>
            </w:tcMar>
            <w:vAlign w:val="center"/>
          </w:tcPr>
          <w:p w14:paraId="3C4935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1.申请人无正当理由逾期不补正、行政机关不再处理其政府信息公开申请</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417794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4ECFF3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312056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5B3F31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2BFB5D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372E05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0C06EA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2E2330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02"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4BB45D9">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100" w:type="dxa"/>
            <w:gridSpan w:val="2"/>
            <w:vMerge w:val="continue"/>
            <w:tcBorders>
              <w:top w:val="nil"/>
              <w:left w:val="nil"/>
              <w:bottom w:val="outset" w:color="auto" w:sz="8" w:space="0"/>
              <w:right w:val="single" w:color="auto" w:sz="8" w:space="0"/>
            </w:tcBorders>
            <w:shd w:val="clear" w:color="auto" w:fill="auto"/>
            <w:tcMar>
              <w:left w:w="108" w:type="dxa"/>
              <w:right w:w="108" w:type="dxa"/>
            </w:tcMar>
            <w:vAlign w:val="center"/>
          </w:tcPr>
          <w:p w14:paraId="4B9B6D75">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098" w:type="dxa"/>
            <w:tcBorders>
              <w:top w:val="nil"/>
              <w:left w:val="nil"/>
              <w:bottom w:val="single" w:color="auto" w:sz="8" w:space="0"/>
              <w:right w:val="single" w:color="auto" w:sz="8" w:space="0"/>
            </w:tcBorders>
            <w:shd w:val="clear" w:color="auto" w:fill="auto"/>
            <w:tcMar>
              <w:left w:w="108" w:type="dxa"/>
              <w:right w:w="108" w:type="dxa"/>
            </w:tcMar>
            <w:vAlign w:val="center"/>
          </w:tcPr>
          <w:p w14:paraId="6F5AA0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2.申请人逾期未按收费通知要求缴纳费用、行政机关不再处理其政府信息公开申请</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148A9F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2F48C4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7439E8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3EDD4C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3E560E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02E7F1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00FE91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r>
      <w:tr w14:paraId="5F94E1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E8B285">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100" w:type="dxa"/>
            <w:gridSpan w:val="2"/>
            <w:vMerge w:val="continue"/>
            <w:tcBorders>
              <w:top w:val="nil"/>
              <w:left w:val="nil"/>
              <w:bottom w:val="outset" w:color="auto" w:sz="8" w:space="0"/>
              <w:right w:val="single" w:color="auto" w:sz="8" w:space="0"/>
            </w:tcBorders>
            <w:shd w:val="clear" w:color="auto" w:fill="auto"/>
            <w:tcMar>
              <w:left w:w="108" w:type="dxa"/>
              <w:right w:w="108" w:type="dxa"/>
            </w:tcMar>
            <w:vAlign w:val="center"/>
          </w:tcPr>
          <w:p w14:paraId="6E8D8B19">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2098" w:type="dxa"/>
            <w:tcBorders>
              <w:top w:val="nil"/>
              <w:left w:val="nil"/>
              <w:bottom w:val="single" w:color="auto" w:sz="8" w:space="0"/>
              <w:right w:val="single" w:color="auto" w:sz="8" w:space="0"/>
            </w:tcBorders>
            <w:shd w:val="clear" w:color="auto" w:fill="auto"/>
            <w:tcMar>
              <w:left w:w="108" w:type="dxa"/>
              <w:right w:w="108" w:type="dxa"/>
            </w:tcMar>
            <w:vAlign w:val="center"/>
          </w:tcPr>
          <w:p w14:paraId="5B74C8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3.其他</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196AF9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302BFC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405EDC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4878E3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75D844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237F24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064AD5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r>
      <w:tr w14:paraId="293B66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7"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2BB77C8">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419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14:paraId="2DEBD6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（七）总计</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536442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4AAFA6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0584E1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068177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22AB5C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248636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027B33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0C5C3C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814"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546BC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四、结转下年度继续办理</w:t>
            </w:r>
          </w:p>
        </w:tc>
        <w:tc>
          <w:tcPr>
            <w:tcW w:w="842" w:type="dxa"/>
            <w:tcBorders>
              <w:top w:val="nil"/>
              <w:left w:val="nil"/>
              <w:bottom w:val="single" w:color="auto" w:sz="8" w:space="0"/>
              <w:right w:val="single" w:color="auto" w:sz="8" w:space="0"/>
            </w:tcBorders>
            <w:shd w:val="clear" w:color="auto" w:fill="auto"/>
            <w:tcMar>
              <w:left w:w="108" w:type="dxa"/>
              <w:right w:w="108" w:type="dxa"/>
            </w:tcMar>
            <w:vAlign w:val="center"/>
          </w:tcPr>
          <w:p w14:paraId="57B535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38F423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57280E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272304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62" w:type="dxa"/>
            <w:tcBorders>
              <w:top w:val="nil"/>
              <w:left w:val="nil"/>
              <w:bottom w:val="single" w:color="auto" w:sz="8" w:space="0"/>
              <w:right w:val="single" w:color="auto" w:sz="8" w:space="0"/>
            </w:tcBorders>
            <w:shd w:val="clear" w:color="auto" w:fill="auto"/>
            <w:tcMar>
              <w:left w:w="108" w:type="dxa"/>
              <w:right w:w="108" w:type="dxa"/>
            </w:tcMar>
            <w:vAlign w:val="center"/>
          </w:tcPr>
          <w:p w14:paraId="51856C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536" w:type="dxa"/>
            <w:tcBorders>
              <w:top w:val="nil"/>
              <w:left w:val="nil"/>
              <w:bottom w:val="single" w:color="auto" w:sz="8" w:space="0"/>
              <w:right w:val="single" w:color="auto" w:sz="8" w:space="0"/>
            </w:tcBorders>
            <w:shd w:val="clear" w:color="auto" w:fill="auto"/>
            <w:tcMar>
              <w:left w:w="108" w:type="dxa"/>
              <w:right w:w="108" w:type="dxa"/>
            </w:tcMar>
            <w:vAlign w:val="center"/>
          </w:tcPr>
          <w:p w14:paraId="3AACE0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c>
          <w:tcPr>
            <w:tcW w:w="631" w:type="dxa"/>
            <w:tcBorders>
              <w:top w:val="nil"/>
              <w:left w:val="nil"/>
              <w:bottom w:val="single" w:color="auto" w:sz="8" w:space="0"/>
              <w:right w:val="single" w:color="auto" w:sz="8" w:space="0"/>
            </w:tcBorders>
            <w:shd w:val="clear" w:color="auto" w:fill="auto"/>
            <w:tcMar>
              <w:left w:w="108" w:type="dxa"/>
              <w:right w:w="108" w:type="dxa"/>
            </w:tcMar>
            <w:vAlign w:val="center"/>
          </w:tcPr>
          <w:p w14:paraId="060034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sz w:val="20"/>
                <w:szCs w:val="20"/>
              </w:rPr>
            </w:pPr>
            <w:r>
              <w:rPr>
                <w:rFonts w:hint="eastAsia" w:ascii="宋体" w:hAnsi="宋体" w:eastAsia="宋体" w:cs="宋体"/>
                <w:sz w:val="20"/>
                <w:szCs w:val="20"/>
              </w:rPr>
              <w:t>0</w:t>
            </w:r>
          </w:p>
        </w:tc>
      </w:tr>
    </w:tbl>
    <w:p w14:paraId="573D7F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四、政府信息公开行政复议、行政诉讼情况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2AF2D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7085E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B00ED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行政诉讼</w:t>
            </w:r>
          </w:p>
        </w:tc>
      </w:tr>
      <w:tr w14:paraId="2E9EDC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3B3F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49" w:right="-170"/>
              <w:jc w:val="center"/>
              <w:textAlignment w:val="auto"/>
              <w:rPr>
                <w:sz w:val="24"/>
                <w:szCs w:val="24"/>
              </w:rPr>
            </w:pPr>
            <w:r>
              <w:rPr>
                <w:rFonts w:hint="eastAsia" w:ascii="宋体" w:hAnsi="宋体" w:eastAsia="宋体" w:cs="宋体"/>
                <w:sz w:val="20"/>
                <w:szCs w:val="20"/>
              </w:rPr>
              <w:t>结果</w:t>
            </w:r>
          </w:p>
          <w:p w14:paraId="2DD61A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49" w:right="-170"/>
              <w:jc w:val="center"/>
              <w:textAlignment w:val="auto"/>
              <w:rPr>
                <w:sz w:val="24"/>
                <w:szCs w:val="24"/>
              </w:rPr>
            </w:pPr>
            <w:r>
              <w:rPr>
                <w:rFonts w:hint="eastAsia" w:ascii="宋体" w:hAnsi="宋体" w:eastAsia="宋体" w:cs="宋体"/>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5EECA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3" w:right="-132" w:hanging="1"/>
              <w:jc w:val="center"/>
              <w:textAlignment w:val="auto"/>
              <w:rPr>
                <w:sz w:val="24"/>
                <w:szCs w:val="24"/>
              </w:rPr>
            </w:pPr>
            <w:r>
              <w:rPr>
                <w:rFonts w:hint="eastAsia" w:ascii="宋体" w:hAnsi="宋体" w:eastAsia="宋体" w:cs="宋体"/>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D52F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82" w:right="-97"/>
              <w:jc w:val="center"/>
              <w:textAlignment w:val="auto"/>
              <w:rPr>
                <w:sz w:val="24"/>
                <w:szCs w:val="24"/>
              </w:rPr>
            </w:pPr>
            <w:r>
              <w:rPr>
                <w:rFonts w:hint="eastAsia" w:ascii="宋体" w:hAnsi="宋体" w:eastAsia="宋体" w:cs="宋体"/>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C0A90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18" w:right="-118"/>
              <w:jc w:val="center"/>
              <w:textAlignment w:val="auto"/>
              <w:rPr>
                <w:sz w:val="24"/>
                <w:szCs w:val="24"/>
              </w:rPr>
            </w:pPr>
            <w:r>
              <w:rPr>
                <w:rFonts w:hint="eastAsia" w:ascii="宋体" w:hAnsi="宋体" w:eastAsia="宋体" w:cs="宋体"/>
                <w:sz w:val="20"/>
                <w:szCs w:val="20"/>
              </w:rPr>
              <w:t>尚未</w:t>
            </w:r>
          </w:p>
          <w:p w14:paraId="3B1676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18" w:right="-118"/>
              <w:jc w:val="center"/>
              <w:textAlignment w:val="auto"/>
              <w:rPr>
                <w:sz w:val="24"/>
                <w:szCs w:val="24"/>
              </w:rPr>
            </w:pPr>
            <w:r>
              <w:rPr>
                <w:rFonts w:hint="eastAsia" w:ascii="宋体" w:hAnsi="宋体" w:eastAsia="宋体" w:cs="宋体"/>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9CA87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总</w:t>
            </w:r>
          </w:p>
          <w:p w14:paraId="3AF1AD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A175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3F61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sz w:val="20"/>
                <w:szCs w:val="20"/>
              </w:rPr>
              <w:t>复议后起诉</w:t>
            </w:r>
          </w:p>
        </w:tc>
      </w:tr>
      <w:tr w14:paraId="3A6021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44E4246">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BAFDBBF">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A7C780">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31E4AA">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0C171A">
            <w:pPr>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宋体"/>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11677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05" w:right="-126"/>
              <w:jc w:val="center"/>
              <w:textAlignment w:val="auto"/>
              <w:rPr>
                <w:sz w:val="24"/>
                <w:szCs w:val="24"/>
              </w:rPr>
            </w:pPr>
            <w:r>
              <w:rPr>
                <w:rFonts w:hint="eastAsia" w:ascii="宋体" w:hAnsi="宋体" w:eastAsia="宋体" w:cs="宋体"/>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5055E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86" w:right="-88"/>
              <w:jc w:val="center"/>
              <w:textAlignment w:val="auto"/>
              <w:rPr>
                <w:sz w:val="24"/>
                <w:szCs w:val="24"/>
              </w:rPr>
            </w:pPr>
            <w:r>
              <w:rPr>
                <w:rFonts w:hint="eastAsia" w:ascii="宋体" w:hAnsi="宋体" w:eastAsia="宋体" w:cs="宋体"/>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D648C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6" w:right="-136"/>
              <w:jc w:val="center"/>
              <w:textAlignment w:val="auto"/>
              <w:rPr>
                <w:sz w:val="24"/>
                <w:szCs w:val="24"/>
              </w:rPr>
            </w:pPr>
            <w:r>
              <w:rPr>
                <w:rFonts w:hint="eastAsia" w:ascii="宋体" w:hAnsi="宋体" w:eastAsia="宋体" w:cs="宋体"/>
                <w:sz w:val="20"/>
                <w:szCs w:val="20"/>
              </w:rPr>
              <w:t>其他</w:t>
            </w:r>
          </w:p>
          <w:p w14:paraId="70333C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26" w:right="-136"/>
              <w:jc w:val="center"/>
              <w:textAlignment w:val="auto"/>
              <w:rPr>
                <w:sz w:val="24"/>
                <w:szCs w:val="24"/>
              </w:rPr>
            </w:pPr>
            <w:r>
              <w:rPr>
                <w:rFonts w:hint="eastAsia" w:ascii="宋体" w:hAnsi="宋体" w:eastAsia="宋体" w:cs="宋体"/>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425F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64" w:right="-153"/>
              <w:jc w:val="center"/>
              <w:textAlignment w:val="auto"/>
              <w:rPr>
                <w:sz w:val="24"/>
                <w:szCs w:val="24"/>
              </w:rPr>
            </w:pPr>
            <w:r>
              <w:rPr>
                <w:rFonts w:hint="eastAsia" w:ascii="宋体" w:hAnsi="宋体" w:eastAsia="宋体" w:cs="宋体"/>
                <w:sz w:val="20"/>
                <w:szCs w:val="20"/>
              </w:rPr>
              <w:t>尚未</w:t>
            </w:r>
          </w:p>
          <w:p w14:paraId="0281F4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64" w:right="-153"/>
              <w:jc w:val="center"/>
              <w:textAlignment w:val="auto"/>
              <w:rPr>
                <w:sz w:val="24"/>
                <w:szCs w:val="24"/>
              </w:rPr>
            </w:pPr>
            <w:r>
              <w:rPr>
                <w:rFonts w:hint="eastAsia" w:ascii="宋体" w:hAnsi="宋体" w:eastAsia="宋体" w:cs="宋体"/>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1B092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24F7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99" w:right="-78"/>
              <w:jc w:val="center"/>
              <w:textAlignment w:val="auto"/>
              <w:rPr>
                <w:sz w:val="24"/>
                <w:szCs w:val="24"/>
              </w:rPr>
            </w:pPr>
            <w:r>
              <w:rPr>
                <w:rFonts w:hint="eastAsia" w:ascii="宋体" w:hAnsi="宋体" w:eastAsia="宋体" w:cs="宋体"/>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E6B6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36" w:right="-124"/>
              <w:jc w:val="center"/>
              <w:textAlignment w:val="auto"/>
              <w:rPr>
                <w:sz w:val="24"/>
                <w:szCs w:val="24"/>
              </w:rPr>
            </w:pPr>
            <w:r>
              <w:rPr>
                <w:rFonts w:hint="eastAsia" w:ascii="宋体" w:hAnsi="宋体" w:eastAsia="宋体" w:cs="宋体"/>
                <w:sz w:val="20"/>
                <w:szCs w:val="20"/>
              </w:rPr>
              <w:t>结果</w:t>
            </w:r>
          </w:p>
          <w:p w14:paraId="62ADE3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36" w:right="-124"/>
              <w:jc w:val="center"/>
              <w:textAlignment w:val="auto"/>
              <w:rPr>
                <w:sz w:val="24"/>
                <w:szCs w:val="24"/>
              </w:rPr>
            </w:pPr>
            <w:r>
              <w:rPr>
                <w:rFonts w:hint="eastAsia" w:ascii="宋体" w:hAnsi="宋体" w:eastAsia="宋体" w:cs="宋体"/>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D7ED5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73" w:right="-134" w:hanging="1"/>
              <w:jc w:val="center"/>
              <w:textAlignment w:val="auto"/>
              <w:rPr>
                <w:sz w:val="24"/>
                <w:szCs w:val="24"/>
              </w:rPr>
            </w:pPr>
            <w:r>
              <w:rPr>
                <w:rFonts w:hint="eastAsia" w:ascii="宋体" w:hAnsi="宋体" w:eastAsia="宋体" w:cs="宋体"/>
                <w:color w:val="000000"/>
                <w:sz w:val="20"/>
                <w:szCs w:val="20"/>
              </w:rPr>
              <w:t>其他</w:t>
            </w:r>
          </w:p>
          <w:p w14:paraId="3F69E4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73" w:right="-134" w:hanging="1"/>
              <w:jc w:val="center"/>
              <w:textAlignment w:val="auto"/>
              <w:rPr>
                <w:sz w:val="24"/>
                <w:szCs w:val="24"/>
              </w:rPr>
            </w:pPr>
            <w:r>
              <w:rPr>
                <w:rFonts w:hint="eastAsia" w:ascii="宋体" w:hAnsi="宋体" w:eastAsia="宋体" w:cs="宋体"/>
                <w:color w:val="00000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A34E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7" w:right="-105" w:hanging="2"/>
              <w:jc w:val="center"/>
              <w:textAlignment w:val="auto"/>
              <w:rPr>
                <w:sz w:val="24"/>
                <w:szCs w:val="24"/>
              </w:rPr>
            </w:pPr>
            <w:r>
              <w:rPr>
                <w:rFonts w:hint="eastAsia" w:ascii="宋体" w:hAnsi="宋体" w:eastAsia="宋体" w:cs="宋体"/>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A73A2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24"/>
                <w:szCs w:val="24"/>
              </w:rPr>
            </w:pPr>
            <w:r>
              <w:rPr>
                <w:rFonts w:hint="eastAsia" w:ascii="宋体" w:hAnsi="宋体" w:eastAsia="宋体" w:cs="宋体"/>
                <w:color w:val="000000"/>
                <w:sz w:val="20"/>
                <w:szCs w:val="20"/>
              </w:rPr>
              <w:t>总计</w:t>
            </w:r>
          </w:p>
        </w:tc>
      </w:tr>
      <w:tr w14:paraId="2AA6E2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5902E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A005D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A2869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BAEDF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0261ED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C56EC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F0A33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80A2D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754AD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82D8E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color w:val="000000"/>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3C35A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36F75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6CD2F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color w:val="000000"/>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3CFB57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4"/>
                <w:szCs w:val="24"/>
              </w:rPr>
            </w:pPr>
            <w:r>
              <w:rPr>
                <w:rFonts w:hint="eastAsia" w:ascii="宋体" w:hAnsi="宋体" w:eastAsia="宋体" w:cs="宋体"/>
                <w:sz w:val="20"/>
                <w:szCs w:val="20"/>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9D7B4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24"/>
                <w:szCs w:val="24"/>
              </w:rPr>
            </w:pPr>
            <w:r>
              <w:rPr>
                <w:rFonts w:hint="eastAsia" w:ascii="宋体" w:hAnsi="宋体" w:eastAsia="宋体" w:cs="宋体"/>
                <w:sz w:val="20"/>
                <w:szCs w:val="20"/>
              </w:rPr>
              <w:t>0</w:t>
            </w:r>
          </w:p>
        </w:tc>
      </w:tr>
    </w:tbl>
    <w:p w14:paraId="2C0412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五、存在的主要问题及改进情况</w:t>
      </w:r>
    </w:p>
    <w:p w14:paraId="797F7B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i w:val="0"/>
          <w:iCs w:val="0"/>
          <w:caps w:val="0"/>
          <w:color w:val="000000"/>
          <w:spacing w:val="0"/>
          <w:sz w:val="32"/>
          <w:szCs w:val="32"/>
        </w:rPr>
        <w:t>（一）存在的主要问题及困难</w:t>
      </w:r>
    </w:p>
    <w:p w14:paraId="5B0546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楷体_GB2312" w:hAnsi="微软雅黑" w:eastAsia="楷体_GB2312" w:cs="楷体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一是公共企事业单位信息公开质量需要进一步提升，部分医疗</w:t>
      </w:r>
      <w:r>
        <w:rPr>
          <w:rFonts w:hint="eastAsia" w:ascii="仿宋_GB2312" w:hAnsi="微软雅黑" w:eastAsia="仿宋_GB2312" w:cs="仿宋_GB2312"/>
          <w:i w:val="0"/>
          <w:iCs w:val="0"/>
          <w:caps w:val="0"/>
          <w:color w:val="000000"/>
          <w:spacing w:val="0"/>
          <w:sz w:val="32"/>
          <w:szCs w:val="32"/>
          <w:lang w:val="en-US" w:eastAsia="zh-CN"/>
        </w:rPr>
        <w:t>单位</w:t>
      </w:r>
      <w:r>
        <w:rPr>
          <w:rFonts w:hint="eastAsia" w:ascii="仿宋_GB2312" w:hAnsi="微软雅黑" w:eastAsia="仿宋_GB2312" w:cs="仿宋_GB2312"/>
          <w:i w:val="0"/>
          <w:iCs w:val="0"/>
          <w:caps w:val="0"/>
          <w:color w:val="000000"/>
          <w:spacing w:val="0"/>
          <w:sz w:val="32"/>
          <w:szCs w:val="32"/>
        </w:rPr>
        <w:t>信息公开负责人员思想</w:t>
      </w:r>
      <w:r>
        <w:rPr>
          <w:rFonts w:hint="eastAsia" w:ascii="仿宋_GB2312" w:hAnsi="微软雅黑" w:eastAsia="仿宋_GB2312" w:cs="仿宋_GB2312"/>
          <w:i w:val="0"/>
          <w:iCs w:val="0"/>
          <w:caps w:val="0"/>
          <w:color w:val="000000"/>
          <w:spacing w:val="0"/>
          <w:sz w:val="32"/>
          <w:szCs w:val="32"/>
          <w:lang w:val="en-US" w:eastAsia="zh-CN"/>
        </w:rPr>
        <w:t>上</w:t>
      </w:r>
      <w:r>
        <w:rPr>
          <w:rFonts w:hint="eastAsia" w:ascii="仿宋_GB2312" w:hAnsi="微软雅黑" w:eastAsia="仿宋_GB2312" w:cs="仿宋_GB2312"/>
          <w:i w:val="0"/>
          <w:iCs w:val="0"/>
          <w:caps w:val="0"/>
          <w:color w:val="000000"/>
          <w:spacing w:val="0"/>
          <w:sz w:val="32"/>
          <w:szCs w:val="32"/>
        </w:rPr>
        <w:t>重视</w:t>
      </w:r>
      <w:r>
        <w:rPr>
          <w:rFonts w:hint="eastAsia" w:ascii="仿宋_GB2312" w:hAnsi="微软雅黑" w:eastAsia="仿宋_GB2312" w:cs="仿宋_GB2312"/>
          <w:i w:val="0"/>
          <w:iCs w:val="0"/>
          <w:caps w:val="0"/>
          <w:color w:val="000000"/>
          <w:spacing w:val="0"/>
          <w:sz w:val="32"/>
          <w:szCs w:val="32"/>
          <w:lang w:val="en-US" w:eastAsia="zh-CN"/>
        </w:rPr>
        <w:t>程度不够</w:t>
      </w:r>
      <w:r>
        <w:rPr>
          <w:rFonts w:hint="eastAsia" w:ascii="仿宋_GB2312" w:hAnsi="微软雅黑" w:eastAsia="仿宋_GB2312" w:cs="仿宋_GB2312"/>
          <w:i w:val="0"/>
          <w:iCs w:val="0"/>
          <w:caps w:val="0"/>
          <w:color w:val="000000"/>
          <w:spacing w:val="0"/>
          <w:sz w:val="32"/>
          <w:szCs w:val="32"/>
        </w:rPr>
        <w:t>，未按照标准公开信息，存在信息内容缺失、时限超期、栏目发布错误的问题</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lang w:val="en-US" w:eastAsia="zh-CN"/>
        </w:rPr>
        <w:t>二是个别栏目对应的公开信息需要进一步细化，在全面性、及时性、可读性上与群众的需求还存在差距，不方便群众查找信息。</w:t>
      </w:r>
    </w:p>
    <w:p w14:paraId="2D5C1A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i w:val="0"/>
          <w:iCs w:val="0"/>
          <w:caps w:val="0"/>
          <w:color w:val="000000"/>
          <w:spacing w:val="0"/>
          <w:sz w:val="32"/>
          <w:szCs w:val="32"/>
        </w:rPr>
        <w:t>（二）解决措施和改进情况</w:t>
      </w:r>
    </w:p>
    <w:p w14:paraId="5F6BE10F">
      <w:pPr>
        <w:spacing w:line="560" w:lineRule="exact"/>
        <w:ind w:firstLine="640" w:firstLineChars="200"/>
        <w:rPr>
          <w:rFonts w:hint="default" w:ascii="仿宋_GB2312" w:hAnsi="微软雅黑" w:eastAsia="仿宋_GB2312" w:cs="仿宋_GB2312"/>
          <w:i w:val="0"/>
          <w:iCs w:val="0"/>
          <w:caps w:val="0"/>
          <w:color w:val="000000"/>
          <w:spacing w:val="0"/>
          <w:kern w:val="0"/>
          <w:sz w:val="32"/>
          <w:szCs w:val="32"/>
          <w:lang w:val="en-US" w:eastAsia="zh-CN" w:bidi="ar"/>
        </w:rPr>
      </w:pPr>
      <w:r>
        <w:rPr>
          <w:rFonts w:hint="eastAsia" w:ascii="仿宋_GB2312" w:hAnsi="微软雅黑" w:eastAsia="仿宋_GB2312" w:cs="仿宋_GB2312"/>
          <w:i w:val="0"/>
          <w:iCs w:val="0"/>
          <w:caps w:val="0"/>
          <w:color w:val="000000"/>
          <w:spacing w:val="0"/>
          <w:kern w:val="0"/>
          <w:sz w:val="32"/>
          <w:szCs w:val="32"/>
          <w:lang w:val="en-US" w:eastAsia="zh-CN" w:bidi="ar"/>
        </w:rPr>
        <w:t>一是进一步抓实公共企事业单位信息公开工作，严格按照各级要求，逐项明确公开内容、公开时限、公开渠道，对信息公开存在问题较多的医疗单位进行现场指导，确保企事业单位信息公开工作及时规范。二是加强对公开信息的审查，对前期已进行公开的信息重新开展自查，对发现的问题及时整改；对拟公开信息从严把关，确保内容及形式规范。</w:t>
      </w:r>
    </w:p>
    <w:p w14:paraId="124977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六、其他需要报告的事项</w:t>
      </w:r>
    </w:p>
    <w:p w14:paraId="3E86E4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i w:val="0"/>
          <w:iCs w:val="0"/>
          <w:caps w:val="0"/>
          <w:color w:val="000000"/>
          <w:spacing w:val="0"/>
          <w:sz w:val="32"/>
          <w:szCs w:val="32"/>
        </w:rPr>
        <w:t>（一）</w:t>
      </w:r>
      <w:r>
        <w:rPr>
          <w:rFonts w:hint="eastAsia" w:ascii="楷体_GB2312" w:hAnsi="微软雅黑" w:eastAsia="楷体_GB2312" w:cs="楷体_GB2312"/>
          <w:i w:val="0"/>
          <w:iCs w:val="0"/>
          <w:caps w:val="0"/>
          <w:color w:val="000000"/>
          <w:spacing w:val="0"/>
          <w:sz w:val="32"/>
          <w:szCs w:val="32"/>
          <w:lang w:val="en-US" w:eastAsia="zh-CN"/>
        </w:rPr>
        <w:t>依申请公开</w:t>
      </w:r>
      <w:r>
        <w:rPr>
          <w:rFonts w:hint="eastAsia" w:ascii="楷体_GB2312" w:hAnsi="微软雅黑" w:eastAsia="楷体_GB2312" w:cs="楷体_GB2312"/>
          <w:i w:val="0"/>
          <w:iCs w:val="0"/>
          <w:caps w:val="0"/>
          <w:color w:val="000000"/>
          <w:spacing w:val="0"/>
          <w:sz w:val="32"/>
          <w:szCs w:val="32"/>
        </w:rPr>
        <w:t>信息处理费</w:t>
      </w:r>
      <w:r>
        <w:rPr>
          <w:rFonts w:hint="eastAsia" w:ascii="楷体_GB2312" w:hAnsi="微软雅黑" w:eastAsia="楷体_GB2312" w:cs="楷体_GB2312"/>
          <w:i w:val="0"/>
          <w:iCs w:val="0"/>
          <w:caps w:val="0"/>
          <w:color w:val="000000"/>
          <w:spacing w:val="0"/>
          <w:sz w:val="32"/>
          <w:szCs w:val="32"/>
          <w:lang w:val="en-US" w:eastAsia="zh-CN"/>
        </w:rPr>
        <w:t>收取</w:t>
      </w:r>
      <w:r>
        <w:rPr>
          <w:rFonts w:hint="eastAsia" w:ascii="楷体_GB2312" w:hAnsi="微软雅黑" w:eastAsia="楷体_GB2312" w:cs="楷体_GB2312"/>
          <w:i w:val="0"/>
          <w:iCs w:val="0"/>
          <w:caps w:val="0"/>
          <w:color w:val="000000"/>
          <w:spacing w:val="0"/>
          <w:sz w:val="32"/>
          <w:szCs w:val="32"/>
        </w:rPr>
        <w:t>情况</w:t>
      </w:r>
    </w:p>
    <w:p w14:paraId="48D3B9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Times New Roman" w:hAnsi="Times New Roman" w:eastAsia="仿宋_GB2312" w:cs="Times New Roman"/>
          <w:i w:val="0"/>
          <w:iCs w:val="0"/>
          <w:caps w:val="0"/>
          <w:color w:val="000000"/>
          <w:spacing w:val="0"/>
          <w:sz w:val="32"/>
          <w:szCs w:val="32"/>
          <w:lang w:val="en-US" w:eastAsia="zh-CN"/>
        </w:rPr>
      </w:pPr>
      <w:r>
        <w:rPr>
          <w:rFonts w:hint="default" w:ascii="Times New Roman" w:hAnsi="Times New Roman" w:eastAsia="仿宋_GB2312" w:cs="Times New Roman"/>
          <w:i w:val="0"/>
          <w:iCs w:val="0"/>
          <w:caps w:val="0"/>
          <w:color w:val="000000"/>
          <w:spacing w:val="0"/>
          <w:sz w:val="32"/>
          <w:szCs w:val="32"/>
        </w:rPr>
        <w:t>根据《国务院办公厅关于印发&lt;政府信息公开信息处理费管理办法&gt;的通知》（国办函〔2020〕109号）和《山东省人民政府办公厅关于做好政府信息公开信息处理费管理工作有关事项的通知》（鲁政办字〔2020〕179号）</w:t>
      </w:r>
      <w:r>
        <w:rPr>
          <w:rFonts w:hint="eastAsia" w:ascii="Times New Roman" w:hAnsi="Times New Roman" w:eastAsia="仿宋_GB2312" w:cs="Times New Roman"/>
          <w:i w:val="0"/>
          <w:iCs w:val="0"/>
          <w:caps w:val="0"/>
          <w:color w:val="000000"/>
          <w:spacing w:val="0"/>
          <w:sz w:val="32"/>
          <w:szCs w:val="32"/>
          <w:lang w:val="en-US" w:eastAsia="zh-CN"/>
        </w:rPr>
        <w:t>规定，</w:t>
      </w:r>
      <w:r>
        <w:rPr>
          <w:rFonts w:hint="default" w:ascii="Times New Roman" w:hAnsi="Times New Roman" w:eastAsia="仿宋_GB2312" w:cs="Times New Roman"/>
          <w:i w:val="0"/>
          <w:iCs w:val="0"/>
          <w:caps w:val="0"/>
          <w:color w:val="000000"/>
          <w:spacing w:val="0"/>
          <w:sz w:val="32"/>
          <w:szCs w:val="32"/>
        </w:rPr>
        <w:t>202</w:t>
      </w:r>
      <w:r>
        <w:rPr>
          <w:rFonts w:hint="eastAsia"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年本机关依申请公开政府信息未收取任何费用</w:t>
      </w:r>
      <w:r>
        <w:rPr>
          <w:rFonts w:hint="eastAsia" w:ascii="Times New Roman" w:hAnsi="Times New Roman" w:eastAsia="仿宋_GB2312" w:cs="Times New Roman"/>
          <w:i w:val="0"/>
          <w:iCs w:val="0"/>
          <w:caps w:val="0"/>
          <w:color w:val="000000"/>
          <w:spacing w:val="0"/>
          <w:sz w:val="32"/>
          <w:szCs w:val="32"/>
          <w:lang w:eastAsia="zh-CN"/>
        </w:rPr>
        <w:t>。</w:t>
      </w:r>
    </w:p>
    <w:p w14:paraId="592C52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i w:val="0"/>
          <w:iCs w:val="0"/>
          <w:caps w:val="0"/>
          <w:color w:val="000000"/>
          <w:spacing w:val="0"/>
          <w:sz w:val="32"/>
          <w:szCs w:val="32"/>
        </w:rPr>
        <w:t>（</w:t>
      </w:r>
      <w:r>
        <w:rPr>
          <w:rFonts w:hint="eastAsia" w:ascii="楷体_GB2312" w:hAnsi="微软雅黑" w:eastAsia="楷体_GB2312" w:cs="楷体_GB2312"/>
          <w:i w:val="0"/>
          <w:iCs w:val="0"/>
          <w:caps w:val="0"/>
          <w:color w:val="000000"/>
          <w:spacing w:val="0"/>
          <w:sz w:val="32"/>
          <w:szCs w:val="32"/>
          <w:lang w:val="en-US" w:eastAsia="zh-CN"/>
        </w:rPr>
        <w:t>二</w:t>
      </w:r>
      <w:r>
        <w:rPr>
          <w:rFonts w:hint="eastAsia" w:ascii="楷体_GB2312" w:hAnsi="微软雅黑" w:eastAsia="楷体_GB2312" w:cs="楷体_GB2312"/>
          <w:i w:val="0"/>
          <w:iCs w:val="0"/>
          <w:caps w:val="0"/>
          <w:color w:val="000000"/>
          <w:spacing w:val="0"/>
          <w:sz w:val="32"/>
          <w:szCs w:val="32"/>
        </w:rPr>
        <w:t>）人大</w:t>
      </w:r>
      <w:r>
        <w:rPr>
          <w:rFonts w:hint="eastAsia" w:ascii="楷体_GB2312" w:hAnsi="微软雅黑" w:eastAsia="楷体_GB2312" w:cs="楷体_GB2312"/>
          <w:i w:val="0"/>
          <w:iCs w:val="0"/>
          <w:caps w:val="0"/>
          <w:color w:val="000000"/>
          <w:spacing w:val="0"/>
          <w:sz w:val="32"/>
          <w:szCs w:val="32"/>
          <w:lang w:val="en-US" w:eastAsia="zh-CN"/>
        </w:rPr>
        <w:t>代表建议、</w:t>
      </w:r>
      <w:r>
        <w:rPr>
          <w:rFonts w:hint="eastAsia" w:ascii="楷体_GB2312" w:hAnsi="微软雅黑" w:eastAsia="楷体_GB2312" w:cs="楷体_GB2312"/>
          <w:i w:val="0"/>
          <w:iCs w:val="0"/>
          <w:caps w:val="0"/>
          <w:color w:val="000000"/>
          <w:spacing w:val="0"/>
          <w:sz w:val="32"/>
          <w:szCs w:val="32"/>
        </w:rPr>
        <w:t>政协</w:t>
      </w:r>
      <w:r>
        <w:rPr>
          <w:rFonts w:hint="eastAsia" w:ascii="楷体_GB2312" w:hAnsi="微软雅黑" w:eastAsia="楷体_GB2312" w:cs="楷体_GB2312"/>
          <w:i w:val="0"/>
          <w:iCs w:val="0"/>
          <w:caps w:val="0"/>
          <w:color w:val="000000"/>
          <w:spacing w:val="0"/>
          <w:sz w:val="32"/>
          <w:szCs w:val="32"/>
          <w:lang w:val="en-US" w:eastAsia="zh-CN"/>
        </w:rPr>
        <w:t>委员</w:t>
      </w:r>
      <w:r>
        <w:rPr>
          <w:rFonts w:hint="eastAsia" w:ascii="楷体_GB2312" w:hAnsi="微软雅黑" w:eastAsia="楷体_GB2312" w:cs="楷体_GB2312"/>
          <w:i w:val="0"/>
          <w:iCs w:val="0"/>
          <w:caps w:val="0"/>
          <w:color w:val="000000"/>
          <w:spacing w:val="0"/>
          <w:sz w:val="32"/>
          <w:szCs w:val="32"/>
        </w:rPr>
        <w:t>提案办理结果公开情况</w:t>
      </w:r>
    </w:p>
    <w:p w14:paraId="025A54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楷体_GB2312" w:hAnsi="微软雅黑" w:eastAsia="楷体_GB2312" w:cs="楷体_GB2312"/>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202</w:t>
      </w:r>
      <w:r>
        <w:rPr>
          <w:rFonts w:hint="eastAsia"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年，</w:t>
      </w:r>
      <w:r>
        <w:rPr>
          <w:rFonts w:hint="default" w:ascii="Times New Roman" w:hAnsi="Times New Roman" w:eastAsia="仿宋_GB2312" w:cs="Times New Roman"/>
          <w:i w:val="0"/>
          <w:iCs w:val="0"/>
          <w:caps w:val="0"/>
          <w:color w:val="000000"/>
          <w:spacing w:val="0"/>
          <w:sz w:val="32"/>
          <w:szCs w:val="32"/>
          <w:lang w:val="en-US" w:eastAsia="zh-CN"/>
        </w:rPr>
        <w:t>本机关</w:t>
      </w:r>
      <w:r>
        <w:rPr>
          <w:rFonts w:hint="default" w:ascii="Times New Roman" w:hAnsi="Times New Roman" w:eastAsia="仿宋_GB2312" w:cs="Times New Roman"/>
          <w:i w:val="0"/>
          <w:iCs w:val="0"/>
          <w:caps w:val="0"/>
          <w:color w:val="000000"/>
          <w:spacing w:val="0"/>
          <w:sz w:val="32"/>
          <w:szCs w:val="32"/>
        </w:rPr>
        <w:t>共承办</w:t>
      </w:r>
      <w:r>
        <w:rPr>
          <w:rFonts w:hint="default" w:ascii="Times New Roman" w:hAnsi="Times New Roman" w:eastAsia="仿宋_GB2312" w:cs="Times New Roman"/>
          <w:i w:val="0"/>
          <w:iCs w:val="0"/>
          <w:caps w:val="0"/>
          <w:color w:val="000000"/>
          <w:spacing w:val="0"/>
          <w:sz w:val="32"/>
          <w:szCs w:val="32"/>
          <w:lang w:val="en-US" w:eastAsia="zh-CN"/>
        </w:rPr>
        <w:t>县</w:t>
      </w:r>
      <w:r>
        <w:rPr>
          <w:rFonts w:hint="eastAsia" w:ascii="Times New Roman" w:hAnsi="Times New Roman" w:eastAsia="仿宋_GB2312" w:cs="Times New Roman"/>
          <w:i w:val="0"/>
          <w:iCs w:val="0"/>
          <w:caps w:val="0"/>
          <w:color w:val="000000"/>
          <w:spacing w:val="0"/>
          <w:sz w:val="32"/>
          <w:szCs w:val="32"/>
          <w:lang w:val="en-US" w:eastAsia="zh-CN"/>
        </w:rPr>
        <w:t>人大</w:t>
      </w:r>
      <w:r>
        <w:rPr>
          <w:rFonts w:hint="default" w:ascii="Times New Roman" w:hAnsi="Times New Roman" w:eastAsia="仿宋_GB2312" w:cs="Times New Roman"/>
          <w:i w:val="0"/>
          <w:iCs w:val="0"/>
          <w:caps w:val="0"/>
          <w:color w:val="000000"/>
          <w:spacing w:val="0"/>
          <w:sz w:val="32"/>
          <w:szCs w:val="32"/>
          <w:lang w:val="en-US" w:eastAsia="zh-CN"/>
        </w:rPr>
        <w:t>十九届</w:t>
      </w:r>
      <w:r>
        <w:rPr>
          <w:rFonts w:hint="eastAsia" w:ascii="Times New Roman" w:hAnsi="Times New Roman" w:eastAsia="仿宋_GB2312" w:cs="Times New Roman"/>
          <w:i w:val="0"/>
          <w:iCs w:val="0"/>
          <w:caps w:val="0"/>
          <w:color w:val="000000"/>
          <w:spacing w:val="0"/>
          <w:sz w:val="32"/>
          <w:szCs w:val="32"/>
          <w:lang w:val="en-US" w:eastAsia="zh-CN"/>
        </w:rPr>
        <w:t>三次会议</w:t>
      </w:r>
      <w:r>
        <w:rPr>
          <w:rFonts w:hint="default" w:ascii="Times New Roman" w:hAnsi="Times New Roman" w:eastAsia="仿宋_GB2312" w:cs="Times New Roman"/>
          <w:i w:val="0"/>
          <w:iCs w:val="0"/>
          <w:caps w:val="0"/>
          <w:color w:val="000000"/>
          <w:spacing w:val="0"/>
          <w:sz w:val="32"/>
          <w:szCs w:val="32"/>
        </w:rPr>
        <w:t>建议</w:t>
      </w:r>
      <w:r>
        <w:rPr>
          <w:rFonts w:hint="eastAsia" w:ascii="Times New Roman" w:hAnsi="Times New Roman" w:eastAsia="仿宋_GB2312" w:cs="Times New Roman"/>
          <w:i w:val="0"/>
          <w:iCs w:val="0"/>
          <w:caps w:val="0"/>
          <w:color w:val="000000"/>
          <w:spacing w:val="0"/>
          <w:sz w:val="32"/>
          <w:szCs w:val="32"/>
          <w:lang w:val="en-US" w:eastAsia="zh-CN"/>
        </w:rPr>
        <w:t>7</w:t>
      </w:r>
      <w:r>
        <w:rPr>
          <w:rFonts w:hint="default" w:ascii="Times New Roman" w:hAnsi="Times New Roman" w:eastAsia="仿宋_GB2312" w:cs="Times New Roman"/>
          <w:i w:val="0"/>
          <w:iCs w:val="0"/>
          <w:caps w:val="0"/>
          <w:color w:val="000000"/>
          <w:spacing w:val="0"/>
          <w:sz w:val="32"/>
          <w:szCs w:val="32"/>
        </w:rPr>
        <w:t>件，承办</w:t>
      </w:r>
      <w:r>
        <w:rPr>
          <w:rFonts w:hint="eastAsia" w:ascii="Times New Roman" w:hAnsi="Times New Roman" w:eastAsia="仿宋_GB2312" w:cs="Times New Roman"/>
          <w:i w:val="0"/>
          <w:iCs w:val="0"/>
          <w:caps w:val="0"/>
          <w:color w:val="000000"/>
          <w:spacing w:val="0"/>
          <w:sz w:val="32"/>
          <w:szCs w:val="32"/>
          <w:lang w:val="en-US" w:eastAsia="zh-CN"/>
        </w:rPr>
        <w:t>县</w:t>
      </w:r>
      <w:r>
        <w:rPr>
          <w:rFonts w:hint="default" w:ascii="Times New Roman" w:hAnsi="Times New Roman" w:eastAsia="仿宋_GB2312" w:cs="Times New Roman"/>
          <w:i w:val="0"/>
          <w:iCs w:val="0"/>
          <w:caps w:val="0"/>
          <w:color w:val="000000"/>
          <w:spacing w:val="0"/>
          <w:sz w:val="32"/>
          <w:szCs w:val="32"/>
        </w:rPr>
        <w:t>政协</w:t>
      </w:r>
      <w:r>
        <w:rPr>
          <w:rFonts w:hint="eastAsia" w:ascii="Times New Roman" w:hAnsi="Times New Roman" w:eastAsia="仿宋_GB2312" w:cs="Times New Roman"/>
          <w:i w:val="0"/>
          <w:iCs w:val="0"/>
          <w:caps w:val="0"/>
          <w:color w:val="000000"/>
          <w:spacing w:val="0"/>
          <w:sz w:val="32"/>
          <w:szCs w:val="32"/>
          <w:lang w:val="en-US" w:eastAsia="zh-CN"/>
        </w:rPr>
        <w:t>十一届三次会议提案6</w:t>
      </w:r>
      <w:r>
        <w:rPr>
          <w:rFonts w:hint="default" w:ascii="Times New Roman" w:hAnsi="Times New Roman" w:eastAsia="仿宋_GB2312" w:cs="Times New Roman"/>
          <w:i w:val="0"/>
          <w:iCs w:val="0"/>
          <w:caps w:val="0"/>
          <w:color w:val="000000"/>
          <w:spacing w:val="0"/>
          <w:sz w:val="32"/>
          <w:szCs w:val="32"/>
        </w:rPr>
        <w:t>件，</w:t>
      </w:r>
      <w:r>
        <w:rPr>
          <w:rFonts w:hint="eastAsia" w:ascii="Times New Roman" w:hAnsi="Times New Roman" w:eastAsia="仿宋_GB2312" w:cs="Times New Roman"/>
          <w:i w:val="0"/>
          <w:iCs w:val="0"/>
          <w:caps w:val="0"/>
          <w:color w:val="000000"/>
          <w:spacing w:val="0"/>
          <w:sz w:val="32"/>
          <w:szCs w:val="32"/>
          <w:lang w:val="en-US" w:eastAsia="zh-CN"/>
        </w:rPr>
        <w:t>办复率为100%</w:t>
      </w:r>
      <w:r>
        <w:rPr>
          <w:rFonts w:hint="default" w:ascii="Times New Roman" w:hAnsi="Times New Roman" w:eastAsia="仿宋_GB2312" w:cs="Times New Roman"/>
          <w:i w:val="0"/>
          <w:iCs w:val="0"/>
          <w:caps w:val="0"/>
          <w:color w:val="000000"/>
          <w:spacing w:val="0"/>
          <w:sz w:val="32"/>
          <w:szCs w:val="32"/>
        </w:rPr>
        <w:t>。所有建议提案答复均为依申请公开</w:t>
      </w:r>
      <w:r>
        <w:rPr>
          <w:rFonts w:hint="eastAsia" w:ascii="Times New Roman" w:hAnsi="Times New Roman" w:eastAsia="仿宋_GB2312" w:cs="Times New Roman"/>
          <w:i w:val="0"/>
          <w:iCs w:val="0"/>
          <w:caps w:val="0"/>
          <w:color w:val="000000"/>
          <w:spacing w:val="0"/>
          <w:sz w:val="32"/>
          <w:szCs w:val="32"/>
          <w:lang w:eastAsia="zh-CN"/>
        </w:rPr>
        <w:t>，</w:t>
      </w:r>
      <w:r>
        <w:rPr>
          <w:rFonts w:hint="eastAsia" w:ascii="Times New Roman" w:hAnsi="Times New Roman" w:eastAsia="仿宋_GB2312" w:cs="Times New Roman"/>
          <w:i w:val="0"/>
          <w:iCs w:val="0"/>
          <w:caps w:val="0"/>
          <w:color w:val="000000"/>
          <w:spacing w:val="0"/>
          <w:sz w:val="32"/>
          <w:szCs w:val="32"/>
          <w:lang w:val="en-US" w:eastAsia="zh-CN"/>
        </w:rPr>
        <w:t>办理总体情况已在县政府门户网站建议提案办理专题中予以公开</w:t>
      </w:r>
      <w:r>
        <w:rPr>
          <w:rFonts w:hint="default" w:ascii="Times New Roman" w:hAnsi="Times New Roman" w:eastAsia="仿宋_GB2312" w:cs="Times New Roman"/>
          <w:i w:val="0"/>
          <w:iCs w:val="0"/>
          <w:caps w:val="0"/>
          <w:color w:val="000000"/>
          <w:spacing w:val="0"/>
          <w:sz w:val="32"/>
          <w:szCs w:val="32"/>
        </w:rPr>
        <w:t>。</w:t>
      </w:r>
    </w:p>
    <w:p w14:paraId="41A3C2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Times New Roman" w:hAnsi="Times New Roman" w:eastAsia="仿宋_GB2312" w:cs="Times New Roman"/>
          <w:b w:val="0"/>
          <w:bCs w:val="0"/>
          <w:sz w:val="32"/>
          <w:szCs w:val="32"/>
          <w:lang w:val="en-US" w:eastAsia="zh-CN"/>
        </w:rPr>
      </w:pPr>
      <w:r>
        <w:rPr>
          <w:rFonts w:hint="eastAsia" w:ascii="楷体_GB2312" w:hAnsi="微软雅黑" w:eastAsia="楷体_GB2312" w:cs="楷体_GB2312"/>
          <w:i w:val="0"/>
          <w:iCs w:val="0"/>
          <w:caps w:val="0"/>
          <w:color w:val="000000"/>
          <w:spacing w:val="0"/>
          <w:sz w:val="32"/>
          <w:szCs w:val="32"/>
        </w:rPr>
        <w:t>（</w:t>
      </w:r>
      <w:r>
        <w:rPr>
          <w:rFonts w:hint="eastAsia" w:ascii="楷体_GB2312" w:hAnsi="微软雅黑" w:eastAsia="楷体_GB2312" w:cs="楷体_GB2312"/>
          <w:i w:val="0"/>
          <w:iCs w:val="0"/>
          <w:caps w:val="0"/>
          <w:color w:val="000000"/>
          <w:spacing w:val="0"/>
          <w:sz w:val="32"/>
          <w:szCs w:val="32"/>
          <w:lang w:val="en-US" w:eastAsia="zh-CN"/>
        </w:rPr>
        <w:t>三</w:t>
      </w:r>
      <w:r>
        <w:rPr>
          <w:rFonts w:hint="eastAsia" w:ascii="楷体_GB2312" w:hAnsi="微软雅黑" w:eastAsia="楷体_GB2312" w:cs="楷体_GB2312"/>
          <w:i w:val="0"/>
          <w:iCs w:val="0"/>
          <w:caps w:val="0"/>
          <w:color w:val="000000"/>
          <w:spacing w:val="0"/>
          <w:sz w:val="32"/>
          <w:szCs w:val="32"/>
        </w:rPr>
        <w:t>）</w:t>
      </w:r>
      <w:r>
        <w:rPr>
          <w:rFonts w:hint="eastAsia" w:ascii="楷体_GB2312" w:hAnsi="微软雅黑" w:eastAsia="楷体_GB2312" w:cs="楷体_GB2312"/>
          <w:i w:val="0"/>
          <w:iCs w:val="0"/>
          <w:caps w:val="0"/>
          <w:color w:val="000000"/>
          <w:spacing w:val="0"/>
          <w:sz w:val="32"/>
          <w:szCs w:val="32"/>
          <w:lang w:val="en-US" w:eastAsia="zh-CN"/>
        </w:rPr>
        <w:t>政务公开工作</w:t>
      </w:r>
      <w:r>
        <w:rPr>
          <w:rFonts w:hint="eastAsia" w:ascii="楷体_GB2312" w:hAnsi="微软雅黑" w:eastAsia="楷体_GB2312" w:cs="楷体_GB2312"/>
          <w:i w:val="0"/>
          <w:iCs w:val="0"/>
          <w:caps w:val="0"/>
          <w:color w:val="000000"/>
          <w:spacing w:val="0"/>
          <w:sz w:val="32"/>
          <w:szCs w:val="32"/>
        </w:rPr>
        <w:t>创新情况</w:t>
      </w:r>
    </w:p>
    <w:p w14:paraId="7657D3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一是规范主动公开工作流程，严格按照时间节点及时对外发布宣传卫生健康系统政府信息和工作动态，对已发布信息做好解释工作；二是持续加强政民互动，充分发挥政府开放日活动作用，进一步做好卫生健康事业发展相关工作，向群众讲好卫生健康故事，积极回应社会关切，推进政务公开工作走深、走细、走实；三是丰富宣传主体和途径，积极协同各医疗卫生单位，将政府信息以权威准确、通俗易懂、形式多样、易于传播的方式公开，让人民群众“听得懂、看得懂”。</w:t>
      </w:r>
    </w:p>
    <w:p w14:paraId="6EC119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微软雅黑" w:eastAsia="仿宋_GB2312" w:cs="仿宋_GB2312"/>
          <w:i w:val="0"/>
          <w:iCs w:val="0"/>
          <w:caps w:val="0"/>
          <w:color w:val="000000"/>
          <w:spacing w:val="0"/>
          <w:sz w:val="32"/>
          <w:szCs w:val="32"/>
          <w:shd w:val="clear" w:fill="FFFFFF"/>
        </w:rPr>
      </w:pPr>
      <w:r>
        <w:rPr>
          <w:rFonts w:hint="eastAsia" w:ascii="楷体_GB2312" w:hAnsi="微软雅黑" w:eastAsia="楷体_GB2312" w:cs="楷体_GB2312"/>
          <w:i w:val="0"/>
          <w:iCs w:val="0"/>
          <w:caps w:val="0"/>
          <w:color w:val="000000"/>
          <w:spacing w:val="0"/>
          <w:sz w:val="32"/>
          <w:szCs w:val="32"/>
        </w:rPr>
        <w:t>（</w:t>
      </w:r>
      <w:r>
        <w:rPr>
          <w:rFonts w:hint="eastAsia" w:ascii="楷体_GB2312" w:hAnsi="微软雅黑" w:eastAsia="楷体_GB2312" w:cs="楷体_GB2312"/>
          <w:i w:val="0"/>
          <w:iCs w:val="0"/>
          <w:caps w:val="0"/>
          <w:color w:val="000000"/>
          <w:spacing w:val="0"/>
          <w:sz w:val="32"/>
          <w:szCs w:val="32"/>
          <w:lang w:val="en-US" w:eastAsia="zh-CN"/>
        </w:rPr>
        <w:t>四</w:t>
      </w:r>
      <w:r>
        <w:rPr>
          <w:rFonts w:hint="eastAsia" w:ascii="楷体_GB2312" w:hAnsi="微软雅黑" w:eastAsia="楷体_GB2312" w:cs="楷体_GB2312"/>
          <w:i w:val="0"/>
          <w:iCs w:val="0"/>
          <w:caps w:val="0"/>
          <w:color w:val="000000"/>
          <w:spacing w:val="0"/>
          <w:sz w:val="32"/>
          <w:szCs w:val="32"/>
        </w:rPr>
        <w:t>）《</w:t>
      </w:r>
      <w:r>
        <w:rPr>
          <w:rFonts w:hint="default" w:ascii="Times New Roman" w:hAnsi="Times New Roman" w:eastAsia="楷体_GB2312" w:cs="Times New Roman"/>
          <w:i w:val="0"/>
          <w:iCs w:val="0"/>
          <w:caps w:val="0"/>
          <w:color w:val="000000"/>
          <w:spacing w:val="0"/>
          <w:sz w:val="32"/>
          <w:szCs w:val="32"/>
        </w:rPr>
        <w:t>202</w:t>
      </w:r>
      <w:r>
        <w:rPr>
          <w:rFonts w:hint="eastAsia" w:ascii="Times New Roman" w:hAnsi="Times New Roman" w:eastAsia="楷体_GB2312" w:cs="Times New Roman"/>
          <w:i w:val="0"/>
          <w:iCs w:val="0"/>
          <w:caps w:val="0"/>
          <w:color w:val="000000"/>
          <w:spacing w:val="0"/>
          <w:sz w:val="32"/>
          <w:szCs w:val="32"/>
          <w:lang w:val="en-US" w:eastAsia="zh-CN"/>
        </w:rPr>
        <w:t>4</w:t>
      </w:r>
      <w:r>
        <w:rPr>
          <w:rFonts w:hint="default" w:ascii="Times New Roman" w:hAnsi="Times New Roman" w:eastAsia="楷体_GB2312" w:cs="Times New Roman"/>
          <w:i w:val="0"/>
          <w:iCs w:val="0"/>
          <w:caps w:val="0"/>
          <w:color w:val="000000"/>
          <w:spacing w:val="0"/>
          <w:sz w:val="32"/>
          <w:szCs w:val="32"/>
        </w:rPr>
        <w:t>年沂</w:t>
      </w:r>
      <w:r>
        <w:rPr>
          <w:rFonts w:hint="eastAsia" w:ascii="楷体_GB2312" w:hAnsi="微软雅黑" w:eastAsia="楷体_GB2312" w:cs="楷体_GB2312"/>
          <w:i w:val="0"/>
          <w:iCs w:val="0"/>
          <w:caps w:val="0"/>
          <w:color w:val="000000"/>
          <w:spacing w:val="0"/>
          <w:sz w:val="32"/>
          <w:szCs w:val="32"/>
        </w:rPr>
        <w:t>源县政务公开工作方案》落实情况</w:t>
      </w:r>
    </w:p>
    <w:p w14:paraId="2D7350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楷体_GB2312" w:hAnsi="微软雅黑" w:eastAsia="楷体_GB2312" w:cs="楷体_GB2312"/>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fill="FFFFFF"/>
          <w:lang w:val="en-US" w:eastAsia="zh-CN"/>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lang w:val="en-US" w:eastAsia="zh-CN"/>
        </w:rPr>
        <w:t>年</w:t>
      </w:r>
      <w:r>
        <w:rPr>
          <w:rFonts w:hint="eastAsia" w:ascii="仿宋_GB2312" w:hAnsi="微软雅黑" w:eastAsia="仿宋_GB2312" w:cs="仿宋_GB2312"/>
          <w:i w:val="0"/>
          <w:iCs w:val="0"/>
          <w:caps w:val="0"/>
          <w:color w:val="000000"/>
          <w:spacing w:val="0"/>
          <w:sz w:val="32"/>
          <w:szCs w:val="32"/>
          <w:shd w:val="clear" w:fill="FFFFFF"/>
          <w:lang w:val="en-US" w:eastAsia="zh-CN"/>
        </w:rPr>
        <w:t>，本机关严格落实国务院及省市县政府政务公开工作要点，</w:t>
      </w:r>
      <w:r>
        <w:rPr>
          <w:rFonts w:hint="eastAsia" w:ascii="仿宋_GB2312" w:hAnsi="微软雅黑" w:eastAsia="仿宋_GB2312" w:cs="仿宋_GB2312"/>
          <w:i w:val="0"/>
          <w:iCs w:val="0"/>
          <w:caps w:val="0"/>
          <w:color w:val="000000"/>
          <w:spacing w:val="0"/>
          <w:sz w:val="32"/>
          <w:szCs w:val="32"/>
          <w:shd w:val="clear" w:fill="FFFFFF"/>
        </w:rPr>
        <w:t>根据《条例》以及</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lang w:val="en-US" w:eastAsia="zh-CN"/>
        </w:rPr>
        <w:t>方案</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rPr>
        <w:t>要求</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lang w:val="en-US" w:eastAsia="zh-CN"/>
        </w:rPr>
        <w:t>结合全县卫生健康系统实际，</w:t>
      </w:r>
      <w:r>
        <w:rPr>
          <w:rFonts w:hint="eastAsia" w:ascii="仿宋_GB2312" w:hAnsi="微软雅黑" w:eastAsia="仿宋_GB2312" w:cs="仿宋_GB2312"/>
          <w:i w:val="0"/>
          <w:iCs w:val="0"/>
          <w:caps w:val="0"/>
          <w:color w:val="000000"/>
          <w:spacing w:val="0"/>
          <w:sz w:val="32"/>
          <w:szCs w:val="32"/>
          <w:shd w:val="clear" w:fill="FFFFFF"/>
        </w:rPr>
        <w:t>制定《沂源县卫生健康局</w:t>
      </w: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年</w:t>
      </w:r>
      <w:r>
        <w:rPr>
          <w:rFonts w:hint="eastAsia" w:ascii="仿宋_GB2312" w:hAnsi="微软雅黑" w:eastAsia="仿宋_GB2312" w:cs="仿宋_GB2312"/>
          <w:i w:val="0"/>
          <w:iCs w:val="0"/>
          <w:caps w:val="0"/>
          <w:color w:val="000000"/>
          <w:spacing w:val="0"/>
          <w:sz w:val="32"/>
          <w:szCs w:val="32"/>
          <w:shd w:val="clear" w:fill="FFFFFF"/>
        </w:rPr>
        <w:t>政务公开工作实施方案》，</w:t>
      </w:r>
      <w:r>
        <w:rPr>
          <w:rFonts w:hint="eastAsia" w:ascii="仿宋_GB2312" w:hAnsi="微软雅黑" w:eastAsia="仿宋_GB2312" w:cs="仿宋_GB2312"/>
          <w:i w:val="0"/>
          <w:iCs w:val="0"/>
          <w:caps w:val="0"/>
          <w:color w:val="000000"/>
          <w:spacing w:val="0"/>
          <w:sz w:val="32"/>
          <w:szCs w:val="32"/>
          <w:shd w:val="clear" w:fill="FFFFFF"/>
          <w:lang w:val="en-US" w:eastAsia="zh-CN"/>
        </w:rPr>
        <w:t>稳步推进政府信息公开工作。依托政务新媒体及时对外发布宣传相关政府信息和工作动态；持续做好各季度公共场所、饮用水供水单位、资料资源配置情况等民生关注热点栏目的信息公开工作，及时</w:t>
      </w:r>
      <w:bookmarkStart w:id="0" w:name="_GoBack"/>
      <w:bookmarkEnd w:id="0"/>
      <w:r>
        <w:rPr>
          <w:rFonts w:hint="eastAsia" w:ascii="仿宋_GB2312" w:hAnsi="微软雅黑" w:eastAsia="仿宋_GB2312" w:cs="仿宋_GB2312"/>
          <w:i w:val="0"/>
          <w:iCs w:val="0"/>
          <w:caps w:val="0"/>
          <w:color w:val="000000"/>
          <w:spacing w:val="0"/>
          <w:sz w:val="32"/>
          <w:szCs w:val="32"/>
          <w:shd w:val="clear" w:fill="FFFFFF"/>
          <w:lang w:val="en-US" w:eastAsia="zh-CN"/>
        </w:rPr>
        <w:t>发布针对妇女、未成年人、老年人等重点人群和农村、工矿企业等重点区域的专项健康科普信息，及时公布处方药物、抗菌药物、职业病防治、放射诊疗、传染病防治等专项医疗信息；加大医疗机构信息公开力度，及时更新完善各医疗机构信息，方便群众就医需求。</w:t>
      </w:r>
    </w:p>
    <w:p w14:paraId="522C34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微软雅黑" w:hAnsi="微软雅黑" w:eastAsia="楷体_GB2312" w:cs="微软雅黑"/>
          <w:i w:val="0"/>
          <w:iCs w:val="0"/>
          <w:caps w:val="0"/>
          <w:color w:val="000000"/>
          <w:spacing w:val="0"/>
          <w:sz w:val="24"/>
          <w:szCs w:val="24"/>
          <w:lang w:val="en-US" w:eastAsia="zh-CN"/>
        </w:rPr>
      </w:pPr>
      <w:r>
        <w:rPr>
          <w:rFonts w:hint="eastAsia" w:ascii="楷体_GB2312" w:hAnsi="微软雅黑" w:eastAsia="楷体_GB2312" w:cs="楷体_GB2312"/>
          <w:i w:val="0"/>
          <w:iCs w:val="0"/>
          <w:caps w:val="0"/>
          <w:color w:val="000000"/>
          <w:spacing w:val="0"/>
          <w:sz w:val="32"/>
          <w:szCs w:val="32"/>
        </w:rPr>
        <w:t>（五）</w:t>
      </w:r>
      <w:r>
        <w:rPr>
          <w:rFonts w:hint="eastAsia" w:ascii="楷体_GB2312" w:hAnsi="微软雅黑" w:eastAsia="楷体_GB2312" w:cs="楷体_GB2312"/>
          <w:i w:val="0"/>
          <w:iCs w:val="0"/>
          <w:caps w:val="0"/>
          <w:color w:val="000000"/>
          <w:spacing w:val="0"/>
          <w:sz w:val="32"/>
          <w:szCs w:val="32"/>
          <w:lang w:val="en-US" w:eastAsia="zh-CN"/>
        </w:rPr>
        <w:t>公共企事业单位</w:t>
      </w:r>
      <w:r>
        <w:rPr>
          <w:rFonts w:hint="eastAsia" w:ascii="楷体_GB2312" w:hAnsi="微软雅黑" w:eastAsia="楷体_GB2312" w:cs="楷体_GB2312"/>
          <w:i w:val="0"/>
          <w:iCs w:val="0"/>
          <w:caps w:val="0"/>
          <w:color w:val="000000"/>
          <w:spacing w:val="0"/>
          <w:sz w:val="32"/>
          <w:szCs w:val="32"/>
        </w:rPr>
        <w:t>信息公开工作开展情况</w:t>
      </w:r>
    </w:p>
    <w:p w14:paraId="389BDF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楷体_GB2312" w:hAnsi="微软雅黑" w:eastAsia="楷体_GB2312" w:cs="楷体_GB2312"/>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202</w:t>
      </w:r>
      <w:r>
        <w:rPr>
          <w:rFonts w:hint="eastAsia"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年，</w:t>
      </w:r>
      <w:r>
        <w:rPr>
          <w:rFonts w:hint="default" w:ascii="Times New Roman" w:hAnsi="Times New Roman" w:eastAsia="仿宋_GB2312" w:cs="Times New Roman"/>
          <w:i w:val="0"/>
          <w:iCs w:val="0"/>
          <w:caps w:val="0"/>
          <w:color w:val="000000"/>
          <w:spacing w:val="0"/>
          <w:sz w:val="32"/>
          <w:szCs w:val="32"/>
          <w:lang w:val="en-US" w:eastAsia="zh-CN"/>
        </w:rPr>
        <w:t>本机关严格按照公共企事业单位信息公开要求，组织辖区内3家县直医院、1家疾病预防控制中心、12家乡镇（社区街道）卫生院（卫生服务中心）开展信息公开工作。</w:t>
      </w:r>
      <w:r>
        <w:rPr>
          <w:rFonts w:hint="eastAsia" w:ascii="Times New Roman" w:hAnsi="Times New Roman" w:eastAsia="仿宋_GB2312" w:cs="Times New Roman"/>
          <w:i w:val="0"/>
          <w:iCs w:val="0"/>
          <w:caps w:val="0"/>
          <w:color w:val="000000"/>
          <w:spacing w:val="0"/>
          <w:sz w:val="32"/>
          <w:szCs w:val="32"/>
          <w:lang w:val="en-US" w:eastAsia="zh-CN"/>
        </w:rPr>
        <w:t>在16家医疗卫生单位建立信息公开联络员制度，及时更新适用主体清单，统筹做好线上、线下信息公开。</w:t>
      </w:r>
      <w:r>
        <w:rPr>
          <w:rFonts w:hint="default" w:ascii="Times New Roman" w:hAnsi="Times New Roman" w:eastAsia="仿宋_GB2312" w:cs="Times New Roman"/>
          <w:i w:val="0"/>
          <w:iCs w:val="0"/>
          <w:caps w:val="0"/>
          <w:color w:val="000000"/>
          <w:spacing w:val="0"/>
          <w:sz w:val="32"/>
          <w:szCs w:val="32"/>
          <w:lang w:val="en-US" w:eastAsia="zh-CN"/>
        </w:rPr>
        <w:t>在县政府门户</w:t>
      </w:r>
      <w:r>
        <w:rPr>
          <w:rFonts w:hint="eastAsia" w:ascii="仿宋_GB2312" w:hAnsi="微软雅黑" w:eastAsia="仿宋_GB2312" w:cs="仿宋_GB2312"/>
          <w:i w:val="0"/>
          <w:iCs w:val="0"/>
          <w:caps w:val="0"/>
          <w:color w:val="000000"/>
          <w:spacing w:val="0"/>
          <w:sz w:val="32"/>
          <w:szCs w:val="32"/>
          <w:lang w:val="en-US" w:eastAsia="zh-CN"/>
        </w:rPr>
        <w:t>网站“公共企事业单位信息公开”专栏集中公开医疗机构基础信息、资质标识、环境引导、诊疗服务（公共卫生服务）、行风投</w:t>
      </w:r>
      <w:r>
        <w:rPr>
          <w:rFonts w:hint="default" w:ascii="Times New Roman" w:hAnsi="Times New Roman" w:eastAsia="仿宋_GB2312" w:cs="Times New Roman"/>
          <w:i w:val="0"/>
          <w:iCs w:val="0"/>
          <w:caps w:val="0"/>
          <w:color w:val="000000"/>
          <w:spacing w:val="0"/>
          <w:sz w:val="32"/>
          <w:szCs w:val="32"/>
          <w:lang w:val="en-US" w:eastAsia="zh-CN"/>
        </w:rPr>
        <w:t>诉、科普健教、便民服务等信息</w:t>
      </w:r>
      <w:r>
        <w:rPr>
          <w:rFonts w:hint="eastAsia" w:ascii="Times New Roman" w:hAnsi="Times New Roman" w:eastAsia="仿宋_GB2312" w:cs="Times New Roman"/>
          <w:i w:val="0"/>
          <w:iCs w:val="0"/>
          <w:caps w:val="0"/>
          <w:color w:val="000000"/>
          <w:spacing w:val="0"/>
          <w:sz w:val="32"/>
          <w:szCs w:val="32"/>
          <w:lang w:val="en-US" w:eastAsia="zh-CN"/>
        </w:rPr>
        <w:t>并根据实际情况实时调整</w:t>
      </w:r>
      <w:r>
        <w:rPr>
          <w:rFonts w:hint="default" w:ascii="Times New Roman" w:hAnsi="Times New Roman" w:eastAsia="仿宋_GB2312" w:cs="Times New Roman"/>
          <w:i w:val="0"/>
          <w:iCs w:val="0"/>
          <w:caps w:val="0"/>
          <w:color w:val="000000"/>
          <w:spacing w:val="0"/>
          <w:sz w:val="32"/>
          <w:szCs w:val="32"/>
          <w:lang w:val="en-US" w:eastAsia="zh-CN"/>
        </w:rPr>
        <w:t>，及时公开县域内公立医疗机构名称、地址、联系方式、设备配备情况，年内公开信息</w:t>
      </w:r>
      <w:r>
        <w:rPr>
          <w:rFonts w:hint="eastAsia" w:ascii="Times New Roman" w:hAnsi="Times New Roman" w:eastAsia="仿宋_GB2312" w:cs="Times New Roman"/>
          <w:i w:val="0"/>
          <w:iCs w:val="0"/>
          <w:caps w:val="0"/>
          <w:color w:val="000000"/>
          <w:spacing w:val="0"/>
          <w:sz w:val="32"/>
          <w:szCs w:val="32"/>
          <w:lang w:val="en-US" w:eastAsia="zh-CN"/>
        </w:rPr>
        <w:t>702</w:t>
      </w:r>
      <w:r>
        <w:rPr>
          <w:rFonts w:hint="default" w:ascii="Times New Roman" w:hAnsi="Times New Roman" w:eastAsia="仿宋_GB2312" w:cs="Times New Roman"/>
          <w:i w:val="0"/>
          <w:iCs w:val="0"/>
          <w:caps w:val="0"/>
          <w:color w:val="000000"/>
          <w:spacing w:val="0"/>
          <w:sz w:val="32"/>
          <w:szCs w:val="32"/>
          <w:lang w:val="en-US" w:eastAsia="zh-CN"/>
        </w:rPr>
        <w:t>条。</w:t>
      </w:r>
    </w:p>
    <w:p w14:paraId="2C3A29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i w:val="0"/>
          <w:iCs w:val="0"/>
          <w:caps w:val="0"/>
          <w:color w:val="000000"/>
          <w:spacing w:val="0"/>
          <w:sz w:val="32"/>
          <w:szCs w:val="32"/>
        </w:rPr>
        <w:t>（六）有关数据统计说明</w:t>
      </w:r>
    </w:p>
    <w:p w14:paraId="1A58E9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lang w:val="en-US" w:eastAsia="zh-CN"/>
        </w:rPr>
        <w:t>1.</w:t>
      </w:r>
      <w:r>
        <w:rPr>
          <w:rFonts w:hint="default" w:ascii="Times New Roman" w:hAnsi="Times New Roman" w:eastAsia="仿宋_GB2312" w:cs="Times New Roman"/>
          <w:i w:val="0"/>
          <w:iCs w:val="0"/>
          <w:caps w:val="0"/>
          <w:color w:val="000000"/>
          <w:spacing w:val="0"/>
          <w:sz w:val="32"/>
          <w:szCs w:val="32"/>
        </w:rPr>
        <w:t>报告中所列数据可能因四舍五入原因与数据直接相加之和存在尾数差异。</w:t>
      </w:r>
    </w:p>
    <w:p w14:paraId="2C54FA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spacing w:val="0"/>
          <w:sz w:val="24"/>
          <w:szCs w:val="24"/>
          <w:lang w:val="en-US" w:eastAsia="zh-CN"/>
        </w:rPr>
      </w:pPr>
      <w:r>
        <w:rPr>
          <w:rFonts w:hint="default" w:ascii="Times New Roman" w:hAnsi="Times New Roman" w:eastAsia="仿宋_GB2312" w:cs="Times New Roman"/>
          <w:i w:val="0"/>
          <w:iCs w:val="0"/>
          <w:caps w:val="0"/>
          <w:color w:val="000000"/>
          <w:spacing w:val="0"/>
          <w:sz w:val="32"/>
          <w:szCs w:val="32"/>
          <w:lang w:val="en-US" w:eastAsia="zh-CN"/>
        </w:rPr>
        <w:t>2.行政许可数量、行政处罚和行政强制数量包括已公开和依法未公开的全部处理决定。</w:t>
      </w:r>
    </w:p>
    <w:p w14:paraId="5E2738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p>
    <w:p w14:paraId="762C32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微软雅黑" w:cs="Times New Roman"/>
          <w:i w:val="0"/>
          <w:iCs w:val="0"/>
          <w:caps w:val="0"/>
          <w:color w:val="000000"/>
          <w:spacing w:val="0"/>
          <w:sz w:val="24"/>
          <w:szCs w:val="24"/>
        </w:rPr>
      </w:pPr>
    </w:p>
    <w:p w14:paraId="22D53D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rPr>
        <w:t>                </w:t>
      </w:r>
      <w:r>
        <w:rPr>
          <w:rFonts w:hint="default" w:ascii="Times New Roman" w:hAnsi="Times New Roman" w:eastAsia="仿宋_GB2312" w:cs="Times New Roman"/>
          <w:i w:val="0"/>
          <w:iCs w:val="0"/>
          <w:caps w:val="0"/>
          <w:color w:val="000000"/>
          <w:spacing w:val="0"/>
          <w:sz w:val="32"/>
          <w:szCs w:val="32"/>
          <w:lang w:val="en-US" w:eastAsia="zh-CN"/>
        </w:rPr>
        <w:t xml:space="preserve">          </w:t>
      </w:r>
      <w:r>
        <w:rPr>
          <w:rFonts w:hint="eastAsia"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  沂源县卫生健康局</w:t>
      </w:r>
    </w:p>
    <w:p w14:paraId="61586B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rPr>
        <w:t>                  </w:t>
      </w:r>
      <w:r>
        <w:rPr>
          <w:rFonts w:hint="default" w:ascii="Times New Roman" w:hAnsi="Times New Roman" w:eastAsia="仿宋_GB2312" w:cs="Times New Roman"/>
          <w:i w:val="0"/>
          <w:iCs w:val="0"/>
          <w:caps w:val="0"/>
          <w:color w:val="000000"/>
          <w:spacing w:val="0"/>
          <w:sz w:val="32"/>
          <w:szCs w:val="32"/>
          <w:lang w:val="en-US" w:eastAsia="zh-CN"/>
        </w:rPr>
        <w:t xml:space="preserve">          </w:t>
      </w:r>
      <w:r>
        <w:rPr>
          <w:rFonts w:hint="eastAsia"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202</w:t>
      </w:r>
      <w:r>
        <w:rPr>
          <w:rFonts w:hint="default" w:ascii="Times New Roman" w:hAnsi="Times New Roman" w:eastAsia="仿宋_GB2312" w:cs="Times New Roman"/>
          <w:i w:val="0"/>
          <w:iCs w:val="0"/>
          <w:caps w:val="0"/>
          <w:color w:val="000000"/>
          <w:spacing w:val="0"/>
          <w:sz w:val="32"/>
          <w:szCs w:val="32"/>
          <w:lang w:val="en-US" w:eastAsia="zh-CN"/>
        </w:rPr>
        <w:t>4</w:t>
      </w:r>
      <w:r>
        <w:rPr>
          <w:rFonts w:hint="default" w:ascii="Times New Roman" w:hAnsi="Times New Roman" w:eastAsia="仿宋_GB2312" w:cs="Times New Roman"/>
          <w:i w:val="0"/>
          <w:iCs w:val="0"/>
          <w:caps w:val="0"/>
          <w:color w:val="000000"/>
          <w:spacing w:val="0"/>
          <w:sz w:val="32"/>
          <w:szCs w:val="32"/>
        </w:rPr>
        <w:t>年1月</w:t>
      </w:r>
      <w:r>
        <w:rPr>
          <w:rFonts w:hint="eastAsia" w:ascii="Times New Roman" w:hAnsi="Times New Roman" w:eastAsia="仿宋_GB2312" w:cs="Times New Roman"/>
          <w:i w:val="0"/>
          <w:iCs w:val="0"/>
          <w:caps w:val="0"/>
          <w:color w:val="000000"/>
          <w:spacing w:val="0"/>
          <w:sz w:val="32"/>
          <w:szCs w:val="32"/>
          <w:lang w:val="en-US" w:eastAsia="zh-CN"/>
        </w:rPr>
        <w:t>14</w:t>
      </w:r>
      <w:r>
        <w:rPr>
          <w:rFonts w:hint="default" w:ascii="Times New Roman" w:hAnsi="Times New Roman" w:eastAsia="仿宋_GB2312" w:cs="Times New Roman"/>
          <w:i w:val="0"/>
          <w:iCs w:val="0"/>
          <w:caps w:val="0"/>
          <w:color w:val="000000"/>
          <w:spacing w:val="0"/>
          <w:sz w:val="32"/>
          <w:szCs w:val="32"/>
        </w:rPr>
        <w:t>日</w:t>
      </w:r>
    </w:p>
    <w:p w14:paraId="3D0F2EB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EF3E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2A924">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A2A924">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YTQ1YjMyYzA3MjA0OGMzNzVjMjY1ZDllZjlhNGEifQ=="/>
  </w:docVars>
  <w:rsids>
    <w:rsidRoot w:val="00000000"/>
    <w:rsid w:val="00D13E1C"/>
    <w:rsid w:val="01350AD8"/>
    <w:rsid w:val="01B2058C"/>
    <w:rsid w:val="055F2BCB"/>
    <w:rsid w:val="063B3D45"/>
    <w:rsid w:val="0723665E"/>
    <w:rsid w:val="07AA5409"/>
    <w:rsid w:val="090B5543"/>
    <w:rsid w:val="0A877197"/>
    <w:rsid w:val="0B4340AA"/>
    <w:rsid w:val="0C9037D2"/>
    <w:rsid w:val="0C9A61BA"/>
    <w:rsid w:val="1088105C"/>
    <w:rsid w:val="112F3486"/>
    <w:rsid w:val="13420EB1"/>
    <w:rsid w:val="150771D6"/>
    <w:rsid w:val="15E76547"/>
    <w:rsid w:val="16D927DD"/>
    <w:rsid w:val="184950F2"/>
    <w:rsid w:val="19DE7341"/>
    <w:rsid w:val="1B2D74F2"/>
    <w:rsid w:val="1C2D45C0"/>
    <w:rsid w:val="1CE23C55"/>
    <w:rsid w:val="1E62453F"/>
    <w:rsid w:val="1EC91389"/>
    <w:rsid w:val="1EE95368"/>
    <w:rsid w:val="1FD91AA0"/>
    <w:rsid w:val="2389558B"/>
    <w:rsid w:val="240A7CEF"/>
    <w:rsid w:val="29912F65"/>
    <w:rsid w:val="29C41AEF"/>
    <w:rsid w:val="2B1F301A"/>
    <w:rsid w:val="2B880DCB"/>
    <w:rsid w:val="2BA411B4"/>
    <w:rsid w:val="2BE315B0"/>
    <w:rsid w:val="2C9A10F5"/>
    <w:rsid w:val="2E131944"/>
    <w:rsid w:val="2ED0406E"/>
    <w:rsid w:val="2F126434"/>
    <w:rsid w:val="2F486DA5"/>
    <w:rsid w:val="31174CA0"/>
    <w:rsid w:val="31B54F8F"/>
    <w:rsid w:val="399F70A4"/>
    <w:rsid w:val="3C8E4887"/>
    <w:rsid w:val="400E17CB"/>
    <w:rsid w:val="422E40C0"/>
    <w:rsid w:val="424C651F"/>
    <w:rsid w:val="42BC57D3"/>
    <w:rsid w:val="431C6BAF"/>
    <w:rsid w:val="48CC2C4E"/>
    <w:rsid w:val="4C87000A"/>
    <w:rsid w:val="4E1E5B1E"/>
    <w:rsid w:val="4EF9194B"/>
    <w:rsid w:val="4F545AC4"/>
    <w:rsid w:val="4F77648C"/>
    <w:rsid w:val="515F3303"/>
    <w:rsid w:val="517F7502"/>
    <w:rsid w:val="527B732F"/>
    <w:rsid w:val="531B770F"/>
    <w:rsid w:val="54996B2C"/>
    <w:rsid w:val="552A0FD0"/>
    <w:rsid w:val="571C3A45"/>
    <w:rsid w:val="58366BB2"/>
    <w:rsid w:val="59545718"/>
    <w:rsid w:val="59D619EE"/>
    <w:rsid w:val="5AA24261"/>
    <w:rsid w:val="600C3024"/>
    <w:rsid w:val="62A97C34"/>
    <w:rsid w:val="63797ADB"/>
    <w:rsid w:val="64616CB7"/>
    <w:rsid w:val="65200BA4"/>
    <w:rsid w:val="655E4D66"/>
    <w:rsid w:val="66807B4C"/>
    <w:rsid w:val="679A4C3E"/>
    <w:rsid w:val="68492845"/>
    <w:rsid w:val="68B4325D"/>
    <w:rsid w:val="6BC93D43"/>
    <w:rsid w:val="6CA17A30"/>
    <w:rsid w:val="6DF34588"/>
    <w:rsid w:val="6EF235B1"/>
    <w:rsid w:val="719446BC"/>
    <w:rsid w:val="724A790F"/>
    <w:rsid w:val="732329F8"/>
    <w:rsid w:val="73492CDA"/>
    <w:rsid w:val="74E4626F"/>
    <w:rsid w:val="756E14B8"/>
    <w:rsid w:val="766A6E7D"/>
    <w:rsid w:val="76A51373"/>
    <w:rsid w:val="78197713"/>
    <w:rsid w:val="784012F4"/>
    <w:rsid w:val="7B4741B7"/>
    <w:rsid w:val="7C6D071B"/>
    <w:rsid w:val="7E222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2192</Words>
  <Characters>2295</Characters>
  <Lines>0</Lines>
  <Paragraphs>0</Paragraphs>
  <TotalTime>1</TotalTime>
  <ScaleCrop>false</ScaleCrop>
  <LinksUpToDate>false</LinksUpToDate>
  <CharactersWithSpaces>2299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2023-12-30T01:27:00Z</dcterms:created>
  <dc:creator>Administrator</dc:creator>
  <cp:lastModifiedBy>Atomic</cp:lastModifiedBy>
  <dcterms:modified xsi:type="dcterms:W3CDTF">2025-01-17T00:47:00Z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57A8B886B2EA49B0A2BCC7A4E94DE365_12</vt:lpwstr>
  </property>
  <property fmtid="{D5CDD505-2E9C-101B-9397-08002B2CF9AE}" pid="4" name="KSOTemplateDocerSaveRecord">
    <vt:lpwstr>eyJoZGlkIjoiZTdkYTQ1YjMyYzA3MjA0OGMzNzVjMjY1ZDllZjlhNGEiLCJ1c2VySWQiOiI0MzIzMTgwODEifQ==</vt:lpwstr>
  </property>
</Properties>
</file>